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153407" w:rsidR="00042D8B" w:rsidP="000A10E5" w:rsidRDefault="005D2C99" w14:paraId="5A529A9B" w14:textId="2EA7CB48">
      <w:pPr>
        <w:pStyle w:val="BodyText"/>
        <w:spacing w:after="120"/>
        <w:ind w:left="-180"/>
        <w15:collapsed w:val="false"/>
        <w:rPr>
          <w:noProof/>
          <w:szCs w:val="24"/>
        </w:rPr>
      </w:pPr>
      <w:r w:rsidRPr="00153407">
        <w:rPr>
          <w:noProof/>
          <w:szCs w:val="24"/>
        </w:rPr>
        <w:t>Informatīvais ziņojums</w:t>
      </w:r>
    </w:p>
    <w:p w:rsidRPr="00264055" w:rsidR="008C166B" w:rsidP="00264055" w:rsidRDefault="00042D8B" w14:paraId="124814F4" w14:textId="443CCB14">
      <w:pPr>
        <w:pStyle w:val="BodyText"/>
        <w:spacing w:after="360"/>
        <w:rPr>
          <w:noProof/>
          <w:szCs w:val="24"/>
        </w:rPr>
      </w:pPr>
      <w:r w:rsidRPr="00153407">
        <w:rPr>
          <w:noProof/>
          <w:szCs w:val="24"/>
        </w:rPr>
        <w:t>“</w:t>
      </w:r>
      <w:bookmarkStart w:name="_Hlk57195359" w:id="0"/>
      <w:r w:rsidRPr="00153407" w:rsidR="00F635B9">
        <w:rPr>
          <w:noProof/>
          <w:szCs w:val="24"/>
        </w:rPr>
        <w:t xml:space="preserve">Par </w:t>
      </w:r>
      <w:bookmarkStart w:name="_Hlk57192155" w:id="1"/>
      <w:r w:rsidRPr="00153407" w:rsidR="00F635B9">
        <w:rPr>
          <w:noProof/>
          <w:szCs w:val="24"/>
        </w:rPr>
        <w:t xml:space="preserve">Eiropas Savienības Vispārējo lietu padomes </w:t>
      </w:r>
      <w:bookmarkEnd w:id="1"/>
      <w:r w:rsidRPr="00153407">
        <w:rPr>
          <w:noProof/>
          <w:szCs w:val="24"/>
        </w:rPr>
        <w:t>20</w:t>
      </w:r>
      <w:r w:rsidRPr="00153407" w:rsidR="00DB3D2D">
        <w:rPr>
          <w:noProof/>
          <w:szCs w:val="24"/>
        </w:rPr>
        <w:t>2</w:t>
      </w:r>
      <w:r w:rsidRPr="00153407" w:rsidR="005B2758">
        <w:rPr>
          <w:noProof/>
          <w:szCs w:val="24"/>
        </w:rPr>
        <w:t>3</w:t>
      </w:r>
      <w:r w:rsidRPr="00153407">
        <w:rPr>
          <w:noProof/>
          <w:szCs w:val="24"/>
        </w:rPr>
        <w:t xml:space="preserve">. gada </w:t>
      </w:r>
      <w:r w:rsidR="001E6FBB">
        <w:rPr>
          <w:noProof/>
          <w:szCs w:val="24"/>
        </w:rPr>
        <w:t>15</w:t>
      </w:r>
      <w:r w:rsidRPr="00153407" w:rsidR="000C4894">
        <w:rPr>
          <w:noProof/>
          <w:szCs w:val="24"/>
        </w:rPr>
        <w:t>.</w:t>
      </w:r>
      <w:r w:rsidRPr="00153407" w:rsidR="00145E2A">
        <w:rPr>
          <w:noProof/>
          <w:szCs w:val="24"/>
        </w:rPr>
        <w:t xml:space="preserve"> </w:t>
      </w:r>
      <w:r w:rsidR="001E6FBB">
        <w:rPr>
          <w:noProof/>
          <w:szCs w:val="24"/>
        </w:rPr>
        <w:t>novembra</w:t>
      </w:r>
      <w:r w:rsidRPr="00153407" w:rsidR="003C79F8">
        <w:rPr>
          <w:noProof/>
          <w:szCs w:val="24"/>
        </w:rPr>
        <w:t xml:space="preserve"> </w:t>
      </w:r>
      <w:r w:rsidRPr="00153407" w:rsidR="00E41F51">
        <w:rPr>
          <w:noProof/>
          <w:szCs w:val="24"/>
        </w:rPr>
        <w:t xml:space="preserve">sanāksmē </w:t>
      </w:r>
      <w:r w:rsidRPr="00153407">
        <w:rPr>
          <w:noProof/>
          <w:szCs w:val="24"/>
        </w:rPr>
        <w:t>izskatāmajiem jautājumiem</w:t>
      </w:r>
      <w:bookmarkEnd w:id="0"/>
      <w:r w:rsidRPr="00153407">
        <w:rPr>
          <w:noProof/>
          <w:szCs w:val="24"/>
        </w:rPr>
        <w:t>”</w:t>
      </w:r>
    </w:p>
    <w:p w:rsidRPr="00153407" w:rsidR="00820506" w:rsidP="009861BD" w:rsidRDefault="00042D8B" w14:paraId="3E97AD4F" w14:textId="2A7A945C">
      <w:pPr>
        <w:spacing w:after="120"/>
        <w:jc w:val="both"/>
        <w:rPr>
          <w:noProof/>
        </w:rPr>
      </w:pPr>
      <w:r w:rsidRPr="00153407">
        <w:rPr>
          <w:noProof/>
        </w:rPr>
        <w:t>20</w:t>
      </w:r>
      <w:r w:rsidRPr="00153407" w:rsidR="00CE2DAB">
        <w:rPr>
          <w:noProof/>
        </w:rPr>
        <w:t>2</w:t>
      </w:r>
      <w:r w:rsidRPr="00153407" w:rsidR="005B2758">
        <w:rPr>
          <w:noProof/>
        </w:rPr>
        <w:t>3</w:t>
      </w:r>
      <w:r w:rsidRPr="00153407">
        <w:rPr>
          <w:noProof/>
        </w:rPr>
        <w:t xml:space="preserve">. gada </w:t>
      </w:r>
      <w:r w:rsidR="001E6FBB">
        <w:rPr>
          <w:noProof/>
        </w:rPr>
        <w:t>15</w:t>
      </w:r>
      <w:r w:rsidRPr="00153407" w:rsidR="000C4894">
        <w:rPr>
          <w:noProof/>
        </w:rPr>
        <w:t xml:space="preserve">. </w:t>
      </w:r>
      <w:r w:rsidR="001E6FBB">
        <w:rPr>
          <w:noProof/>
        </w:rPr>
        <w:t>novembrī</w:t>
      </w:r>
      <w:r w:rsidRPr="00153407" w:rsidR="000C4894">
        <w:rPr>
          <w:noProof/>
        </w:rPr>
        <w:t xml:space="preserve"> </w:t>
      </w:r>
      <w:r w:rsidR="001E6FBB">
        <w:rPr>
          <w:noProof/>
        </w:rPr>
        <w:t>Briselē</w:t>
      </w:r>
      <w:r w:rsidRPr="00153407" w:rsidR="00512041">
        <w:rPr>
          <w:noProof/>
        </w:rPr>
        <w:t xml:space="preserve"> </w:t>
      </w:r>
      <w:r w:rsidRPr="00153407">
        <w:rPr>
          <w:noProof/>
        </w:rPr>
        <w:t xml:space="preserve">notiks Eiropas Savienības (turpmāk – ES) Vispārējo lietu padomes (turpmāk – VLP) sanāksme. </w:t>
      </w:r>
      <w:bookmarkStart w:name="_Hlk112832654" w:id="2"/>
      <w:r w:rsidRPr="00153407" w:rsidR="00820506">
        <w:rPr>
          <w:noProof/>
        </w:rPr>
        <w:t>Darba kārtībā ir iekļauti šādi jautājumi:</w:t>
      </w:r>
    </w:p>
    <w:p w:rsidR="00E16A61" w:rsidP="003E6815" w:rsidRDefault="00E16A61" w14:paraId="5CE89089" w14:textId="0D354008">
      <w:pPr>
        <w:pStyle w:val="ListParagraph"/>
        <w:numPr>
          <w:ilvl w:val="0"/>
          <w:numId w:val="41"/>
        </w:numPr>
        <w:jc w:val="both"/>
        <w:rPr>
          <w:rFonts w:ascii="Times New Roman" w:hAnsi="Times New Roman" w:eastAsia="Times New Roman"/>
          <w:noProof/>
          <w:sz w:val="24"/>
          <w:szCs w:val="24"/>
        </w:rPr>
      </w:pPr>
      <w:r>
        <w:rPr>
          <w:rFonts w:ascii="Times New Roman" w:hAnsi="Times New Roman" w:eastAsia="Times New Roman"/>
          <w:noProof/>
          <w:sz w:val="24"/>
          <w:szCs w:val="24"/>
        </w:rPr>
        <w:t>likumdošanas programmēšana: Eiropas Komisijas darba programma 2024. gadam</w:t>
      </w:r>
      <w:r w:rsidR="00D228E6">
        <w:rPr>
          <w:rFonts w:ascii="Times New Roman" w:hAnsi="Times New Roman" w:eastAsia="Times New Roman"/>
          <w:noProof/>
          <w:sz w:val="24"/>
          <w:szCs w:val="24"/>
        </w:rPr>
        <w:t>;</w:t>
      </w:r>
    </w:p>
    <w:p w:rsidR="00070AE8" w:rsidP="003E6815" w:rsidRDefault="00B43A7E" w14:paraId="781C1FE0" w14:textId="7F258191">
      <w:pPr>
        <w:pStyle w:val="ListParagraph"/>
        <w:numPr>
          <w:ilvl w:val="0"/>
          <w:numId w:val="41"/>
        </w:numPr>
        <w:jc w:val="both"/>
        <w:rPr>
          <w:rFonts w:ascii="Times New Roman" w:hAnsi="Times New Roman" w:eastAsia="Times New Roman"/>
          <w:noProof/>
          <w:sz w:val="24"/>
          <w:szCs w:val="24"/>
        </w:rPr>
      </w:pPr>
      <w:r>
        <w:rPr>
          <w:rFonts w:ascii="Times New Roman" w:hAnsi="Times New Roman" w:eastAsia="Times New Roman"/>
          <w:noProof/>
          <w:sz w:val="24"/>
          <w:szCs w:val="24"/>
        </w:rPr>
        <w:t xml:space="preserve">2023. gada </w:t>
      </w:r>
      <w:r w:rsidR="001E6FBB">
        <w:rPr>
          <w:rFonts w:ascii="Times New Roman" w:hAnsi="Times New Roman" w:eastAsia="Times New Roman"/>
          <w:noProof/>
          <w:sz w:val="24"/>
          <w:szCs w:val="24"/>
        </w:rPr>
        <w:t>14</w:t>
      </w:r>
      <w:r>
        <w:rPr>
          <w:rFonts w:ascii="Times New Roman" w:hAnsi="Times New Roman" w:eastAsia="Times New Roman"/>
          <w:noProof/>
          <w:sz w:val="24"/>
          <w:szCs w:val="24"/>
        </w:rPr>
        <w:t>.-</w:t>
      </w:r>
      <w:r w:rsidR="001E6FBB">
        <w:rPr>
          <w:rFonts w:ascii="Times New Roman" w:hAnsi="Times New Roman" w:eastAsia="Times New Roman"/>
          <w:noProof/>
          <w:sz w:val="24"/>
          <w:szCs w:val="24"/>
        </w:rPr>
        <w:t>15</w:t>
      </w:r>
      <w:r>
        <w:rPr>
          <w:rFonts w:ascii="Times New Roman" w:hAnsi="Times New Roman" w:eastAsia="Times New Roman"/>
          <w:noProof/>
          <w:sz w:val="24"/>
          <w:szCs w:val="24"/>
        </w:rPr>
        <w:t xml:space="preserve">. </w:t>
      </w:r>
      <w:r w:rsidR="001E6FBB">
        <w:rPr>
          <w:rFonts w:ascii="Times New Roman" w:hAnsi="Times New Roman" w:eastAsia="Times New Roman"/>
          <w:noProof/>
          <w:sz w:val="24"/>
          <w:szCs w:val="24"/>
        </w:rPr>
        <w:t>decembra</w:t>
      </w:r>
      <w:r>
        <w:rPr>
          <w:rFonts w:ascii="Times New Roman" w:hAnsi="Times New Roman" w:eastAsia="Times New Roman"/>
          <w:noProof/>
          <w:sz w:val="24"/>
          <w:szCs w:val="24"/>
        </w:rPr>
        <w:t xml:space="preserve"> Eiropadomes sagatavošana</w:t>
      </w:r>
      <w:r w:rsidR="00070AE8">
        <w:rPr>
          <w:rFonts w:ascii="Times New Roman" w:hAnsi="Times New Roman" w:eastAsia="Times New Roman"/>
          <w:noProof/>
          <w:sz w:val="24"/>
          <w:szCs w:val="24"/>
        </w:rPr>
        <w:t>;</w:t>
      </w:r>
    </w:p>
    <w:p w:rsidRPr="001E6FBB" w:rsidR="00B4566E" w:rsidP="001E6FBB" w:rsidRDefault="00E16A61" w14:paraId="4D346CDB" w14:textId="36B56068">
      <w:pPr>
        <w:pStyle w:val="ListParagraph"/>
        <w:numPr>
          <w:ilvl w:val="0"/>
          <w:numId w:val="41"/>
        </w:numPr>
        <w:rPr>
          <w:rFonts w:ascii="Times New Roman" w:hAnsi="Times New Roman" w:eastAsia="Times New Roman"/>
          <w:noProof/>
          <w:sz w:val="24"/>
          <w:szCs w:val="24"/>
        </w:rPr>
      </w:pPr>
      <w:r>
        <w:rPr>
          <w:rFonts w:ascii="Times New Roman" w:hAnsi="Times New Roman" w:eastAsia="Times New Roman"/>
          <w:noProof/>
          <w:sz w:val="24"/>
          <w:szCs w:val="24"/>
        </w:rPr>
        <w:t>t</w:t>
      </w:r>
      <w:r w:rsidRPr="001E6FBB" w:rsidR="001E6FBB">
        <w:rPr>
          <w:rFonts w:ascii="Times New Roman" w:hAnsi="Times New Roman" w:eastAsia="Times New Roman"/>
          <w:noProof/>
          <w:sz w:val="24"/>
          <w:szCs w:val="24"/>
        </w:rPr>
        <w:t>iesiskums Polijā/ LES 7(1). pants</w:t>
      </w:r>
      <w:r w:rsidRPr="001E6FBB" w:rsidR="00B4566E">
        <w:rPr>
          <w:noProof/>
        </w:rPr>
        <w:t>;</w:t>
      </w:r>
    </w:p>
    <w:p w:rsidR="00B4566E" w:rsidP="003E6815" w:rsidRDefault="001E6FBB" w14:paraId="37E4C524" w14:textId="481E65A6">
      <w:pPr>
        <w:pStyle w:val="ListParagraph"/>
        <w:numPr>
          <w:ilvl w:val="0"/>
          <w:numId w:val="41"/>
        </w:numPr>
        <w:jc w:val="both"/>
        <w:rPr>
          <w:rFonts w:ascii="Times New Roman" w:hAnsi="Times New Roman" w:eastAsia="Times New Roman"/>
          <w:noProof/>
          <w:sz w:val="24"/>
          <w:szCs w:val="24"/>
        </w:rPr>
      </w:pPr>
      <w:r>
        <w:rPr>
          <w:rFonts w:ascii="Times New Roman" w:hAnsi="Times New Roman" w:eastAsia="Times New Roman"/>
          <w:noProof/>
          <w:sz w:val="24"/>
          <w:szCs w:val="24"/>
        </w:rPr>
        <w:t>ES</w:t>
      </w:r>
      <w:r w:rsidR="00B43A7E">
        <w:rPr>
          <w:rFonts w:ascii="Times New Roman" w:hAnsi="Times New Roman" w:eastAsia="Times New Roman"/>
          <w:noProof/>
          <w:sz w:val="24"/>
          <w:szCs w:val="24"/>
        </w:rPr>
        <w:t xml:space="preserve"> </w:t>
      </w:r>
      <w:r w:rsidRPr="001E6FBB">
        <w:rPr>
          <w:rFonts w:ascii="Times New Roman" w:hAnsi="Times New Roman" w:eastAsia="Times New Roman"/>
          <w:noProof/>
          <w:sz w:val="24"/>
          <w:szCs w:val="24"/>
        </w:rPr>
        <w:t>vērtības Ungārijā/ LES 7(1). pants</w:t>
      </w:r>
      <w:r w:rsidR="008143B9">
        <w:rPr>
          <w:rFonts w:ascii="Times New Roman" w:hAnsi="Times New Roman" w:eastAsia="Times New Roman"/>
          <w:noProof/>
          <w:sz w:val="24"/>
          <w:szCs w:val="24"/>
        </w:rPr>
        <w:t xml:space="preserve">; </w:t>
      </w:r>
    </w:p>
    <w:p w:rsidR="00B43A7E" w:rsidP="000B428B" w:rsidRDefault="00E16A61" w14:paraId="02FDEAD0" w14:textId="028AF827">
      <w:pPr>
        <w:pStyle w:val="ListParagraph"/>
        <w:numPr>
          <w:ilvl w:val="0"/>
          <w:numId w:val="41"/>
        </w:numPr>
        <w:spacing w:after="120"/>
        <w:jc w:val="both"/>
        <w:rPr>
          <w:rFonts w:ascii="Times New Roman" w:hAnsi="Times New Roman" w:eastAsia="Times New Roman"/>
          <w:noProof/>
          <w:sz w:val="24"/>
          <w:szCs w:val="24"/>
        </w:rPr>
      </w:pPr>
      <w:r>
        <w:rPr>
          <w:rFonts w:ascii="Times New Roman" w:hAnsi="Times New Roman" w:eastAsia="Times New Roman"/>
          <w:noProof/>
          <w:sz w:val="24"/>
          <w:szCs w:val="24"/>
        </w:rPr>
        <w:t>Eiropas</w:t>
      </w:r>
      <w:r w:rsidR="001E6FBB">
        <w:rPr>
          <w:rFonts w:ascii="Times New Roman" w:hAnsi="Times New Roman" w:eastAsia="Times New Roman"/>
          <w:noProof/>
          <w:sz w:val="24"/>
          <w:szCs w:val="24"/>
        </w:rPr>
        <w:t xml:space="preserve"> nākotne</w:t>
      </w:r>
      <w:r w:rsidR="00B43A7E">
        <w:rPr>
          <w:rFonts w:ascii="Times New Roman" w:hAnsi="Times New Roman" w:eastAsia="Times New Roman"/>
          <w:noProof/>
          <w:sz w:val="24"/>
          <w:szCs w:val="24"/>
        </w:rPr>
        <w:t>;</w:t>
      </w:r>
    </w:p>
    <w:p w:rsidR="00E16A61" w:rsidP="000B428B" w:rsidRDefault="00E16A61" w14:paraId="285E9808" w14:textId="248B569C">
      <w:pPr>
        <w:pStyle w:val="ListParagraph"/>
        <w:numPr>
          <w:ilvl w:val="0"/>
          <w:numId w:val="41"/>
        </w:numPr>
        <w:spacing w:after="120"/>
        <w:jc w:val="both"/>
        <w:rPr>
          <w:rFonts w:ascii="Times New Roman" w:hAnsi="Times New Roman" w:eastAsia="Times New Roman"/>
          <w:noProof/>
          <w:sz w:val="24"/>
          <w:szCs w:val="24"/>
        </w:rPr>
      </w:pPr>
      <w:r>
        <w:rPr>
          <w:rFonts w:ascii="Times New Roman" w:hAnsi="Times New Roman" w:eastAsia="Times New Roman"/>
          <w:noProof/>
          <w:sz w:val="24"/>
          <w:szCs w:val="24"/>
        </w:rPr>
        <w:t>Eiropas Vēlēšanu akts</w:t>
      </w:r>
      <w:r w:rsidR="00D228E6">
        <w:rPr>
          <w:rFonts w:ascii="Times New Roman" w:hAnsi="Times New Roman" w:eastAsia="Times New Roman"/>
          <w:noProof/>
          <w:sz w:val="24"/>
          <w:szCs w:val="24"/>
        </w:rPr>
        <w:t>;</w:t>
      </w:r>
    </w:p>
    <w:p w:rsidR="00E16A61" w:rsidP="000B428B" w:rsidRDefault="00E16A61" w14:paraId="5227388E" w14:textId="79E6921E">
      <w:pPr>
        <w:pStyle w:val="ListParagraph"/>
        <w:numPr>
          <w:ilvl w:val="0"/>
          <w:numId w:val="41"/>
        </w:numPr>
        <w:spacing w:after="120"/>
        <w:jc w:val="both"/>
        <w:rPr>
          <w:rFonts w:ascii="Times New Roman" w:hAnsi="Times New Roman" w:eastAsia="Times New Roman"/>
          <w:noProof/>
          <w:sz w:val="24"/>
          <w:szCs w:val="24"/>
        </w:rPr>
      </w:pPr>
      <w:r>
        <w:rPr>
          <w:rFonts w:ascii="Times New Roman" w:hAnsi="Times New Roman" w:eastAsia="Times New Roman"/>
          <w:noProof/>
          <w:sz w:val="24"/>
          <w:szCs w:val="24"/>
        </w:rPr>
        <w:t>ES</w:t>
      </w:r>
      <w:r w:rsidR="00270C1D">
        <w:rPr>
          <w:rFonts w:ascii="Times New Roman" w:hAnsi="Times New Roman" w:eastAsia="Times New Roman"/>
          <w:noProof/>
          <w:sz w:val="24"/>
          <w:szCs w:val="24"/>
        </w:rPr>
        <w:t xml:space="preserve"> </w:t>
      </w:r>
      <w:r>
        <w:rPr>
          <w:rFonts w:ascii="Times New Roman" w:hAnsi="Times New Roman" w:eastAsia="Times New Roman"/>
          <w:noProof/>
          <w:sz w:val="24"/>
          <w:szCs w:val="24"/>
        </w:rPr>
        <w:t>-</w:t>
      </w:r>
      <w:r w:rsidR="00270C1D">
        <w:rPr>
          <w:rFonts w:ascii="Times New Roman" w:hAnsi="Times New Roman" w:eastAsia="Times New Roman"/>
          <w:noProof/>
          <w:sz w:val="24"/>
          <w:szCs w:val="24"/>
        </w:rPr>
        <w:t xml:space="preserve"> </w:t>
      </w:r>
      <w:r>
        <w:rPr>
          <w:rFonts w:ascii="Times New Roman" w:hAnsi="Times New Roman" w:eastAsia="Times New Roman"/>
          <w:noProof/>
          <w:sz w:val="24"/>
          <w:szCs w:val="24"/>
        </w:rPr>
        <w:t>Apvienotās Karalistes attiecības</w:t>
      </w:r>
      <w:r w:rsidR="00D228E6">
        <w:rPr>
          <w:rFonts w:ascii="Times New Roman" w:hAnsi="Times New Roman" w:eastAsia="Times New Roman"/>
          <w:noProof/>
          <w:sz w:val="24"/>
          <w:szCs w:val="24"/>
        </w:rPr>
        <w:t>;</w:t>
      </w:r>
    </w:p>
    <w:p w:rsidRPr="00853BEF" w:rsidR="00D142E1" w:rsidP="00D142E1" w:rsidRDefault="00D142E1" w14:paraId="76579C4B" w14:textId="78FD9360">
      <w:pPr>
        <w:pStyle w:val="ListParagraph"/>
        <w:numPr>
          <w:ilvl w:val="0"/>
          <w:numId w:val="41"/>
        </w:numPr>
        <w:spacing w:after="120"/>
        <w:jc w:val="both"/>
        <w:rPr>
          <w:rFonts w:ascii="Times New Roman" w:hAnsi="Times New Roman" w:eastAsia="Times New Roman"/>
          <w:noProof/>
          <w:sz w:val="24"/>
          <w:szCs w:val="24"/>
        </w:rPr>
      </w:pPr>
      <w:bookmarkStart w:name="_Hlk147238608" w:id="3"/>
      <w:r>
        <w:rPr>
          <w:rFonts w:ascii="Times New Roman" w:hAnsi="Times New Roman" w:eastAsia="Times New Roman"/>
          <w:noProof/>
          <w:sz w:val="24"/>
          <w:szCs w:val="24"/>
        </w:rPr>
        <w:t>p</w:t>
      </w:r>
      <w:r w:rsidRPr="00B43A7E">
        <w:rPr>
          <w:rFonts w:ascii="Times New Roman" w:hAnsi="Times New Roman" w:eastAsia="Times New Roman"/>
          <w:noProof/>
          <w:sz w:val="24"/>
          <w:szCs w:val="24"/>
        </w:rPr>
        <w:t>riekšlikums ES Padomes regulai, ar kuru groza Regulu Nr. 1, ar ko nosaka Eiropas Ekonomikas kopienā lietojamās valodas</w:t>
      </w:r>
      <w:r w:rsidR="0079336F">
        <w:rPr>
          <w:rFonts w:ascii="Times New Roman" w:hAnsi="Times New Roman" w:eastAsia="Times New Roman"/>
          <w:noProof/>
          <w:sz w:val="24"/>
          <w:szCs w:val="24"/>
        </w:rPr>
        <w:t>;</w:t>
      </w:r>
    </w:p>
    <w:p w:rsidR="00BA0425" w:rsidP="000B428B" w:rsidRDefault="00270C1D" w14:paraId="74D9B00E" w14:textId="330BC6EE">
      <w:pPr>
        <w:pStyle w:val="ListParagraph"/>
        <w:numPr>
          <w:ilvl w:val="0"/>
          <w:numId w:val="41"/>
        </w:numPr>
        <w:spacing w:after="120"/>
        <w:jc w:val="both"/>
        <w:rPr>
          <w:rFonts w:ascii="Times New Roman" w:hAnsi="Times New Roman" w:eastAsia="Times New Roman"/>
          <w:noProof/>
          <w:sz w:val="24"/>
          <w:szCs w:val="24"/>
        </w:rPr>
      </w:pPr>
      <w:r>
        <w:rPr>
          <w:rFonts w:ascii="Times New Roman" w:hAnsi="Times New Roman" w:eastAsia="Times New Roman"/>
          <w:noProof/>
          <w:sz w:val="24"/>
          <w:szCs w:val="24"/>
        </w:rPr>
        <w:t>ES A</w:t>
      </w:r>
      <w:r w:rsidRPr="0087036C" w:rsidR="0087036C">
        <w:rPr>
          <w:rFonts w:ascii="Times New Roman" w:hAnsi="Times New Roman" w:eastAsia="Times New Roman"/>
          <w:noProof/>
          <w:sz w:val="24"/>
          <w:szCs w:val="24"/>
        </w:rPr>
        <w:t>ttālāko</w:t>
      </w:r>
      <w:r w:rsidRPr="00E16A61" w:rsidR="001E6FBB">
        <w:rPr>
          <w:rFonts w:ascii="Times New Roman" w:hAnsi="Times New Roman" w:eastAsia="Times New Roman"/>
          <w:i/>
          <w:noProof/>
          <w:sz w:val="24"/>
          <w:szCs w:val="24"/>
        </w:rPr>
        <w:t xml:space="preserve"> </w:t>
      </w:r>
      <w:r w:rsidRPr="00E16A61" w:rsidR="00E16A61">
        <w:rPr>
          <w:rFonts w:ascii="Times New Roman" w:hAnsi="Times New Roman" w:eastAsia="Times New Roman"/>
          <w:noProof/>
          <w:sz w:val="24"/>
          <w:szCs w:val="24"/>
        </w:rPr>
        <w:t>reģionu stratēģija</w:t>
      </w:r>
      <w:r w:rsidR="0079336F">
        <w:rPr>
          <w:rFonts w:ascii="Times New Roman" w:hAnsi="Times New Roman" w:eastAsia="Times New Roman"/>
          <w:noProof/>
          <w:sz w:val="24"/>
          <w:szCs w:val="24"/>
        </w:rPr>
        <w:t>.</w:t>
      </w:r>
    </w:p>
    <w:bookmarkEnd w:id="3"/>
    <w:p w:rsidRPr="00EB6CF9" w:rsidR="00CC7331" w:rsidP="000B428B" w:rsidRDefault="00CC7331" w14:paraId="09EFAD97" w14:textId="05A2FA57">
      <w:pPr>
        <w:spacing w:after="120"/>
        <w:ind w:left="360"/>
        <w:jc w:val="both"/>
        <w:rPr>
          <w:noProof/>
        </w:rPr>
      </w:pPr>
    </w:p>
    <w:p w:rsidR="007D22E4" w:rsidP="00DB5945" w:rsidRDefault="007D22E4" w14:paraId="0E8EF81D" w14:textId="7AFAAE84">
      <w:pPr>
        <w:pStyle w:val="ListParagraph"/>
        <w:numPr>
          <w:ilvl w:val="0"/>
          <w:numId w:val="45"/>
        </w:numPr>
        <w:spacing w:after="120"/>
        <w:jc w:val="both"/>
        <w:rPr>
          <w:rFonts w:ascii="Times New Roman" w:hAnsi="Times New Roman"/>
          <w:b/>
          <w:noProof/>
          <w:sz w:val="24"/>
        </w:rPr>
      </w:pPr>
      <w:bookmarkStart w:name="_Hlk142485377" w:id="4"/>
      <w:bookmarkEnd w:id="2"/>
      <w:r>
        <w:rPr>
          <w:rFonts w:ascii="Times New Roman" w:hAnsi="Times New Roman"/>
          <w:b/>
          <w:noProof/>
          <w:sz w:val="24"/>
        </w:rPr>
        <w:t xml:space="preserve">Likumdošanas programmēšana: Eiropas Komisijas darba programma 2024. gadam </w:t>
      </w:r>
    </w:p>
    <w:p w:rsidR="00C55DB4" w:rsidP="007F1FBD" w:rsidRDefault="00C55DB4" w14:paraId="72B6A5D1" w14:textId="03D07095">
      <w:pPr>
        <w:spacing w:after="120"/>
        <w:jc w:val="both"/>
        <w:rPr>
          <w:noProof/>
        </w:rPr>
      </w:pPr>
      <w:r>
        <w:rPr>
          <w:noProof/>
        </w:rPr>
        <w:t>Eiropas Komisija</w:t>
      </w:r>
      <w:r w:rsidR="00F423FE">
        <w:rPr>
          <w:noProof/>
        </w:rPr>
        <w:t xml:space="preserve"> (turpmāk – </w:t>
      </w:r>
      <w:r w:rsidRPr="00F423FE" w:rsidR="00F423FE">
        <w:rPr>
          <w:noProof/>
        </w:rPr>
        <w:t>Komisija</w:t>
      </w:r>
      <w:r w:rsidR="00F423FE">
        <w:rPr>
          <w:noProof/>
        </w:rPr>
        <w:t>)</w:t>
      </w:r>
      <w:r>
        <w:rPr>
          <w:noProof/>
        </w:rPr>
        <w:t xml:space="preserve"> 2023. gada 17. oktobrī publicēja savu darba programmu 2024. gadam. Darba programmā ietvert</w:t>
      </w:r>
      <w:r w:rsidR="00270C1D">
        <w:rPr>
          <w:noProof/>
        </w:rPr>
        <w:t>as</w:t>
      </w:r>
      <w:r>
        <w:rPr>
          <w:noProof/>
        </w:rPr>
        <w:t xml:space="preserve"> 18 jaunas politikas iniciatīvas, 154</w:t>
      </w:r>
      <w:r w:rsidR="00612ED6">
        <w:rPr>
          <w:noProof/>
        </w:rPr>
        <w:t xml:space="preserve"> </w:t>
      </w:r>
      <w:r w:rsidR="002407E9">
        <w:rPr>
          <w:noProof/>
        </w:rPr>
        <w:t xml:space="preserve">jau pastāvoši </w:t>
      </w:r>
      <w:r>
        <w:rPr>
          <w:noProof/>
        </w:rPr>
        <w:t>priekšlikumi, 26 regulējum</w:t>
      </w:r>
      <w:r w:rsidR="00270C1D">
        <w:rPr>
          <w:noProof/>
        </w:rPr>
        <w:t>u</w:t>
      </w:r>
      <w:r>
        <w:rPr>
          <w:noProof/>
        </w:rPr>
        <w:t xml:space="preserve"> vienkāršošanas iniciatīvas, 6 priekšlikumi atsaukšanai, kā arī 16 priekšlikumi piemērotības izvērtēšanai.</w:t>
      </w:r>
    </w:p>
    <w:p w:rsidR="00C55DB4" w:rsidP="007F1FBD" w:rsidRDefault="00C55DB4" w14:paraId="64042C0C" w14:textId="5C8FD04A">
      <w:pPr>
        <w:spacing w:after="120"/>
        <w:jc w:val="both"/>
        <w:rPr>
          <w:noProof/>
        </w:rPr>
      </w:pPr>
      <w:r>
        <w:rPr>
          <w:noProof/>
        </w:rPr>
        <w:t xml:space="preserve">Līdz gada beigām </w:t>
      </w:r>
      <w:bookmarkStart w:name="_Hlk149548642" w:id="5"/>
      <w:r>
        <w:rPr>
          <w:noProof/>
        </w:rPr>
        <w:t>Komisijai</w:t>
      </w:r>
      <w:bookmarkEnd w:id="5"/>
      <w:r>
        <w:rPr>
          <w:noProof/>
        </w:rPr>
        <w:t>, ES Padomei un Eiropas Parlamentam</w:t>
      </w:r>
      <w:r w:rsidR="00721C3F">
        <w:rPr>
          <w:noProof/>
        </w:rPr>
        <w:t xml:space="preserve"> (turpmāk – EP)</w:t>
      </w:r>
      <w:r>
        <w:rPr>
          <w:noProof/>
        </w:rPr>
        <w:t xml:space="preserve"> jāvienojas par kopīgu deklarāciju, kurā izklāstīti vispārējie mērķi un prioritātes nākamajam gadam un noteikti svarīgi politiskas nozīmes jautājumi.</w:t>
      </w:r>
    </w:p>
    <w:p w:rsidR="007D22E4" w:rsidP="007D22E4" w:rsidRDefault="009F0A36" w14:paraId="1404E3D4" w14:textId="7A37640A">
      <w:pPr>
        <w:spacing w:after="120"/>
        <w:jc w:val="both"/>
        <w:rPr>
          <w:noProof/>
        </w:rPr>
      </w:pPr>
      <w:r w:rsidRPr="00A7256A">
        <w:rPr>
          <w:noProof/>
        </w:rPr>
        <w:t xml:space="preserve">Latvija ir izstrādājusi </w:t>
      </w:r>
      <w:r w:rsidRPr="004C6A4C">
        <w:rPr>
          <w:noProof/>
        </w:rPr>
        <w:t xml:space="preserve">atsevišķu </w:t>
      </w:r>
      <w:r w:rsidRPr="00A7256A">
        <w:rPr>
          <w:noProof/>
        </w:rPr>
        <w:t>nacionālo pozīciju “Par Eiropas Komisijas 202</w:t>
      </w:r>
      <w:r w:rsidRPr="004C6A4C">
        <w:rPr>
          <w:noProof/>
        </w:rPr>
        <w:t>4</w:t>
      </w:r>
      <w:r w:rsidRPr="00A7256A">
        <w:rPr>
          <w:noProof/>
        </w:rPr>
        <w:t>. gada darba program</w:t>
      </w:r>
      <w:r>
        <w:rPr>
          <w:noProof/>
        </w:rPr>
        <w:t>m</w:t>
      </w:r>
      <w:r w:rsidRPr="00A7256A">
        <w:rPr>
          <w:noProof/>
        </w:rPr>
        <w:t>u”</w:t>
      </w:r>
      <w:r w:rsidR="00270C1D">
        <w:rPr>
          <w:noProof/>
        </w:rPr>
        <w:t xml:space="preserve">, kuru plānots apstiprināt Ministru kabinetā un Saeimas Eiropas lietu komisijā novembrī. </w:t>
      </w:r>
    </w:p>
    <w:p w:rsidRPr="007D22E4" w:rsidR="00DD019D" w:rsidP="007D22E4" w:rsidRDefault="00DD019D" w14:paraId="3A05CBA2" w14:textId="77777777">
      <w:pPr>
        <w:spacing w:after="120"/>
        <w:jc w:val="both"/>
        <w:rPr>
          <w:noProof/>
        </w:rPr>
      </w:pPr>
    </w:p>
    <w:p w:rsidRPr="00F87642" w:rsidR="00EB6CF9" w:rsidP="00DB5945" w:rsidRDefault="00B43A7E" w14:paraId="02A47049" w14:textId="34828758">
      <w:pPr>
        <w:pStyle w:val="ListParagraph"/>
        <w:numPr>
          <w:ilvl w:val="0"/>
          <w:numId w:val="45"/>
        </w:numPr>
        <w:spacing w:after="120"/>
        <w:jc w:val="both"/>
        <w:rPr>
          <w:rFonts w:ascii="Times New Roman" w:hAnsi="Times New Roman"/>
          <w:b/>
          <w:noProof/>
          <w:sz w:val="24"/>
        </w:rPr>
      </w:pPr>
      <w:r>
        <w:rPr>
          <w:rFonts w:ascii="Times New Roman" w:hAnsi="Times New Roman"/>
          <w:b/>
          <w:noProof/>
          <w:sz w:val="24"/>
        </w:rPr>
        <w:t xml:space="preserve">2023. gada </w:t>
      </w:r>
      <w:r w:rsidR="001E6FBB">
        <w:rPr>
          <w:rFonts w:ascii="Times New Roman" w:hAnsi="Times New Roman"/>
          <w:b/>
          <w:noProof/>
          <w:sz w:val="24"/>
        </w:rPr>
        <w:t>14.-15</w:t>
      </w:r>
      <w:r>
        <w:rPr>
          <w:rFonts w:ascii="Times New Roman" w:hAnsi="Times New Roman"/>
          <w:b/>
          <w:noProof/>
          <w:sz w:val="24"/>
        </w:rPr>
        <w:t xml:space="preserve">. </w:t>
      </w:r>
      <w:r w:rsidR="001E6FBB">
        <w:rPr>
          <w:rFonts w:ascii="Times New Roman" w:hAnsi="Times New Roman"/>
          <w:b/>
          <w:noProof/>
          <w:sz w:val="24"/>
        </w:rPr>
        <w:t>decembra</w:t>
      </w:r>
      <w:r>
        <w:rPr>
          <w:rFonts w:ascii="Times New Roman" w:hAnsi="Times New Roman"/>
          <w:b/>
          <w:noProof/>
          <w:sz w:val="24"/>
        </w:rPr>
        <w:t xml:space="preserve"> Eiropadomes sagatavošana</w:t>
      </w:r>
    </w:p>
    <w:p w:rsidR="0093526F" w:rsidP="007B1629" w:rsidRDefault="002B3172" w14:paraId="75E3261E" w14:textId="0B61C89E">
      <w:pPr>
        <w:spacing w:after="120"/>
        <w:jc w:val="both"/>
      </w:pPr>
      <w:r>
        <w:t xml:space="preserve">VLP ir plānota dalībvalstu viedokļu apmaiņa par </w:t>
      </w:r>
      <w:r w:rsidRPr="00E05CAE">
        <w:t xml:space="preserve">14.-15. decembra </w:t>
      </w:r>
      <w:r>
        <w:t>Eiropadomes izvērsto darba kārtības projektu. Informatīvā ziņojuma sagatavošanas laikā tas vēl nav pieejams. Diskusijas varētu notikt par Krievijas karu Ukrainā, daudzgadu budžeta vidusposma pārskatīšanu, ES paplašināšanos, ekonomiku un migrāciju. Diskusiju jautājumi var mainīties, ņemot vērā aktuālos notikumus.</w:t>
      </w:r>
    </w:p>
    <w:p w:rsidRPr="000B428B" w:rsidR="00DD019D" w:rsidP="007B1629" w:rsidRDefault="00DD019D" w14:paraId="415A02CE" w14:textId="77777777">
      <w:pPr>
        <w:spacing w:after="120"/>
        <w:jc w:val="both"/>
        <w:rPr>
          <w:noProof/>
        </w:rPr>
      </w:pPr>
    </w:p>
    <w:bookmarkEnd w:id="4"/>
    <w:p w:rsidRPr="00DB5945" w:rsidR="009D609D" w:rsidP="00DB5945" w:rsidRDefault="001E6FBB" w14:paraId="41423380" w14:textId="5BE8F076">
      <w:pPr>
        <w:pStyle w:val="ListParagraph"/>
        <w:numPr>
          <w:ilvl w:val="0"/>
          <w:numId w:val="45"/>
        </w:numPr>
        <w:spacing w:after="120"/>
        <w:rPr>
          <w:rFonts w:ascii="Times New Roman" w:hAnsi="Times New Roman"/>
          <w:b/>
          <w:noProof/>
          <w:sz w:val="24"/>
        </w:rPr>
      </w:pPr>
      <w:r>
        <w:rPr>
          <w:rFonts w:ascii="Times New Roman" w:hAnsi="Times New Roman"/>
          <w:b/>
          <w:noProof/>
          <w:sz w:val="24"/>
        </w:rPr>
        <w:t>Tiesiskums Polijā/ LES 7(1). pants</w:t>
      </w:r>
    </w:p>
    <w:p w:rsidR="00DB5945" w:rsidP="007B1629" w:rsidRDefault="009C66B8" w14:paraId="5ACFC359" w14:textId="06D48295">
      <w:pPr>
        <w:spacing w:after="120"/>
        <w:jc w:val="both"/>
        <w:rPr>
          <w:noProof/>
        </w:rPr>
      </w:pPr>
      <w:r w:rsidRPr="009C66B8">
        <w:rPr>
          <w:noProof/>
        </w:rPr>
        <w:t>VLP notiks aktuālās informācijas sniegšana</w:t>
      </w:r>
      <w:r w:rsidR="002407E9">
        <w:rPr>
          <w:noProof/>
        </w:rPr>
        <w:t xml:space="preserve"> s</w:t>
      </w:r>
      <w:r w:rsidRPr="009C66B8">
        <w:rPr>
          <w:noProof/>
        </w:rPr>
        <w:t>askaņā ar Līguma par ES 7(1). panta procedūru, kuru Komisija ierosināja 2017. gad</w:t>
      </w:r>
      <w:r w:rsidR="00F429E8">
        <w:rPr>
          <w:noProof/>
        </w:rPr>
        <w:t xml:space="preserve">ā. </w:t>
      </w:r>
      <w:r w:rsidRPr="009C66B8">
        <w:rPr>
          <w:noProof/>
        </w:rPr>
        <w:t xml:space="preserve">Komisija uzsāka pārkāpuma procedūru pret Poliju </w:t>
      </w:r>
      <w:r w:rsidR="00F429E8">
        <w:rPr>
          <w:noProof/>
        </w:rPr>
        <w:t xml:space="preserve">saistībā ar </w:t>
      </w:r>
      <w:r w:rsidRPr="009C66B8">
        <w:rPr>
          <w:noProof/>
        </w:rPr>
        <w:t xml:space="preserve">Polijas Likumu par vispārējām tiesām, t.sk. par Vispārējās tiesas tiesnešu </w:t>
      </w:r>
      <w:r w:rsidRPr="009C66B8">
        <w:rPr>
          <w:noProof/>
        </w:rPr>
        <w:lastRenderedPageBreak/>
        <w:t xml:space="preserve">pensionēšanās vecuma samazināšanas ietekmi uz tiesu varas neatkarību. </w:t>
      </w:r>
      <w:r w:rsidR="00F429E8">
        <w:rPr>
          <w:noProof/>
        </w:rPr>
        <w:t xml:space="preserve">Sanāksmē </w:t>
      </w:r>
      <w:r w:rsidRPr="009C66B8">
        <w:rPr>
          <w:noProof/>
        </w:rPr>
        <w:t>Komisija un Polija informēs par situācijas attīstību. Dalībvalstīm būs iespēja izteikties vai uzdot jautājumus, balstoties uz procedūras ierosināšanā izvirzītajiem ES vērtību pārkāpumiem. Lēmumu pieņemšana nav paredzēta. Iepriekšējās Polijas formālās uzklausīšanas notikušas 2018. gada 26. jūnijā, 18. septembrī, 11.</w:t>
      </w:r>
      <w:r>
        <w:rPr>
          <w:noProof/>
        </w:rPr>
        <w:t> </w:t>
      </w:r>
      <w:r w:rsidRPr="009C66B8">
        <w:rPr>
          <w:noProof/>
        </w:rPr>
        <w:t>decembrī, 2021. gada 22. jūnijā, 2022. gada 22.</w:t>
      </w:r>
      <w:r w:rsidR="0038493A">
        <w:rPr>
          <w:noProof/>
        </w:rPr>
        <w:t> </w:t>
      </w:r>
      <w:r w:rsidRPr="009C66B8">
        <w:rPr>
          <w:noProof/>
        </w:rPr>
        <w:t>februārī un 2023. gada 30. maijā.</w:t>
      </w:r>
    </w:p>
    <w:p w:rsidRPr="007B1629" w:rsidR="00DD019D" w:rsidP="007B1629" w:rsidRDefault="00DD019D" w14:paraId="7C1F80F4" w14:textId="77777777">
      <w:pPr>
        <w:spacing w:after="120"/>
        <w:jc w:val="both"/>
        <w:rPr>
          <w:noProof/>
        </w:rPr>
      </w:pPr>
    </w:p>
    <w:p w:rsidRPr="00DB5945" w:rsidR="009D609D" w:rsidP="00DB5945" w:rsidRDefault="001E6FBB" w14:paraId="559F2BA4" w14:textId="747E2BF5">
      <w:pPr>
        <w:pStyle w:val="ListParagraph"/>
        <w:numPr>
          <w:ilvl w:val="0"/>
          <w:numId w:val="45"/>
        </w:numPr>
        <w:spacing w:after="120"/>
        <w:rPr>
          <w:rFonts w:ascii="Times New Roman" w:hAnsi="Times New Roman"/>
          <w:b/>
          <w:noProof/>
          <w:sz w:val="24"/>
        </w:rPr>
      </w:pPr>
      <w:r>
        <w:rPr>
          <w:rFonts w:ascii="Times New Roman" w:hAnsi="Times New Roman"/>
          <w:b/>
          <w:noProof/>
          <w:sz w:val="24"/>
        </w:rPr>
        <w:t>ES vērtības Ungārijā/ LES 7(1). pants</w:t>
      </w:r>
    </w:p>
    <w:p w:rsidR="00091256" w:rsidP="007B1629" w:rsidRDefault="009C66B8" w14:paraId="14478765" w14:textId="14C24DE5">
      <w:pPr>
        <w:spacing w:after="120"/>
        <w:jc w:val="both"/>
        <w:rPr>
          <w:noProof/>
        </w:rPr>
      </w:pPr>
      <w:r w:rsidRPr="009C66B8">
        <w:rPr>
          <w:noProof/>
        </w:rPr>
        <w:t>VLP notiks a</w:t>
      </w:r>
      <w:r w:rsidR="0038493A">
        <w:rPr>
          <w:noProof/>
        </w:rPr>
        <w:t>k</w:t>
      </w:r>
      <w:r w:rsidRPr="009C66B8">
        <w:rPr>
          <w:noProof/>
        </w:rPr>
        <w:t>tuālās informācijas sniegšana</w:t>
      </w:r>
      <w:r w:rsidR="00DF364E">
        <w:rPr>
          <w:noProof/>
        </w:rPr>
        <w:t xml:space="preserve"> </w:t>
      </w:r>
      <w:r w:rsidRPr="009C66B8">
        <w:rPr>
          <w:noProof/>
        </w:rPr>
        <w:t xml:space="preserve">saskaņā ar Līguma par ES 7(1). panta procedūru. Procedūra </w:t>
      </w:r>
      <w:r w:rsidR="00DF364E">
        <w:rPr>
          <w:noProof/>
        </w:rPr>
        <w:t xml:space="preserve">pret Ungāriju </w:t>
      </w:r>
      <w:r w:rsidRPr="009C66B8">
        <w:rPr>
          <w:noProof/>
        </w:rPr>
        <w:t>tika ierosināta 2018. gad</w:t>
      </w:r>
      <w:r w:rsidR="00DA07E6">
        <w:rPr>
          <w:noProof/>
        </w:rPr>
        <w:t xml:space="preserve">ā, </w:t>
      </w:r>
      <w:r w:rsidRPr="009C66B8">
        <w:rPr>
          <w:noProof/>
        </w:rPr>
        <w:t xml:space="preserve">pamatojoties uz </w:t>
      </w:r>
      <w:r w:rsidR="00721C3F">
        <w:rPr>
          <w:noProof/>
        </w:rPr>
        <w:t>EP</w:t>
      </w:r>
      <w:r w:rsidRPr="009C66B8">
        <w:rPr>
          <w:noProof/>
        </w:rPr>
        <w:t xml:space="preserve"> rezolūciju. Komisija un Ungārija informēs par situācijas attīstību, dalībvalstīm būs iespēja izteikties vai uzdot jautājumus, balstoties uz procedūras</w:t>
      </w:r>
      <w:r>
        <w:rPr>
          <w:noProof/>
        </w:rPr>
        <w:t xml:space="preserve"> </w:t>
      </w:r>
      <w:r w:rsidRPr="009C66B8">
        <w:rPr>
          <w:noProof/>
        </w:rPr>
        <w:t>ierosināšanā izvirzītajiem ES vērtību pārkāpumiem. Lēmumu pieņemšana nav paredzēta. Iepriekšējās Ungārijas uzklausīšanas notikušas 2019. gada 16. septembrī un 10. decembrī, 2021. gada 22. jūnijā, 2022. gada 23.</w:t>
      </w:r>
      <w:r w:rsidR="0038493A">
        <w:rPr>
          <w:noProof/>
        </w:rPr>
        <w:t> </w:t>
      </w:r>
      <w:r w:rsidRPr="009C66B8">
        <w:rPr>
          <w:noProof/>
        </w:rPr>
        <w:t>maijā, 18. novembrī un 2023. gada 30. maijā.</w:t>
      </w:r>
    </w:p>
    <w:p w:rsidRPr="007B1629" w:rsidR="00DD019D" w:rsidP="007B1629" w:rsidRDefault="00DD019D" w14:paraId="1D6DF78C" w14:textId="77777777">
      <w:pPr>
        <w:spacing w:after="120"/>
        <w:jc w:val="both"/>
        <w:rPr>
          <w:noProof/>
        </w:rPr>
      </w:pPr>
    </w:p>
    <w:p w:rsidRPr="00DB5945" w:rsidR="00B4566E" w:rsidP="00DB5945" w:rsidRDefault="00D228E6" w14:paraId="2A2D8472" w14:textId="4FE99B59">
      <w:pPr>
        <w:pStyle w:val="ListParagraph"/>
        <w:numPr>
          <w:ilvl w:val="0"/>
          <w:numId w:val="45"/>
        </w:numPr>
        <w:spacing w:after="120"/>
        <w:rPr>
          <w:rFonts w:ascii="Times New Roman" w:hAnsi="Times New Roman"/>
          <w:b/>
          <w:noProof/>
          <w:sz w:val="24"/>
        </w:rPr>
      </w:pPr>
      <w:r>
        <w:rPr>
          <w:rFonts w:ascii="Times New Roman" w:hAnsi="Times New Roman"/>
          <w:b/>
          <w:noProof/>
          <w:sz w:val="24"/>
        </w:rPr>
        <w:t>Eiropas</w:t>
      </w:r>
      <w:r w:rsidR="001E6FBB">
        <w:rPr>
          <w:rFonts w:ascii="Times New Roman" w:hAnsi="Times New Roman"/>
          <w:b/>
          <w:noProof/>
          <w:sz w:val="24"/>
        </w:rPr>
        <w:t xml:space="preserve"> nākotne</w:t>
      </w:r>
    </w:p>
    <w:p w:rsidRPr="00F1791D" w:rsidR="00B448A9" w:rsidP="001E7E7C" w:rsidRDefault="00B448A9" w14:paraId="6A6E71A9" w14:textId="3E64E838">
      <w:pPr>
        <w:jc w:val="both"/>
      </w:pPr>
      <w:bookmarkStart w:name="_Hlk149487966" w:id="6"/>
      <w:r>
        <w:t xml:space="preserve">2023. gada </w:t>
      </w:r>
      <w:r w:rsidRPr="00F1791D">
        <w:t>6. oktobra Granadas neformālās Eiropadomes deklarācijā līderi uzsvēra, ka ar skatu uz paplašinātu E</w:t>
      </w:r>
      <w:r>
        <w:t xml:space="preserve">S </w:t>
      </w:r>
      <w:r w:rsidRPr="00F1791D">
        <w:t>abām pusēm – gan E</w:t>
      </w:r>
      <w:r>
        <w:t>S</w:t>
      </w:r>
      <w:r w:rsidRPr="00F1791D">
        <w:t xml:space="preserve">, gan nākotnes dalībvalstīm - ir </w:t>
      </w:r>
      <w:r w:rsidR="008844CD">
        <w:t xml:space="preserve">nepieciešams sagatavoties. </w:t>
      </w:r>
      <w:r w:rsidRPr="00F1791D">
        <w:t>Nākotnes dalībvalstīm ir jāpieliek pūles reformu īstenošanā</w:t>
      </w:r>
      <w:r>
        <w:t xml:space="preserve">. </w:t>
      </w:r>
      <w:r w:rsidRPr="00F1791D">
        <w:t>Paralēli tam, E</w:t>
      </w:r>
      <w:r>
        <w:t xml:space="preserve">S </w:t>
      </w:r>
      <w:r w:rsidRPr="00F1791D">
        <w:t xml:space="preserve">ir jāveic nepieciešamais iekšējais pamatdarbs un reformas. </w:t>
      </w:r>
    </w:p>
    <w:bookmarkEnd w:id="6"/>
    <w:p w:rsidR="00B448A9" w:rsidP="001E7E7C" w:rsidRDefault="00B448A9" w14:paraId="2A0B4387" w14:textId="77777777">
      <w:pPr>
        <w:spacing w:before="120" w:after="120"/>
        <w:jc w:val="both"/>
      </w:pPr>
      <w:r w:rsidRPr="00E139BD">
        <w:t>2023. gada 27.–28.</w:t>
      </w:r>
      <w:r>
        <w:t> </w:t>
      </w:r>
      <w:r w:rsidRPr="00E139BD">
        <w:t>septembra neformāl</w:t>
      </w:r>
      <w:r>
        <w:t xml:space="preserve">ā </w:t>
      </w:r>
      <w:r w:rsidRPr="00E139BD">
        <w:t>VLP</w:t>
      </w:r>
      <w:r>
        <w:t xml:space="preserve"> </w:t>
      </w:r>
      <w:r w:rsidRPr="00E139BD">
        <w:t xml:space="preserve">ministri pārrunāja tādus jautājumus kā ES paplašināšanās iespējamā ietekme uz ES budžetu un politikām (kohēzijas politika, lauksaimniecības politika, klimata politika, vērtību aizsardzība), institucionālie jautājumi un ideja par pakāpenisko pievienošanos. </w:t>
      </w:r>
      <w:r>
        <w:t xml:space="preserve">Neformāla diskusija norisinājās arī 24. oktobra VLP sanāksmē un turpināsies 15. novembra sanāksmē. </w:t>
      </w:r>
    </w:p>
    <w:p w:rsidR="00B448A9" w:rsidP="001E7E7C" w:rsidRDefault="00B448A9" w14:paraId="0D2A5170" w14:textId="77777777">
      <w:pPr>
        <w:spacing w:before="120"/>
        <w:jc w:val="both"/>
      </w:pPr>
      <w:r w:rsidRPr="009B15A3">
        <w:t xml:space="preserve">Tālākie soļi: </w:t>
      </w:r>
      <w:r>
        <w:t xml:space="preserve">14.-15. decembra Eiropadomē plānots uzsākt pārdomu procesu par </w:t>
      </w:r>
      <w:r w:rsidRPr="009B15A3">
        <w:t>ES absorbcij</w:t>
      </w:r>
      <w:r>
        <w:t>u</w:t>
      </w:r>
      <w:r w:rsidRPr="009B15A3">
        <w:t xml:space="preserve"> un pielāgošanos</w:t>
      </w:r>
      <w:r>
        <w:t xml:space="preserve">, kā arī izveidot tam struktūru. </w:t>
      </w:r>
      <w:r w:rsidRPr="00F1791D">
        <w:t>Šobrīd notiek aktīvas diskusijas V</w:t>
      </w:r>
      <w:r>
        <w:t xml:space="preserve">LP </w:t>
      </w:r>
      <w:r w:rsidRPr="00F1791D">
        <w:t xml:space="preserve">ietvaros, lai sagatavotu Eiropadomes lēmumus. </w:t>
      </w:r>
      <w:r>
        <w:t>Tāpat 2</w:t>
      </w:r>
      <w:r w:rsidRPr="009B15A3">
        <w:t>023.</w:t>
      </w:r>
      <w:r>
        <w:t xml:space="preserve"> </w:t>
      </w:r>
      <w:r w:rsidRPr="009B15A3">
        <w:t xml:space="preserve">gada novembrī Komisija plāno nākt klajā ar ikgadējo </w:t>
      </w:r>
      <w:r>
        <w:t>p</w:t>
      </w:r>
      <w:r w:rsidRPr="009B15A3">
        <w:t>aplašināšanās pakotni, kurā pirmo reizi tiks iekļauts ziņojums par Ukrainu un Moldovu pēc kandidātvalsts statusa piešķiršanas. 2023. gada decembrī plānots apstiprināt ES Padomes secinājumus par šo tēmu.</w:t>
      </w:r>
      <w:r w:rsidRPr="00CF1545">
        <w:t xml:space="preserve">  </w:t>
      </w:r>
    </w:p>
    <w:p w:rsidR="001B3EB8" w:rsidP="001E7E7C" w:rsidRDefault="000A742F" w14:paraId="702E3EE7" w14:textId="6FC84BEA">
      <w:pPr>
        <w:pStyle w:val="darba"/>
        <w:rPr>
          <w:noProof/>
        </w:rPr>
      </w:pPr>
      <w:r w:rsidRPr="00187156">
        <w:rPr>
          <w:noProof/>
        </w:rPr>
        <w:t xml:space="preserve">Latvijas ieskatā, gatavojoties </w:t>
      </w:r>
      <w:r>
        <w:rPr>
          <w:noProof/>
        </w:rPr>
        <w:t xml:space="preserve">ES </w:t>
      </w:r>
      <w:r w:rsidRPr="00187156">
        <w:rPr>
          <w:noProof/>
        </w:rPr>
        <w:t xml:space="preserve">paplašināšanās procesam, </w:t>
      </w:r>
      <w:r w:rsidRPr="00E66652">
        <w:rPr>
          <w:noProof/>
        </w:rPr>
        <w:t>pilnvērtīgi jāizmanto esošo līgumu potenciāls</w:t>
      </w:r>
      <w:r w:rsidRPr="00187156">
        <w:rPr>
          <w:noProof/>
        </w:rPr>
        <w:t>. Latvija piekrīt, ka paplašināšanās procesā ES būs jāmeklē jauna pieeja tās politikās.</w:t>
      </w:r>
    </w:p>
    <w:p w:rsidRPr="00BE283D" w:rsidR="00DA6915" w:rsidP="0060063B" w:rsidRDefault="00DA6915" w14:paraId="4484E801" w14:textId="77777777">
      <w:pPr>
        <w:pStyle w:val="darba"/>
        <w:rPr>
          <w:noProof/>
        </w:rPr>
      </w:pPr>
    </w:p>
    <w:p w:rsidRPr="00DB5945" w:rsidR="00F92419" w:rsidP="00DB5945" w:rsidRDefault="00634852" w14:paraId="2881725C" w14:textId="3A69856A">
      <w:pPr>
        <w:pStyle w:val="ListParagraph"/>
        <w:numPr>
          <w:ilvl w:val="0"/>
          <w:numId w:val="45"/>
        </w:numPr>
        <w:spacing w:after="120"/>
        <w:rPr>
          <w:rFonts w:ascii="Times New Roman" w:hAnsi="Times New Roman"/>
          <w:b/>
          <w:noProof/>
          <w:sz w:val="24"/>
        </w:rPr>
      </w:pPr>
      <w:bookmarkStart w:name="_Hlk148951035" w:id="7"/>
      <w:r>
        <w:rPr>
          <w:rFonts w:ascii="Times New Roman" w:hAnsi="Times New Roman"/>
          <w:b/>
          <w:noProof/>
          <w:sz w:val="24"/>
        </w:rPr>
        <w:t>Eiropas</w:t>
      </w:r>
      <w:r w:rsidR="001E6FBB">
        <w:rPr>
          <w:rFonts w:ascii="Times New Roman" w:hAnsi="Times New Roman"/>
          <w:b/>
          <w:noProof/>
          <w:sz w:val="24"/>
        </w:rPr>
        <w:t xml:space="preserve"> </w:t>
      </w:r>
      <w:r w:rsidR="00D228E6">
        <w:rPr>
          <w:rFonts w:ascii="Times New Roman" w:hAnsi="Times New Roman"/>
          <w:b/>
          <w:noProof/>
          <w:sz w:val="24"/>
        </w:rPr>
        <w:t>Vēlēšanu akts</w:t>
      </w:r>
    </w:p>
    <w:p w:rsidR="00A5514E" w:rsidP="007607B3" w:rsidRDefault="00C437B4" w14:paraId="396B3530" w14:textId="33481561">
      <w:pPr>
        <w:spacing w:after="120"/>
        <w:jc w:val="both"/>
      </w:pPr>
      <w:bookmarkStart w:name="_Hlk57195308" w:id="8"/>
      <w:bookmarkEnd w:id="7"/>
      <w:r>
        <w:t>EP</w:t>
      </w:r>
      <w:bookmarkStart w:name="_GoBack" w:id="9"/>
      <w:bookmarkEnd w:id="9"/>
      <w:r w:rsidRPr="00B47A47" w:rsidR="001C589A">
        <w:t xml:space="preserve"> </w:t>
      </w:r>
      <w:bookmarkStart w:name="_Hlk104964770" w:id="10"/>
      <w:r w:rsidRPr="00B47A47" w:rsidR="001C589A">
        <w:t xml:space="preserve">priekšlikums ES Padomes regulai par Eiropas Parlamenta deputātu ievēlēšanu tiešās vispārējās vēlēšanās, ar ko atceļ Padomes Lēmumu (76/787/EOTK, EEK, </w:t>
      </w:r>
      <w:proofErr w:type="spellStart"/>
      <w:r w:rsidRPr="00B47A47" w:rsidR="001C589A">
        <w:t>Euratom</w:t>
      </w:r>
      <w:proofErr w:type="spellEnd"/>
      <w:r w:rsidRPr="00B47A47" w:rsidR="001C589A">
        <w:t xml:space="preserve">) un Aktu par Eiropas Parlamenta deputātu ievēlēšanu tiešās vispārējās vēlēšanās, kas pievienots minētajam lēmumam, un ar ko groza Regulu (ES, </w:t>
      </w:r>
      <w:proofErr w:type="spellStart"/>
      <w:r w:rsidRPr="00B47A47" w:rsidR="001C589A">
        <w:t>Euratom</w:t>
      </w:r>
      <w:proofErr w:type="spellEnd"/>
      <w:r w:rsidRPr="00B47A47" w:rsidR="001C589A">
        <w:t>) Nr. 1141/2014</w:t>
      </w:r>
      <w:bookmarkEnd w:id="10"/>
      <w:r w:rsidRPr="00B47A47" w:rsidR="001C589A">
        <w:rPr>
          <w:sz w:val="20"/>
          <w:szCs w:val="20"/>
          <w:vertAlign w:val="superscript"/>
        </w:rPr>
        <w:footnoteReference w:id="2"/>
      </w:r>
      <w:r w:rsidRPr="00B47A47" w:rsidR="001C589A">
        <w:t xml:space="preserve"> paredz pašreizējās </w:t>
      </w:r>
      <w:r w:rsidR="00721C3F">
        <w:t>EP</w:t>
      </w:r>
      <w:r w:rsidRPr="00B47A47" w:rsidR="001C589A">
        <w:t xml:space="preserve"> vēlēšanu sistēmas reformu. Regulas priekšlikuma autori </w:t>
      </w:r>
      <w:r w:rsidRPr="00B47A47" w:rsidR="001C589A">
        <w:lastRenderedPageBreak/>
        <w:t xml:space="preserve">uzskata, ka </w:t>
      </w:r>
      <w:r w:rsidR="00721C3F">
        <w:t>EP</w:t>
      </w:r>
      <w:r w:rsidRPr="00B47A47" w:rsidR="001C589A">
        <w:t xml:space="preserve"> vēlēšanu procedūras reforma palielinātu </w:t>
      </w:r>
      <w:r w:rsidR="00721C3F">
        <w:t>EP</w:t>
      </w:r>
      <w:r w:rsidRPr="00B47A47" w:rsidR="001C589A">
        <w:t xml:space="preserve"> vēlēšanu pieejamību.</w:t>
      </w:r>
      <w:r w:rsidR="00A5514E">
        <w:t xml:space="preserve"> Sanāksmē </w:t>
      </w:r>
      <w:r w:rsidRPr="00B47A47" w:rsidR="00A5514E">
        <w:t xml:space="preserve">Spānijas prezidentūra plāno politisko diskusiju par </w:t>
      </w:r>
      <w:r w:rsidR="00A5514E">
        <w:t xml:space="preserve">šo </w:t>
      </w:r>
      <w:r w:rsidRPr="00B47A47" w:rsidR="00A5514E">
        <w:t>Regulas priekšlikumu.</w:t>
      </w:r>
    </w:p>
    <w:p w:rsidRPr="00B47A47" w:rsidR="001B7DD5" w:rsidP="007607B3" w:rsidRDefault="00DD019D" w14:paraId="6D7B6A29" w14:textId="24AAF867">
      <w:pPr>
        <w:spacing w:after="120"/>
        <w:jc w:val="both"/>
        <w:rPr>
          <w:rStyle w:val="word"/>
        </w:rPr>
      </w:pPr>
      <w:r>
        <w:rPr>
          <w:iCs/>
          <w:noProof/>
        </w:rPr>
        <w:t>Kopumā Latvija a</w:t>
      </w:r>
      <w:r w:rsidRPr="00CB621B">
        <w:rPr>
          <w:iCs/>
          <w:noProof/>
        </w:rPr>
        <w:t>tbalst</w:t>
      </w:r>
      <w:r>
        <w:rPr>
          <w:iCs/>
          <w:noProof/>
        </w:rPr>
        <w:t xml:space="preserve">a </w:t>
      </w:r>
      <w:r w:rsidRPr="00CB621B">
        <w:rPr>
          <w:iCs/>
          <w:noProof/>
        </w:rPr>
        <w:t xml:space="preserve">Regulas priekšlikuma noteikumus, kas pārņemti no </w:t>
      </w:r>
      <w:r>
        <w:rPr>
          <w:iCs/>
          <w:noProof/>
        </w:rPr>
        <w:t xml:space="preserve">šobrīd </w:t>
      </w:r>
      <w:r w:rsidRPr="00CB621B">
        <w:rPr>
          <w:iCs/>
          <w:noProof/>
        </w:rPr>
        <w:t xml:space="preserve">spēkā esošā </w:t>
      </w:r>
      <w:r>
        <w:rPr>
          <w:iCs/>
          <w:noProof/>
        </w:rPr>
        <w:t>Eiropas v</w:t>
      </w:r>
      <w:r w:rsidRPr="00CB621B">
        <w:rPr>
          <w:iCs/>
          <w:noProof/>
        </w:rPr>
        <w:t>ēlēšanu akta, ciktāl tie nav saistīti ar ES mēroga vēlēšanu apgabala ieviešanu un dalībvalstu rīcības brīvības mazināšanu.</w:t>
      </w:r>
    </w:p>
    <w:p w:rsidRPr="0042205C" w:rsidR="000E46E7" w:rsidRDefault="000E46E7" w14:paraId="0F81436B" w14:textId="77777777">
      <w:pPr>
        <w:spacing w:after="120" w:line="276" w:lineRule="auto"/>
        <w:jc w:val="both"/>
      </w:pPr>
    </w:p>
    <w:p w:rsidR="007D22E4" w:rsidP="001E6FBB" w:rsidRDefault="007D22E4" w14:paraId="3A000408" w14:textId="74F11F81">
      <w:pPr>
        <w:pStyle w:val="ListParagraph"/>
        <w:numPr>
          <w:ilvl w:val="0"/>
          <w:numId w:val="45"/>
        </w:numPr>
        <w:spacing w:after="120"/>
        <w:jc w:val="both"/>
        <w:rPr>
          <w:rFonts w:ascii="Times New Roman" w:hAnsi="Times New Roman" w:eastAsia="Times New Roman"/>
          <w:b/>
          <w:noProof/>
          <w:sz w:val="24"/>
          <w:szCs w:val="24"/>
        </w:rPr>
      </w:pPr>
      <w:r>
        <w:rPr>
          <w:rFonts w:ascii="Times New Roman" w:hAnsi="Times New Roman" w:eastAsia="Times New Roman"/>
          <w:b/>
          <w:noProof/>
          <w:sz w:val="24"/>
          <w:szCs w:val="24"/>
        </w:rPr>
        <w:t>ES</w:t>
      </w:r>
      <w:r w:rsidR="008B264D">
        <w:rPr>
          <w:rFonts w:ascii="Times New Roman" w:hAnsi="Times New Roman" w:eastAsia="Times New Roman"/>
          <w:b/>
          <w:noProof/>
          <w:sz w:val="24"/>
          <w:szCs w:val="24"/>
        </w:rPr>
        <w:t xml:space="preserve"> </w:t>
      </w:r>
      <w:r>
        <w:rPr>
          <w:rFonts w:ascii="Times New Roman" w:hAnsi="Times New Roman" w:eastAsia="Times New Roman"/>
          <w:b/>
          <w:noProof/>
          <w:sz w:val="24"/>
          <w:szCs w:val="24"/>
        </w:rPr>
        <w:t>-</w:t>
      </w:r>
      <w:r w:rsidR="008B264D">
        <w:rPr>
          <w:rFonts w:ascii="Times New Roman" w:hAnsi="Times New Roman" w:eastAsia="Times New Roman"/>
          <w:b/>
          <w:noProof/>
          <w:sz w:val="24"/>
          <w:szCs w:val="24"/>
        </w:rPr>
        <w:t xml:space="preserve"> </w:t>
      </w:r>
      <w:r>
        <w:rPr>
          <w:rFonts w:ascii="Times New Roman" w:hAnsi="Times New Roman" w:eastAsia="Times New Roman"/>
          <w:b/>
          <w:noProof/>
          <w:sz w:val="24"/>
          <w:szCs w:val="24"/>
        </w:rPr>
        <w:t>Apvienotās Karalistes attiecības</w:t>
      </w:r>
    </w:p>
    <w:p w:rsidR="00F423FE" w:rsidP="00151BC5" w:rsidRDefault="00120E19" w14:paraId="15CB6EF2" w14:textId="0C71DDBE">
      <w:pPr>
        <w:spacing w:after="120"/>
        <w:jc w:val="both"/>
        <w:rPr>
          <w:noProof/>
        </w:rPr>
      </w:pPr>
      <w:r>
        <w:rPr>
          <w:noProof/>
        </w:rPr>
        <w:t>P</w:t>
      </w:r>
      <w:r w:rsidR="00F423FE">
        <w:rPr>
          <w:noProof/>
        </w:rPr>
        <w:t xml:space="preserve">lānota diskusija par aktuālāko ES un Apvienotās Karalistes (turpmāk – AK) attiecībās. </w:t>
      </w:r>
      <w:r>
        <w:rPr>
          <w:noProof/>
        </w:rPr>
        <w:t xml:space="preserve">Sagaidāma diskusija par </w:t>
      </w:r>
      <w:r w:rsidR="00F423FE">
        <w:rPr>
          <w:noProof/>
        </w:rPr>
        <w:t>Vindzoras ietvara ieviešan</w:t>
      </w:r>
      <w:r>
        <w:rPr>
          <w:noProof/>
        </w:rPr>
        <w:t>u</w:t>
      </w:r>
      <w:r w:rsidR="00F423FE">
        <w:rPr>
          <w:noProof/>
        </w:rPr>
        <w:t>, sadarbīb</w:t>
      </w:r>
      <w:r>
        <w:rPr>
          <w:noProof/>
        </w:rPr>
        <w:t>u</w:t>
      </w:r>
      <w:r w:rsidR="00F423FE">
        <w:rPr>
          <w:noProof/>
        </w:rPr>
        <w:t xml:space="preserve"> ārlietās (strukturēto dialogu pretterorisma un kiberdrošības jautājumos uzsākšana), pilsoņu tiesīb</w:t>
      </w:r>
      <w:r>
        <w:rPr>
          <w:noProof/>
        </w:rPr>
        <w:t xml:space="preserve">ām </w:t>
      </w:r>
      <w:r w:rsidR="00F423FE">
        <w:rPr>
          <w:noProof/>
        </w:rPr>
        <w:t>un dalīb</w:t>
      </w:r>
      <w:r>
        <w:rPr>
          <w:noProof/>
        </w:rPr>
        <w:t>u</w:t>
      </w:r>
      <w:r w:rsidR="00F423FE">
        <w:rPr>
          <w:noProof/>
        </w:rPr>
        <w:t xml:space="preserve"> ES programmās. </w:t>
      </w:r>
    </w:p>
    <w:p w:rsidR="00F423FE" w:rsidP="00151BC5" w:rsidRDefault="00F423FE" w14:paraId="386C06DE" w14:textId="39D4647A">
      <w:pPr>
        <w:spacing w:after="120"/>
        <w:jc w:val="both"/>
        <w:rPr>
          <w:noProof/>
        </w:rPr>
      </w:pPr>
      <w:r>
        <w:rPr>
          <w:noProof/>
        </w:rPr>
        <w:t xml:space="preserve">2024. gada 27. februārī Vindzorā Komisija un AK valdība panāca principiālu politisku vienošanos, nosaucot to par Vindzoras ietvaru. Komisijas vērtējumā īsajā laikā kopš Vindzoras apstiprināšanas ir </w:t>
      </w:r>
      <w:r w:rsidR="00151BC5">
        <w:rPr>
          <w:noProof/>
        </w:rPr>
        <w:t xml:space="preserve">vērojams </w:t>
      </w:r>
      <w:r>
        <w:rPr>
          <w:noProof/>
        </w:rPr>
        <w:t xml:space="preserve">labs progress un AK vēlme garantēt noteiktos kontroles mehānismus, lai īstenotu preču atvieglotu kustību starp Lielbritāniju uz Ziemeļīriju. </w:t>
      </w:r>
    </w:p>
    <w:p w:rsidR="00F423FE" w:rsidP="00151BC5" w:rsidRDefault="00F423FE" w14:paraId="23503B08" w14:textId="77777777">
      <w:pPr>
        <w:spacing w:after="120"/>
        <w:jc w:val="both"/>
        <w:rPr>
          <w:noProof/>
        </w:rPr>
      </w:pPr>
      <w:r>
        <w:rPr>
          <w:noProof/>
        </w:rPr>
        <w:t>Ņemot vērā ģeopolitisko kontekstu un attiecību ar AK nozīmi, dalībvalstis, jo īpaši Baltijas valstis, ir paudušas atbalstu veicināt sadarbību ārlietu un drošības politikas jomās, šogad uzsākot kiberdrošības un pretterorisma dialogus, nākošajā gadā - pārējos Tirdzniecības un sadarbības nolīgumā paredzētos dialogus: kodolieroču neizplatīšana, kājnieku un vieglie ieroči (</w:t>
      </w:r>
      <w:r w:rsidRPr="00721C3F">
        <w:rPr>
          <w:i/>
          <w:noProof/>
        </w:rPr>
        <w:t>SALW</w:t>
      </w:r>
      <w:r>
        <w:rPr>
          <w:noProof/>
        </w:rPr>
        <w:t>), ieroču eksporta kontrole.</w:t>
      </w:r>
    </w:p>
    <w:p w:rsidR="00F423FE" w:rsidP="00DD5331" w:rsidRDefault="00F423FE" w14:paraId="57F56737" w14:textId="432D617D">
      <w:pPr>
        <w:spacing w:after="120"/>
        <w:jc w:val="both"/>
        <w:rPr>
          <w:noProof/>
        </w:rPr>
      </w:pPr>
      <w:r>
        <w:rPr>
          <w:noProof/>
        </w:rPr>
        <w:t xml:space="preserve">Attiecībā uz pilsoņu tiesībām AK jānodrošina Augstākās tiesas lēmuma par Izstāšanās līguma tiešu piemērošanu un automātisku pāreju no pagaidu statusa uz pastāvīgā iedzīvotāja statusu. </w:t>
      </w:r>
    </w:p>
    <w:p w:rsidR="007D22E4" w:rsidP="00DD5331" w:rsidRDefault="00F423FE" w14:paraId="0E39643D" w14:textId="27940A40">
      <w:pPr>
        <w:spacing w:after="120"/>
        <w:jc w:val="both"/>
        <w:rPr>
          <w:noProof/>
        </w:rPr>
      </w:pPr>
      <w:r>
        <w:rPr>
          <w:noProof/>
        </w:rPr>
        <w:t xml:space="preserve">Panākta vienošanās par AK dalību </w:t>
      </w:r>
      <w:r w:rsidRPr="000855CF">
        <w:rPr>
          <w:i/>
          <w:noProof/>
        </w:rPr>
        <w:t>Copernicus</w:t>
      </w:r>
      <w:r>
        <w:rPr>
          <w:noProof/>
        </w:rPr>
        <w:t xml:space="preserve"> kosmosa programmā un </w:t>
      </w:r>
      <w:r w:rsidRPr="000855CF">
        <w:rPr>
          <w:i/>
          <w:noProof/>
        </w:rPr>
        <w:t>Horizon Europe</w:t>
      </w:r>
      <w:r>
        <w:rPr>
          <w:noProof/>
        </w:rPr>
        <w:t xml:space="preserve"> no 2024. gada 1. janvāra.</w:t>
      </w:r>
    </w:p>
    <w:p w:rsidR="000E46E7" w:rsidP="00DD5331" w:rsidRDefault="000E46E7" w14:paraId="7559F1D1" w14:textId="62FC3952">
      <w:pPr>
        <w:spacing w:after="120"/>
        <w:jc w:val="both"/>
        <w:rPr>
          <w:noProof/>
        </w:rPr>
      </w:pPr>
      <w:r w:rsidRPr="00151BC5">
        <w:rPr>
          <w:noProof/>
        </w:rPr>
        <w:t xml:space="preserve">Latvija vēlas veidot ciešāku sadarbību ar AK, </w:t>
      </w:r>
      <w:r w:rsidR="00151BC5">
        <w:rPr>
          <w:noProof/>
        </w:rPr>
        <w:t xml:space="preserve">kas ir viens no ES stratēģiskajiem partneriem, </w:t>
      </w:r>
      <w:r w:rsidRPr="00151BC5">
        <w:rPr>
          <w:noProof/>
        </w:rPr>
        <w:t>tostarp ārlietu un drošības politikas jomās, ņemot vērā ģeopolitisko kontekstu, AK ekspertīzi un spēcīgāku klātbūtni reģionos, kur ES klātbūtne ir mazāka, īpaši Tuvajos Austrumos. Sadarbība ar AK ir ļoti svarīga</w:t>
      </w:r>
      <w:r w:rsidR="00151BC5">
        <w:rPr>
          <w:noProof/>
        </w:rPr>
        <w:t xml:space="preserve">, </w:t>
      </w:r>
      <w:r w:rsidRPr="00151BC5">
        <w:rPr>
          <w:noProof/>
        </w:rPr>
        <w:t>lai veidotu kopīgu spēcīgu atbildi uz Krievijas agresiju un sniegtu atbalstu Ukrainai.</w:t>
      </w:r>
    </w:p>
    <w:p w:rsidR="00D142E1" w:rsidP="00DD5331" w:rsidRDefault="00D142E1" w14:paraId="012FDEA0" w14:textId="77777777">
      <w:pPr>
        <w:spacing w:after="120"/>
        <w:jc w:val="both"/>
        <w:rPr>
          <w:noProof/>
        </w:rPr>
      </w:pPr>
    </w:p>
    <w:p w:rsidR="00D142E1" w:rsidP="00833D0A" w:rsidRDefault="00D142E1" w14:paraId="1AE745C1" w14:textId="3F957026">
      <w:pPr>
        <w:pStyle w:val="ListParagraph"/>
        <w:numPr>
          <w:ilvl w:val="0"/>
          <w:numId w:val="45"/>
        </w:numPr>
        <w:rPr>
          <w:rFonts w:ascii="Times New Roman" w:hAnsi="Times New Roman" w:eastAsia="Times New Roman"/>
          <w:b/>
          <w:noProof/>
          <w:sz w:val="24"/>
          <w:szCs w:val="24"/>
        </w:rPr>
      </w:pPr>
      <w:r>
        <w:rPr>
          <w:rFonts w:ascii="Times New Roman" w:hAnsi="Times New Roman" w:eastAsia="Times New Roman"/>
          <w:b/>
          <w:noProof/>
          <w:sz w:val="24"/>
          <w:szCs w:val="24"/>
        </w:rPr>
        <w:t>P</w:t>
      </w:r>
      <w:r w:rsidRPr="00BA0425">
        <w:rPr>
          <w:rFonts w:ascii="Times New Roman" w:hAnsi="Times New Roman" w:eastAsia="Times New Roman"/>
          <w:b/>
          <w:noProof/>
          <w:sz w:val="24"/>
          <w:szCs w:val="24"/>
        </w:rPr>
        <w:t>riekšlikums ES Padomes regulai, ar kuru groza Regulu Nr. 1, ar ko nosaka Eiropas Ekonomikas kopienā lietojamās valodas</w:t>
      </w:r>
    </w:p>
    <w:p w:rsidR="00D142E1" w:rsidP="00D142E1" w:rsidRDefault="00D142E1" w14:paraId="356BB1A4" w14:textId="77777777">
      <w:pPr>
        <w:pStyle w:val="darba"/>
        <w:spacing w:before="0"/>
        <w:rPr>
          <w:noProof/>
        </w:rPr>
      </w:pPr>
      <w:r>
        <w:rPr>
          <w:noProof/>
        </w:rPr>
        <w:t>VLP ir plānots sniegt informāciju par notikušo darbu kopš 24. oktobra VLP saistībā ar  Spānijas valdības priekšlikumu, kura mērķis ir grozīt Regulu 1/1958, ar ko nosaka ES valodu režīmu, lai ES valodu režīmā iekļautu katalāņu, basku un galisiešu valodas. Tās ir Spānijas valodas ar līdzoficiālu statusu Spānijā un ir atzītas kā līdzoficiālās (</w:t>
      </w:r>
      <w:r w:rsidRPr="00D45003">
        <w:rPr>
          <w:i/>
          <w:iCs/>
          <w:noProof/>
        </w:rPr>
        <w:t>co-official</w:t>
      </w:r>
      <w:r>
        <w:rPr>
          <w:noProof/>
        </w:rPr>
        <w:t>) valodas atbilstoši Līguma par ES 55. panta 2. punktam. Vienlaikus minētajām valodām nav oficiāls statuss visā Spānijā. Konkrētos Spānijas autonomajos reģionos – attiecīgi, Katalonijā, Basku zemē un Galīcijā - šīm valodām ir līdzoficiālās valodas statuss paralēli spāņu valodai. Tāpat katalāņu, basku un galisiešu valodas ir atzītas kā reģionālās valodas Eiropas reģionālo vai minoritāšu valodu hartā.</w:t>
      </w:r>
    </w:p>
    <w:p w:rsidR="00D142E1" w:rsidP="00D142E1" w:rsidRDefault="00D142E1" w14:paraId="7F8AA0B7" w14:textId="77777777">
      <w:pPr>
        <w:pStyle w:val="darba"/>
        <w:spacing w:before="0"/>
        <w:rPr>
          <w:noProof/>
        </w:rPr>
      </w:pPr>
      <w:r>
        <w:rPr>
          <w:noProof/>
        </w:rPr>
        <w:lastRenderedPageBreak/>
        <w:t xml:space="preserve">Latvija uzskata, ka </w:t>
      </w:r>
      <w:r w:rsidRPr="00D45003">
        <w:rPr>
          <w:noProof/>
        </w:rPr>
        <w:t xml:space="preserve">priekšlikums iekļaut </w:t>
      </w:r>
      <w:r>
        <w:rPr>
          <w:noProof/>
        </w:rPr>
        <w:t xml:space="preserve">atsevišķu valstu </w:t>
      </w:r>
      <w:r w:rsidRPr="00D45003">
        <w:rPr>
          <w:noProof/>
        </w:rPr>
        <w:t>reģionu līdzoficiālās valodas ES valodu režīmā nav samērīgs, ņemot vērā šāda priekšlikuma precedenta radīšanu un ietekmi uz ES budžetu.</w:t>
      </w:r>
    </w:p>
    <w:p w:rsidRPr="007D22E4" w:rsidR="007D22E4" w:rsidP="007D22E4" w:rsidRDefault="007D22E4" w14:paraId="35B8B69B" w14:textId="77777777">
      <w:pPr>
        <w:spacing w:after="120"/>
        <w:jc w:val="both"/>
        <w:rPr>
          <w:b/>
          <w:noProof/>
        </w:rPr>
      </w:pPr>
    </w:p>
    <w:p w:rsidRPr="001E6FBB" w:rsidR="001E6FBB" w:rsidP="00833D0A" w:rsidRDefault="00DD6DC8" w14:paraId="5E6D6123" w14:textId="5AA85B29">
      <w:pPr>
        <w:pStyle w:val="ListParagraph"/>
        <w:numPr>
          <w:ilvl w:val="0"/>
          <w:numId w:val="45"/>
        </w:numPr>
        <w:spacing w:after="120"/>
        <w:jc w:val="both"/>
        <w:rPr>
          <w:rFonts w:ascii="Times New Roman" w:hAnsi="Times New Roman" w:eastAsia="Times New Roman"/>
          <w:b/>
          <w:noProof/>
          <w:sz w:val="24"/>
          <w:szCs w:val="24"/>
        </w:rPr>
      </w:pPr>
      <w:r>
        <w:rPr>
          <w:rFonts w:ascii="Times New Roman" w:hAnsi="Times New Roman" w:eastAsia="Times New Roman"/>
          <w:b/>
          <w:noProof/>
          <w:sz w:val="24"/>
          <w:szCs w:val="24"/>
        </w:rPr>
        <w:t>ES a</w:t>
      </w:r>
      <w:r w:rsidR="0087036C">
        <w:rPr>
          <w:rFonts w:ascii="Times New Roman" w:hAnsi="Times New Roman" w:eastAsia="Times New Roman"/>
          <w:b/>
          <w:noProof/>
          <w:sz w:val="24"/>
          <w:szCs w:val="24"/>
        </w:rPr>
        <w:t>ttālāko</w:t>
      </w:r>
      <w:r w:rsidRPr="007D22E4" w:rsidR="001E6FBB">
        <w:rPr>
          <w:rFonts w:ascii="Times New Roman" w:hAnsi="Times New Roman" w:eastAsia="Times New Roman"/>
          <w:b/>
          <w:i/>
          <w:noProof/>
          <w:sz w:val="24"/>
          <w:szCs w:val="24"/>
        </w:rPr>
        <w:t xml:space="preserve"> </w:t>
      </w:r>
      <w:r w:rsidRPr="007D22E4" w:rsidR="007D22E4">
        <w:rPr>
          <w:rFonts w:ascii="Times New Roman" w:hAnsi="Times New Roman" w:eastAsia="Times New Roman"/>
          <w:b/>
          <w:noProof/>
          <w:sz w:val="24"/>
          <w:szCs w:val="24"/>
        </w:rPr>
        <w:t>reģionu stratēģija</w:t>
      </w:r>
    </w:p>
    <w:p w:rsidR="0060063B" w:rsidP="00594E10" w:rsidRDefault="0060063B" w14:paraId="0ABED40E" w14:textId="07AAAA47">
      <w:pPr>
        <w:spacing w:after="120"/>
        <w:jc w:val="both"/>
        <w:rPr>
          <w:bCs/>
          <w:iCs/>
          <w:noProof/>
        </w:rPr>
      </w:pPr>
      <w:r w:rsidRPr="003635E7">
        <w:rPr>
          <w:bCs/>
          <w:iCs/>
          <w:noProof/>
        </w:rPr>
        <w:t>Spānijas prezidentūra</w:t>
      </w:r>
      <w:r>
        <w:rPr>
          <w:bCs/>
          <w:iCs/>
          <w:noProof/>
        </w:rPr>
        <w:t xml:space="preserve"> plāno </w:t>
      </w:r>
      <w:r w:rsidRPr="003635E7">
        <w:rPr>
          <w:bCs/>
          <w:iCs/>
          <w:noProof/>
        </w:rPr>
        <w:t xml:space="preserve">sniegt informāciju par </w:t>
      </w:r>
      <w:r>
        <w:rPr>
          <w:bCs/>
          <w:iCs/>
          <w:noProof/>
        </w:rPr>
        <w:t xml:space="preserve">ES </w:t>
      </w:r>
      <w:r w:rsidRPr="003635E7">
        <w:rPr>
          <w:bCs/>
          <w:iCs/>
          <w:noProof/>
        </w:rPr>
        <w:t xml:space="preserve">Attālāko reģionu prezidentu </w:t>
      </w:r>
      <w:r>
        <w:rPr>
          <w:bCs/>
          <w:iCs/>
          <w:noProof/>
        </w:rPr>
        <w:t xml:space="preserve">ikgadējo </w:t>
      </w:r>
      <w:r w:rsidRPr="003635E7">
        <w:rPr>
          <w:bCs/>
          <w:iCs/>
          <w:noProof/>
        </w:rPr>
        <w:t xml:space="preserve">konferenci </w:t>
      </w:r>
      <w:r w:rsidRPr="003B0287">
        <w:rPr>
          <w:bCs/>
          <w:i/>
          <w:iCs/>
          <w:noProof/>
        </w:rPr>
        <w:t>(Conference of Presidents of Outermost regions – angļu val.),</w:t>
      </w:r>
      <w:r>
        <w:rPr>
          <w:bCs/>
          <w:iCs/>
          <w:noProof/>
        </w:rPr>
        <w:t xml:space="preserve"> kura notiek 2023.</w:t>
      </w:r>
      <w:r w:rsidR="000E46E7">
        <w:rPr>
          <w:bCs/>
          <w:iCs/>
          <w:noProof/>
        </w:rPr>
        <w:t> </w:t>
      </w:r>
      <w:r>
        <w:rPr>
          <w:bCs/>
          <w:iCs/>
          <w:noProof/>
        </w:rPr>
        <w:t xml:space="preserve">gada 8. - 9. novembrī Santakrusā de Tenerifē, Spānijā. </w:t>
      </w:r>
    </w:p>
    <w:p w:rsidR="0060063B" w:rsidP="00594E10" w:rsidRDefault="0060063B" w14:paraId="0324E4A8" w14:textId="77777777">
      <w:pPr>
        <w:spacing w:after="120"/>
        <w:jc w:val="both"/>
        <w:rPr>
          <w:bCs/>
          <w:iCs/>
          <w:noProof/>
        </w:rPr>
      </w:pPr>
      <w:r>
        <w:rPr>
          <w:bCs/>
          <w:iCs/>
          <w:noProof/>
        </w:rPr>
        <w:t xml:space="preserve">Attālāko reģionu prezidentu ikgadējā </w:t>
      </w:r>
      <w:r w:rsidRPr="003635E7">
        <w:rPr>
          <w:bCs/>
          <w:iCs/>
          <w:noProof/>
        </w:rPr>
        <w:t xml:space="preserve">konference ir galvenā struktūra politiskajai un tehniskajai sadarbībai starp </w:t>
      </w:r>
      <w:r>
        <w:rPr>
          <w:bCs/>
          <w:iCs/>
          <w:noProof/>
        </w:rPr>
        <w:t xml:space="preserve">attālāko reģionu </w:t>
      </w:r>
      <w:r w:rsidRPr="003635E7">
        <w:rPr>
          <w:bCs/>
          <w:iCs/>
          <w:noProof/>
        </w:rPr>
        <w:t>izpildinstitūciju priekšsēdētājiem.</w:t>
      </w:r>
      <w:r>
        <w:rPr>
          <w:bCs/>
          <w:iCs/>
          <w:noProof/>
        </w:rPr>
        <w:t xml:space="preserve"> Šogad ikgadējo konferenci uzņem Kanāriju salas.</w:t>
      </w:r>
    </w:p>
    <w:p w:rsidR="00DF2699" w:rsidP="00594E10" w:rsidRDefault="0060063B" w14:paraId="5E2CADE3" w14:textId="0C88014A">
      <w:pPr>
        <w:spacing w:after="120"/>
        <w:jc w:val="both"/>
      </w:pPr>
      <w:r>
        <w:t>Attālākie reģioni ir ES dalībvalstu teritoriju daļas, kas ir ģeogrāfiski nošķirtas no ES. Deviņi ES attālākie reģioni ietver: piecus F</w:t>
      </w:r>
      <w:r w:rsidRPr="00CD6ED4">
        <w:t>rancijas aizjūras departament</w:t>
      </w:r>
      <w:r>
        <w:t>us –</w:t>
      </w:r>
      <w:r w:rsidRPr="00CD6ED4">
        <w:t xml:space="preserve"> </w:t>
      </w:r>
      <w:r>
        <w:t xml:space="preserve">Martinika, Majota, </w:t>
      </w:r>
      <w:proofErr w:type="spellStart"/>
      <w:r>
        <w:t>Gvadelupe</w:t>
      </w:r>
      <w:proofErr w:type="spellEnd"/>
      <w:r>
        <w:t xml:space="preserve">, Franču Gviāna un Reinjona; </w:t>
      </w:r>
      <w:r w:rsidRPr="00CD6ED4">
        <w:t>vien</w:t>
      </w:r>
      <w:r>
        <w:t>u</w:t>
      </w:r>
      <w:r w:rsidRPr="00CD6ED4">
        <w:t xml:space="preserve"> Francijas aizjūras kopien</w:t>
      </w:r>
      <w:r>
        <w:t xml:space="preserve">u - </w:t>
      </w:r>
      <w:proofErr w:type="spellStart"/>
      <w:r>
        <w:t>Senmartēna</w:t>
      </w:r>
      <w:proofErr w:type="spellEnd"/>
      <w:r>
        <w:t xml:space="preserve">; </w:t>
      </w:r>
      <w:r w:rsidRPr="00CD6ED4">
        <w:t>div</w:t>
      </w:r>
      <w:r>
        <w:t>us</w:t>
      </w:r>
      <w:r w:rsidRPr="00CD6ED4">
        <w:t xml:space="preserve"> Portugāles autonom</w:t>
      </w:r>
      <w:r>
        <w:t xml:space="preserve">os </w:t>
      </w:r>
      <w:r w:rsidRPr="00CD6ED4">
        <w:t>reģion</w:t>
      </w:r>
      <w:r>
        <w:t>us</w:t>
      </w:r>
      <w:r w:rsidRPr="00CD6ED4">
        <w:t xml:space="preserve"> - Madeira </w:t>
      </w:r>
      <w:r>
        <w:t xml:space="preserve">un Azoru salas; </w:t>
      </w:r>
      <w:r w:rsidRPr="00CD6ED4">
        <w:t>vien</w:t>
      </w:r>
      <w:r>
        <w:t>u</w:t>
      </w:r>
      <w:r w:rsidRPr="00CD6ED4">
        <w:t xml:space="preserve"> Spānijas autonom</w:t>
      </w:r>
      <w:r>
        <w:t>o</w:t>
      </w:r>
      <w:r w:rsidRPr="00CD6ED4">
        <w:t xml:space="preserve"> kopien</w:t>
      </w:r>
      <w:r>
        <w:t>u</w:t>
      </w:r>
      <w:r w:rsidRPr="00CD6ED4">
        <w:t xml:space="preserve"> – Kanāriju salas. </w:t>
      </w:r>
      <w:r>
        <w:t>2022. gada maijā tika publicēta Komisijas Attālāko reģionu atjaunotā stratēģija, kuras mērķis ir attīstīt reģionu potenciālu caur atbilstošām investīcijām un reformām.</w:t>
      </w:r>
    </w:p>
    <w:p w:rsidR="00BA0425" w:rsidP="00594E10" w:rsidRDefault="0060063B" w14:paraId="5C6F37D4" w14:textId="3B316BF9">
      <w:pPr>
        <w:spacing w:after="120"/>
        <w:jc w:val="both"/>
      </w:pPr>
      <w:r>
        <w:t>Latvija p</w:t>
      </w:r>
      <w:r w:rsidRPr="0060063B">
        <w:t>ieņem</w:t>
      </w:r>
      <w:r>
        <w:t xml:space="preserve"> </w:t>
      </w:r>
      <w:r w:rsidRPr="0060063B">
        <w:t>zināšanai Spānijas prezidentūras sniegto informāciju par ES Attālāko reģionu prezidentu konferenci.</w:t>
      </w:r>
    </w:p>
    <w:p w:rsidRPr="0060063B" w:rsidR="000E46E7" w:rsidP="0060063B" w:rsidRDefault="000E46E7" w14:paraId="277E7787" w14:textId="77777777">
      <w:pPr>
        <w:spacing w:after="120"/>
        <w:jc w:val="both"/>
      </w:pPr>
    </w:p>
    <w:p w:rsidRPr="00153407" w:rsidR="009A7787" w:rsidP="0052053A" w:rsidRDefault="009A7787" w14:paraId="6F9E283D" w14:textId="02042C2A">
      <w:pPr>
        <w:pStyle w:val="BodyText2"/>
        <w:spacing w:after="120" w:line="276" w:lineRule="auto"/>
        <w:ind w:left="2880" w:hanging="2880"/>
        <w:rPr>
          <w:b/>
          <w:noProof/>
          <w:szCs w:val="24"/>
        </w:rPr>
      </w:pPr>
      <w:r w:rsidRPr="00153407">
        <w:rPr>
          <w:b/>
          <w:noProof/>
          <w:szCs w:val="24"/>
        </w:rPr>
        <w:t>Latvijas delegācija ES Vispārējo lietu padomes 202</w:t>
      </w:r>
      <w:r w:rsidRPr="00153407" w:rsidR="005B2758">
        <w:rPr>
          <w:b/>
          <w:noProof/>
          <w:szCs w:val="24"/>
        </w:rPr>
        <w:t>3</w:t>
      </w:r>
      <w:r w:rsidRPr="00153407">
        <w:rPr>
          <w:b/>
          <w:noProof/>
          <w:szCs w:val="24"/>
        </w:rPr>
        <w:t xml:space="preserve">. gada </w:t>
      </w:r>
      <w:r w:rsidR="001E6FBB">
        <w:rPr>
          <w:b/>
          <w:noProof/>
          <w:szCs w:val="24"/>
        </w:rPr>
        <w:t>15</w:t>
      </w:r>
      <w:r w:rsidRPr="00153407" w:rsidR="00145E2A">
        <w:rPr>
          <w:b/>
          <w:noProof/>
          <w:szCs w:val="24"/>
        </w:rPr>
        <w:t>. </w:t>
      </w:r>
      <w:r w:rsidR="001E6FBB">
        <w:rPr>
          <w:b/>
          <w:noProof/>
          <w:szCs w:val="24"/>
        </w:rPr>
        <w:t>novembra</w:t>
      </w:r>
      <w:r w:rsidRPr="00153407" w:rsidR="00B2629B">
        <w:rPr>
          <w:b/>
          <w:noProof/>
          <w:szCs w:val="24"/>
        </w:rPr>
        <w:t xml:space="preserve"> </w:t>
      </w:r>
      <w:r w:rsidRPr="00153407">
        <w:rPr>
          <w:b/>
          <w:noProof/>
          <w:szCs w:val="24"/>
        </w:rPr>
        <w:t>sanāksmē</w:t>
      </w:r>
    </w:p>
    <w:bookmarkEnd w:id="8"/>
    <w:p w:rsidR="003F322D" w:rsidP="00B03282" w:rsidRDefault="003F322D" w14:paraId="1945D76B" w14:textId="77777777">
      <w:pPr>
        <w:pStyle w:val="BodyText2"/>
        <w:spacing w:before="120"/>
        <w:ind w:left="2880" w:hanging="2880"/>
        <w:rPr>
          <w:bCs/>
          <w:noProof/>
          <w:szCs w:val="24"/>
        </w:rPr>
      </w:pPr>
    </w:p>
    <w:p w:rsidRPr="00954B78" w:rsidR="00A11323" w:rsidP="00217D30" w:rsidRDefault="00A11323" w14:paraId="520BBA60" w14:textId="7F6ACE06">
      <w:pPr>
        <w:pStyle w:val="BodyText2"/>
        <w:spacing w:before="120"/>
        <w:ind w:left="2880" w:hanging="2880"/>
        <w:rPr>
          <w:noProof/>
          <w:szCs w:val="24"/>
        </w:rPr>
      </w:pPr>
      <w:r w:rsidRPr="00153407">
        <w:rPr>
          <w:bCs/>
          <w:noProof/>
          <w:szCs w:val="24"/>
        </w:rPr>
        <w:t xml:space="preserve">Delegācijas </w:t>
      </w:r>
      <w:r w:rsidRPr="00153407" w:rsidR="00AD6626">
        <w:rPr>
          <w:bCs/>
          <w:noProof/>
          <w:szCs w:val="24"/>
        </w:rPr>
        <w:t>vadītājs</w:t>
      </w:r>
      <w:r w:rsidRPr="00153407">
        <w:rPr>
          <w:bCs/>
          <w:noProof/>
          <w:szCs w:val="24"/>
        </w:rPr>
        <w:t>:</w:t>
      </w:r>
      <w:r w:rsidRPr="00153407">
        <w:rPr>
          <w:bCs/>
          <w:noProof/>
          <w:szCs w:val="24"/>
        </w:rPr>
        <w:tab/>
      </w:r>
      <w:r w:rsidR="00217D30">
        <w:rPr>
          <w:bCs/>
          <w:noProof/>
          <w:color w:val="000000" w:themeColor="text1"/>
          <w:szCs w:val="24"/>
        </w:rPr>
        <w:t>Andris Pelšs, Ārlietu ministrijas valsts sekretārs.</w:t>
      </w:r>
    </w:p>
    <w:p w:rsidRPr="00217D30" w:rsidR="00217D30" w:rsidP="00217D30" w:rsidRDefault="00A11323" w14:paraId="1C96271F" w14:textId="77777777">
      <w:pPr>
        <w:spacing w:before="120"/>
        <w:ind w:left="2880" w:hanging="2880"/>
        <w:jc w:val="both"/>
        <w:rPr>
          <w:bCs/>
          <w:noProof/>
        </w:rPr>
      </w:pPr>
      <w:r w:rsidRPr="00153407">
        <w:rPr>
          <w:bCs/>
          <w:noProof/>
        </w:rPr>
        <w:t>Delegācijas dalībnieki:</w:t>
      </w:r>
      <w:r w:rsidRPr="00153407">
        <w:rPr>
          <w:bCs/>
          <w:noProof/>
        </w:rPr>
        <w:tab/>
      </w:r>
      <w:r w:rsidRPr="00217D30" w:rsidR="00217D30">
        <w:rPr>
          <w:bCs/>
          <w:noProof/>
        </w:rPr>
        <w:t>Elīza Beļauniece, Vispārējo un institucionālo lietu nodaļas vecākā referente;</w:t>
      </w:r>
    </w:p>
    <w:p w:rsidR="003C07B0" w:rsidP="00217D30" w:rsidRDefault="00217D30" w14:paraId="4BF3B360" w14:textId="3B49BFCA">
      <w:pPr>
        <w:spacing w:before="120"/>
        <w:ind w:left="2880"/>
        <w:jc w:val="both"/>
        <w:rPr>
          <w:noProof/>
          <w:color w:val="000000" w:themeColor="text1"/>
        </w:rPr>
      </w:pPr>
      <w:r>
        <w:rPr>
          <w:bCs/>
          <w:noProof/>
        </w:rPr>
        <w:t>Rihards Tuka</w:t>
      </w:r>
      <w:r w:rsidRPr="00217D30">
        <w:rPr>
          <w:bCs/>
          <w:noProof/>
        </w:rPr>
        <w:t>, Pastāvīgo pārstāvju komitejas II daļas sagatavošanas nodaļas vecāk</w:t>
      </w:r>
      <w:r>
        <w:rPr>
          <w:bCs/>
          <w:noProof/>
        </w:rPr>
        <w:t>ais</w:t>
      </w:r>
      <w:r w:rsidRPr="00217D30">
        <w:rPr>
          <w:bCs/>
          <w:noProof/>
        </w:rPr>
        <w:t xml:space="preserve"> referent</w:t>
      </w:r>
      <w:r>
        <w:rPr>
          <w:bCs/>
          <w:noProof/>
        </w:rPr>
        <w:t>s</w:t>
      </w:r>
      <w:r w:rsidRPr="00217D30">
        <w:rPr>
          <w:bCs/>
          <w:noProof/>
        </w:rPr>
        <w:t>.</w:t>
      </w:r>
    </w:p>
    <w:p w:rsidRPr="00F92B95" w:rsidR="00F87642" w:rsidP="00F87642" w:rsidRDefault="00F87642" w14:paraId="432B2267" w14:textId="77777777">
      <w:pPr>
        <w:spacing w:before="120"/>
        <w:ind w:left="2880"/>
        <w:jc w:val="both"/>
        <w:rPr>
          <w:noProof/>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E708B4" w:rsidR="00604054" w:rsidTr="00604054" w14:paraId="006EEB05" w14:textId="77777777">
        <w:tc>
          <w:tcPr>
            <w:tcW w:w="6379" w:type="dxa"/>
          </w:tcPr>
          <w:p w:rsidRPr="00E708B4" w:rsidR="00604054" w:rsidP="00E67BF8" w:rsidRDefault="006C16BC" w14:paraId="1E2DEEF5" w14:textId="371E7981">
            <w:pPr>
              <w:pStyle w:val="BodyText2"/>
              <w:tabs>
                <w:tab w:val="left" w:pos="6840"/>
              </w:tabs>
              <w:suppressAutoHyphens/>
              <w:spacing w:after="120" w:line="276" w:lineRule="auto"/>
              <w:ind w:hanging="105"/>
              <w:rPr>
                <w:rFonts w:ascii="Times New Roman" w:hAnsi="Times New Roman" w:eastAsia="Times New Roman" w:cs="Times New Roman"/>
                <w:noProof/>
              </w:rPr>
            </w:pPr>
            <w:r w:rsidRPr="00E708B4">
              <w:rPr>
                <w:rFonts w:ascii="Times New Roman" w:hAnsi="Times New Roman" w:eastAsia="Times New Roman" w:cs="Times New Roman"/>
                <w:noProof/>
              </w:rPr>
              <w:t xml:space="preserve">Iesniedzējs: </w:t>
            </w:r>
            <w:r w:rsidRPr="00E708B4" w:rsidR="00604054">
              <w:rPr>
                <w:rFonts w:ascii="Times New Roman" w:hAnsi="Times New Roman" w:eastAsia="Times New Roman" w:cs="Times New Roman"/>
                <w:noProof/>
              </w:rPr>
              <w:t xml:space="preserve">  </w:t>
            </w:r>
            <w:r w:rsidRPr="00E708B4" w:rsidR="00E67BF8">
              <w:rPr>
                <w:rFonts w:ascii="Times New Roman" w:hAnsi="Times New Roman" w:eastAsia="Times New Roman" w:cs="Times New Roman"/>
                <w:noProof/>
              </w:rPr>
              <w:t>Ārlietu</w:t>
            </w:r>
            <w:r w:rsidRPr="00E708B4" w:rsidR="00430960">
              <w:rPr>
                <w:rFonts w:ascii="Times New Roman" w:hAnsi="Times New Roman" w:eastAsia="Times New Roman" w:cs="Times New Roman"/>
                <w:noProof/>
              </w:rPr>
              <w:t xml:space="preserve"> </w:t>
            </w:r>
            <w:r w:rsidRPr="00E708B4" w:rsidR="000254AA">
              <w:rPr>
                <w:rFonts w:ascii="Times New Roman" w:hAnsi="Times New Roman" w:eastAsia="Times New Roman" w:cs="Times New Roman"/>
                <w:noProof/>
              </w:rPr>
              <w:t>ministrs</w:t>
            </w:r>
            <w:r w:rsidRPr="00E708B4" w:rsidR="00CC7331">
              <w:rPr>
                <w:rFonts w:ascii="Times New Roman" w:hAnsi="Times New Roman" w:eastAsia="Times New Roman" w:cs="Times New Roman"/>
                <w:noProof/>
              </w:rPr>
              <w:t xml:space="preserve"> </w:t>
            </w:r>
            <w:r w:rsidRPr="00E708B4" w:rsidR="00604054">
              <w:rPr>
                <w:rFonts w:ascii="Times New Roman" w:hAnsi="Times New Roman" w:eastAsia="Times New Roman" w:cs="Times New Roman"/>
                <w:noProof/>
              </w:rPr>
              <w:t xml:space="preserve"> </w:t>
            </w:r>
          </w:p>
        </w:tc>
        <w:tc>
          <w:tcPr>
            <w:tcW w:w="3368" w:type="dxa"/>
            <w:hideMark/>
          </w:tcPr>
          <w:p w:rsidRPr="00E708B4" w:rsidR="00604054" w:rsidRDefault="00604054" w14:paraId="6334ECD7" w14:textId="7DC61C68">
            <w:pPr>
              <w:pStyle w:val="BodyText2"/>
              <w:tabs>
                <w:tab w:val="left" w:pos="6840"/>
              </w:tabs>
              <w:suppressAutoHyphens/>
              <w:spacing w:after="120" w:line="276" w:lineRule="auto"/>
              <w:rPr>
                <w:rFonts w:ascii="Times New Roman" w:hAnsi="Times New Roman" w:cs="Times New Roman"/>
                <w:noProof/>
              </w:rPr>
            </w:pPr>
            <w:r w:rsidRPr="00E708B4">
              <w:rPr>
                <w:rFonts w:ascii="Times New Roman" w:hAnsi="Times New Roman" w:cs="Times New Roman"/>
                <w:noProof/>
              </w:rPr>
              <w:t xml:space="preserve"> </w:t>
            </w:r>
            <w:r w:rsidRPr="00E708B4" w:rsidR="00430960">
              <w:rPr>
                <w:rFonts w:ascii="Times New Roman" w:hAnsi="Times New Roman" w:cs="Times New Roman"/>
                <w:noProof/>
              </w:rPr>
              <w:t xml:space="preserve"> </w:t>
            </w:r>
            <w:r w:rsidRPr="00E708B4" w:rsidR="000F3EAF">
              <w:rPr>
                <w:rFonts w:ascii="Times New Roman" w:hAnsi="Times New Roman" w:cs="Times New Roman"/>
                <w:noProof/>
              </w:rPr>
              <w:t xml:space="preserve"> </w:t>
            </w:r>
            <w:r w:rsidRPr="00E708B4" w:rsidR="00E67BF8">
              <w:rPr>
                <w:rFonts w:ascii="Times New Roman" w:hAnsi="Times New Roman" w:cs="Times New Roman"/>
                <w:noProof/>
              </w:rPr>
              <w:t>Arturs Krišjānis</w:t>
            </w:r>
            <w:r w:rsidRPr="00E708B4" w:rsidR="00430960">
              <w:rPr>
                <w:rFonts w:ascii="Times New Roman" w:hAnsi="Times New Roman" w:cs="Times New Roman"/>
                <w:noProof/>
              </w:rPr>
              <w:t xml:space="preserve"> </w:t>
            </w:r>
            <w:r w:rsidRPr="00E708B4" w:rsidR="00E67BF8">
              <w:rPr>
                <w:rFonts w:ascii="Times New Roman" w:hAnsi="Times New Roman" w:cs="Times New Roman"/>
                <w:noProof/>
              </w:rPr>
              <w:t>Kariņš</w:t>
            </w:r>
            <w:r w:rsidR="0022473F">
              <w:rPr>
                <w:rFonts w:ascii="Times New Roman" w:hAnsi="Times New Roman" w:cs="Times New Roman"/>
                <w:noProof/>
              </w:rPr>
              <w:t xml:space="preserve"> </w:t>
            </w:r>
          </w:p>
        </w:tc>
      </w:tr>
    </w:tbl>
    <w:p w:rsidRPr="00153407" w:rsidR="00117643" w:rsidP="000A10E5" w:rsidRDefault="00117643" w14:paraId="054D6D9A" w14:textId="77777777">
      <w:pPr>
        <w:pStyle w:val="Header"/>
        <w:tabs>
          <w:tab w:val="clear" w:pos="4320"/>
          <w:tab w:val="clear" w:pos="8640"/>
        </w:tabs>
        <w:spacing w:before="120"/>
        <w:rPr>
          <w:bCs/>
          <w:noProof/>
          <w:sz w:val="24"/>
          <w:szCs w:val="24"/>
        </w:rPr>
      </w:pPr>
    </w:p>
    <w:p w:rsidRPr="00153407" w:rsidR="00A11323" w:rsidP="007D5413" w:rsidRDefault="00A11323" w14:paraId="60CB1DE9" w14:textId="176F6EF4">
      <w:pPr>
        <w:pStyle w:val="Header"/>
        <w:tabs>
          <w:tab w:val="clear" w:pos="4320"/>
          <w:tab w:val="clear" w:pos="8640"/>
        </w:tabs>
        <w:spacing w:before="120"/>
        <w:rPr>
          <w:bCs/>
          <w:noProof/>
          <w:sz w:val="24"/>
          <w:szCs w:val="24"/>
        </w:rPr>
      </w:pPr>
      <w:r w:rsidRPr="00153407">
        <w:rPr>
          <w:bCs/>
          <w:noProof/>
          <w:sz w:val="24"/>
          <w:szCs w:val="24"/>
        </w:rPr>
        <w:t xml:space="preserve">Vīza: </w:t>
      </w:r>
      <w:r w:rsidRPr="00E708B4">
        <w:rPr>
          <w:bCs/>
          <w:noProof/>
          <w:sz w:val="24"/>
          <w:szCs w:val="24"/>
        </w:rPr>
        <w:t>Valsts sekretār</w:t>
      </w:r>
      <w:r w:rsidRPr="00E708B4" w:rsidR="00820506">
        <w:rPr>
          <w:bCs/>
          <w:noProof/>
          <w:sz w:val="24"/>
          <w:szCs w:val="24"/>
        </w:rPr>
        <w:t>s</w:t>
      </w:r>
      <w:r w:rsidRPr="00E708B4" w:rsidR="00D43BD1">
        <w:rPr>
          <w:bCs/>
          <w:noProof/>
          <w:sz w:val="24"/>
          <w:szCs w:val="24"/>
        </w:rPr>
        <w:t xml:space="preserve"> </w:t>
      </w:r>
      <w:r w:rsidRPr="00E708B4">
        <w:rPr>
          <w:bCs/>
          <w:noProof/>
          <w:sz w:val="24"/>
          <w:szCs w:val="24"/>
        </w:rPr>
        <w:tab/>
      </w:r>
      <w:r w:rsidRPr="00E708B4">
        <w:rPr>
          <w:bCs/>
          <w:noProof/>
          <w:sz w:val="24"/>
          <w:szCs w:val="24"/>
        </w:rPr>
        <w:tab/>
      </w:r>
      <w:r w:rsidRPr="00E708B4">
        <w:rPr>
          <w:bCs/>
          <w:noProof/>
          <w:sz w:val="24"/>
          <w:szCs w:val="24"/>
        </w:rPr>
        <w:tab/>
      </w:r>
      <w:r w:rsidRPr="00E708B4">
        <w:rPr>
          <w:bCs/>
          <w:noProof/>
          <w:sz w:val="24"/>
          <w:szCs w:val="24"/>
        </w:rPr>
        <w:tab/>
      </w:r>
      <w:r w:rsidRPr="00E708B4" w:rsidR="00C53836">
        <w:rPr>
          <w:bCs/>
          <w:noProof/>
          <w:sz w:val="24"/>
          <w:szCs w:val="24"/>
        </w:rPr>
        <w:tab/>
      </w:r>
      <w:r w:rsidRPr="00E708B4">
        <w:rPr>
          <w:bCs/>
          <w:noProof/>
          <w:sz w:val="24"/>
          <w:szCs w:val="24"/>
        </w:rPr>
        <w:tab/>
      </w:r>
      <w:r w:rsidRPr="00E708B4" w:rsidR="00F7492F">
        <w:rPr>
          <w:bCs/>
          <w:noProof/>
          <w:sz w:val="24"/>
          <w:szCs w:val="24"/>
        </w:rPr>
        <w:t xml:space="preserve">      </w:t>
      </w:r>
      <w:r w:rsidRPr="00E708B4" w:rsidR="00D43BD1">
        <w:rPr>
          <w:bCs/>
          <w:noProof/>
          <w:sz w:val="24"/>
          <w:szCs w:val="24"/>
        </w:rPr>
        <w:t xml:space="preserve">   </w:t>
      </w:r>
      <w:r w:rsidRPr="00E708B4" w:rsidR="00820506">
        <w:rPr>
          <w:bCs/>
          <w:noProof/>
          <w:sz w:val="24"/>
          <w:szCs w:val="24"/>
        </w:rPr>
        <w:tab/>
        <w:t xml:space="preserve">          </w:t>
      </w:r>
      <w:r w:rsidRPr="00E708B4" w:rsidR="00430960">
        <w:rPr>
          <w:bCs/>
          <w:noProof/>
          <w:sz w:val="24"/>
          <w:szCs w:val="24"/>
        </w:rPr>
        <w:t xml:space="preserve">     </w:t>
      </w:r>
      <w:r w:rsidR="0022473F">
        <w:rPr>
          <w:bCs/>
          <w:noProof/>
          <w:sz w:val="24"/>
          <w:szCs w:val="24"/>
        </w:rPr>
        <w:t xml:space="preserve">     </w:t>
      </w:r>
      <w:r w:rsidRPr="00E708B4" w:rsidR="00820506">
        <w:rPr>
          <w:bCs/>
          <w:noProof/>
          <w:sz w:val="24"/>
          <w:szCs w:val="24"/>
        </w:rPr>
        <w:t>Andris</w:t>
      </w:r>
      <w:r w:rsidRPr="00E708B4" w:rsidR="00D43BD1">
        <w:rPr>
          <w:bCs/>
          <w:noProof/>
          <w:sz w:val="24"/>
          <w:szCs w:val="24"/>
        </w:rPr>
        <w:t xml:space="preserve"> </w:t>
      </w:r>
      <w:r w:rsidRPr="00E708B4" w:rsidR="00820506">
        <w:rPr>
          <w:bCs/>
          <w:noProof/>
          <w:sz w:val="24"/>
          <w:szCs w:val="24"/>
        </w:rPr>
        <w:t>Pelšs</w:t>
      </w:r>
    </w:p>
    <w:p w:rsidR="00091256" w:rsidP="000A10E5" w:rsidRDefault="00091256" w14:paraId="14E2C4CC" w14:textId="5AA48C77">
      <w:pPr>
        <w:pStyle w:val="NoSpacing"/>
        <w:rPr>
          <w:rFonts w:ascii="Times New Roman" w:hAnsi="Times New Roman"/>
          <w:noProof/>
          <w:sz w:val="24"/>
          <w:szCs w:val="24"/>
          <w:lang w:val="lv-LV"/>
        </w:rPr>
      </w:pPr>
    </w:p>
    <w:p w:rsidRPr="00153407" w:rsidR="00091256" w:rsidP="000A10E5" w:rsidRDefault="00091256" w14:paraId="7DCEF32F" w14:textId="77777777">
      <w:pPr>
        <w:pStyle w:val="NoSpacing"/>
        <w:rPr>
          <w:rFonts w:ascii="Times New Roman" w:hAnsi="Times New Roman"/>
          <w:noProof/>
          <w:sz w:val="24"/>
          <w:szCs w:val="24"/>
          <w:lang w:val="lv-LV"/>
        </w:rPr>
      </w:pPr>
    </w:p>
    <w:p w:rsidRPr="00153407" w:rsidR="00A11323" w:rsidP="000A10E5" w:rsidRDefault="005B2758" w14:paraId="6B47647C" w14:textId="569FEBA9">
      <w:pPr>
        <w:pStyle w:val="NoSpacing"/>
        <w:rPr>
          <w:rFonts w:ascii="Times New Roman" w:hAnsi="Times New Roman"/>
          <w:noProof/>
          <w:sz w:val="24"/>
          <w:szCs w:val="24"/>
          <w:lang w:val="lv-LV"/>
        </w:rPr>
      </w:pPr>
      <w:r w:rsidRPr="00153407">
        <w:rPr>
          <w:rFonts w:ascii="Times New Roman" w:hAnsi="Times New Roman"/>
          <w:noProof/>
          <w:sz w:val="24"/>
          <w:szCs w:val="24"/>
          <w:lang w:val="lv-LV"/>
        </w:rPr>
        <w:t>Elīza</w:t>
      </w:r>
      <w:r w:rsidRPr="00153407" w:rsidR="0019728C">
        <w:rPr>
          <w:rFonts w:ascii="Times New Roman" w:hAnsi="Times New Roman"/>
          <w:noProof/>
          <w:sz w:val="24"/>
          <w:szCs w:val="24"/>
          <w:lang w:val="lv-LV"/>
        </w:rPr>
        <w:t xml:space="preserve"> </w:t>
      </w:r>
      <w:r w:rsidRPr="00153407">
        <w:rPr>
          <w:rFonts w:ascii="Times New Roman" w:hAnsi="Times New Roman"/>
          <w:noProof/>
          <w:sz w:val="24"/>
          <w:szCs w:val="24"/>
          <w:lang w:val="lv-LV"/>
        </w:rPr>
        <w:t>Beļauniece</w:t>
      </w:r>
      <w:r w:rsidRPr="00153407" w:rsidR="00B66EAE">
        <w:rPr>
          <w:rFonts w:ascii="Times New Roman" w:hAnsi="Times New Roman"/>
          <w:noProof/>
          <w:sz w:val="24"/>
          <w:szCs w:val="24"/>
          <w:lang w:val="lv-LV"/>
        </w:rPr>
        <w:t>, 6701</w:t>
      </w:r>
      <w:r w:rsidRPr="00153407" w:rsidR="00E502AD">
        <w:rPr>
          <w:rFonts w:ascii="Times New Roman" w:hAnsi="Times New Roman"/>
          <w:noProof/>
          <w:sz w:val="24"/>
          <w:szCs w:val="24"/>
          <w:lang w:val="lv-LV"/>
        </w:rPr>
        <w:t>63</w:t>
      </w:r>
      <w:r w:rsidRPr="00153407">
        <w:rPr>
          <w:rFonts w:ascii="Times New Roman" w:hAnsi="Times New Roman"/>
          <w:noProof/>
          <w:sz w:val="24"/>
          <w:szCs w:val="24"/>
          <w:lang w:val="lv-LV"/>
        </w:rPr>
        <w:t>32</w:t>
      </w:r>
    </w:p>
    <w:p w:rsidRPr="00153407" w:rsidR="00042D8B" w:rsidP="000A10E5" w:rsidRDefault="005B2758" w14:paraId="778B62C8" w14:textId="0D44E6F5">
      <w:pPr>
        <w:pStyle w:val="NoSpacing"/>
        <w:rPr>
          <w:rFonts w:ascii="Times New Roman" w:hAnsi="Times New Roman"/>
          <w:noProof/>
          <w:sz w:val="24"/>
          <w:szCs w:val="24"/>
          <w:lang w:val="lv-LV"/>
        </w:rPr>
      </w:pPr>
      <w:r w:rsidRPr="00153407">
        <w:rPr>
          <w:rFonts w:ascii="Times New Roman" w:hAnsi="Times New Roman"/>
          <w:bCs/>
          <w:noProof/>
          <w:color w:val="0000FF"/>
          <w:sz w:val="24"/>
          <w:szCs w:val="24"/>
          <w:u w:val="single"/>
          <w:lang w:val="lv-LV"/>
        </w:rPr>
        <w:t>eliza</w:t>
      </w:r>
      <w:r w:rsidRPr="00153407" w:rsidR="0019728C">
        <w:rPr>
          <w:rFonts w:ascii="Times New Roman" w:hAnsi="Times New Roman"/>
          <w:bCs/>
          <w:noProof/>
          <w:color w:val="0000FF"/>
          <w:sz w:val="24"/>
          <w:szCs w:val="24"/>
          <w:u w:val="single"/>
          <w:lang w:val="lv-LV"/>
        </w:rPr>
        <w:t>.</w:t>
      </w:r>
      <w:r w:rsidRPr="00153407">
        <w:rPr>
          <w:rFonts w:ascii="Times New Roman" w:hAnsi="Times New Roman"/>
          <w:bCs/>
          <w:noProof/>
          <w:color w:val="0000FF"/>
          <w:sz w:val="24"/>
          <w:szCs w:val="24"/>
          <w:u w:val="single"/>
          <w:lang w:val="lv-LV"/>
        </w:rPr>
        <w:t>belauniece</w:t>
      </w:r>
      <w:r w:rsidRPr="00153407" w:rsidR="00B66EAE">
        <w:rPr>
          <w:rFonts w:ascii="Times New Roman" w:hAnsi="Times New Roman"/>
          <w:bCs/>
          <w:noProof/>
          <w:color w:val="0000FF"/>
          <w:sz w:val="24"/>
          <w:szCs w:val="24"/>
          <w:u w:val="single"/>
          <w:lang w:val="lv-LV"/>
        </w:rPr>
        <w:t>@mfa.gov.lv</w:t>
      </w:r>
    </w:p>
    <w:sectPr w:rsidRPr="00153407" w:rsidR="00042D8B" w:rsidSect="00A0190E">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1BACDCA9" w14:textId="17B30FE8" w:rsidR="00691B56" w:rsidRDefault="00691B56" w:rsidP="00691B56">
    <w:pPr>
      <w:pStyle w:val="Footer"/>
      <w:jc w:val="both"/>
      <w:rPr>
        <w:sz w:val="18"/>
      </w:rPr>
    </w:pPr>
    <w:r w:rsidRPr="008C31F6">
      <w:rPr>
        <w:sz w:val="18"/>
      </w:rPr>
      <w:t>AMzino_</w:t>
    </w:r>
    <w:r w:rsidR="001E6FBB">
      <w:rPr>
        <w:sz w:val="18"/>
      </w:rPr>
      <w:t>0</w:t>
    </w:r>
    <w:r w:rsidR="00216047">
      <w:rPr>
        <w:sz w:val="18"/>
      </w:rPr>
      <w:t>31</w:t>
    </w:r>
    <w:r w:rsidR="001E6FBB">
      <w:rPr>
        <w:sz w:val="18"/>
      </w:rPr>
      <w:t>1</w:t>
    </w:r>
    <w:r w:rsidRPr="00857A48">
      <w:rPr>
        <w:sz w:val="18"/>
      </w:rPr>
      <w:t>2023</w:t>
    </w:r>
    <w:r>
      <w:rPr>
        <w:sz w:val="18"/>
      </w:rPr>
      <w:t xml:space="preserve">; Informatīvais ziņojums </w:t>
    </w:r>
    <w:r w:rsidRPr="003A1F27">
      <w:rPr>
        <w:sz w:val="18"/>
      </w:rPr>
      <w:t>“</w:t>
    </w:r>
    <w:r w:rsidRPr="00A11323">
      <w:rPr>
        <w:sz w:val="18"/>
      </w:rPr>
      <w:t>Par Eiropas Savienības Vispārējo lietu padomes 202</w:t>
    </w:r>
    <w:r>
      <w:rPr>
        <w:sz w:val="18"/>
      </w:rPr>
      <w:t>3</w:t>
    </w:r>
    <w:r w:rsidRPr="00A11323">
      <w:rPr>
        <w:sz w:val="18"/>
      </w:rPr>
      <w:t xml:space="preserve">. gada </w:t>
    </w:r>
    <w:r w:rsidR="001E6FBB">
      <w:rPr>
        <w:sz w:val="18"/>
      </w:rPr>
      <w:t>15</w:t>
    </w:r>
    <w:r>
      <w:rPr>
        <w:sz w:val="18"/>
      </w:rPr>
      <w:t>. </w:t>
    </w:r>
    <w:r w:rsidR="001E6FBB">
      <w:rPr>
        <w:sz w:val="18"/>
      </w:rPr>
      <w:t>novembra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 w:id="2">
    <w:p w14:paraId="44D08483" w14:textId="630F7CBD" w:rsidR="001C589A" w:rsidRPr="00545324" w:rsidRDefault="001C589A" w:rsidP="001C589A">
      <w:pPr>
        <w:pStyle w:val="FootnoteText"/>
      </w:pPr>
      <w:r>
        <w:rPr>
          <w:rStyle w:val="FootnoteReference"/>
        </w:rPr>
        <w:footnoteRef/>
      </w:r>
      <w:r>
        <w:t xml:space="preserve"> </w:t>
      </w:r>
      <w:r w:rsidRPr="001C589A">
        <w:t>https://www.europarl.europa.eu/doceo/document/TA-9-2022-0129_LV.html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6C6F0C4F"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E23082">
      <w:rPr>
        <w:rStyle w:val="PageNumber"/>
        <w:noProof/>
      </w:rPr>
      <w:t>3</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043D8"/>
    <w:multiLevelType w:val="hybridMultilevel"/>
    <w:tmpl w:val="0ADAB1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97654A"/>
    <w:multiLevelType w:val="hybridMultilevel"/>
    <w:tmpl w:val="474A5E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4451DE"/>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0D1876F5"/>
    <w:multiLevelType w:val="hybridMultilevel"/>
    <w:tmpl w:val="E22075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BD02177"/>
    <w:multiLevelType w:val="hybridMultilevel"/>
    <w:tmpl w:val="2D46260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EC07C2"/>
    <w:multiLevelType w:val="hybridMultilevel"/>
    <w:tmpl w:val="AF3896E4"/>
    <w:lvl w:ilvl="0" w:tplc="0426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07D1E4E"/>
    <w:multiLevelType w:val="hybridMultilevel"/>
    <w:tmpl w:val="A3CE8EE2"/>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22D62AC4"/>
    <w:multiLevelType w:val="hybridMultilevel"/>
    <w:tmpl w:val="6CA8DA32"/>
    <w:lvl w:ilvl="0" w:tplc="4810EB48">
      <w:start w:val="1"/>
      <w:numFmt w:val="decimal"/>
      <w:lvlText w:val="%1."/>
      <w:lvlJc w:val="left"/>
      <w:pPr>
        <w:ind w:left="720" w:hanging="360"/>
      </w:pPr>
      <w:rPr>
        <w:rFonts w:ascii="Verdana" w:eastAsia="Times New Roman" w:hAnsi="Verdana"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253468A7"/>
    <w:multiLevelType w:val="hybridMultilevel"/>
    <w:tmpl w:val="A3CE8EE2"/>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274B1584"/>
    <w:multiLevelType w:val="hybridMultilevel"/>
    <w:tmpl w:val="682032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A757A88"/>
    <w:multiLevelType w:val="hybridMultilevel"/>
    <w:tmpl w:val="276CA598"/>
    <w:lvl w:ilvl="0" w:tplc="E96C854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8"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20"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31D66D4"/>
    <w:multiLevelType w:val="hybridMultilevel"/>
    <w:tmpl w:val="09AA11A4"/>
    <w:lvl w:ilvl="0" w:tplc="FFDAFE3E">
      <w:start w:val="1"/>
      <w:numFmt w:val="lowerLetter"/>
      <w:lvlText w:val="%1)"/>
      <w:lvlJc w:val="left"/>
      <w:pPr>
        <w:ind w:left="1080" w:hanging="360"/>
      </w:pPr>
      <w:rPr>
        <w:rFonts w:ascii="Times New Roman" w:hAnsi="Times New Roman" w:cs="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3920659"/>
    <w:multiLevelType w:val="hybridMultilevel"/>
    <w:tmpl w:val="61DC96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65D10C1"/>
    <w:multiLevelType w:val="hybridMultilevel"/>
    <w:tmpl w:val="9D46EE24"/>
    <w:lvl w:ilvl="0" w:tplc="0409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4F4D72C3"/>
    <w:multiLevelType w:val="hybridMultilevel"/>
    <w:tmpl w:val="E54EA038"/>
    <w:lvl w:ilvl="0" w:tplc="0426000F">
      <w:start w:val="3"/>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426007E"/>
    <w:multiLevelType w:val="hybridMultilevel"/>
    <w:tmpl w:val="F13878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D8A3ACB"/>
    <w:multiLevelType w:val="hybridMultilevel"/>
    <w:tmpl w:val="61E6509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47A5E0D"/>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BD50D97"/>
    <w:multiLevelType w:val="hybridMultilevel"/>
    <w:tmpl w:val="F594E2B8"/>
    <w:lvl w:ilvl="0" w:tplc="04090011">
      <w:start w:val="1"/>
      <w:numFmt w:val="decimal"/>
      <w:lvlText w:val="%1)"/>
      <w:lvlJc w:val="left"/>
      <w:pPr>
        <w:ind w:left="720"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6"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DAC37B5"/>
    <w:multiLevelType w:val="hybridMultilevel"/>
    <w:tmpl w:val="D5746F44"/>
    <w:lvl w:ilvl="0" w:tplc="0B2AC70A">
      <w:start w:val="1"/>
      <w:numFmt w:val="decimal"/>
      <w:lvlText w:val="%1."/>
      <w:lvlJc w:val="left"/>
      <w:pPr>
        <w:ind w:left="720" w:hanging="360"/>
      </w:pPr>
      <w:rPr>
        <w:rFonts w:ascii="Times New Roman" w:eastAsia="Times New Roman" w:hAnsi="Times New Roman"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8" w15:restartNumberingAfterBreak="0">
    <w:nsid w:val="6F2F1F0C"/>
    <w:multiLevelType w:val="hybridMultilevel"/>
    <w:tmpl w:val="6086656A"/>
    <w:lvl w:ilvl="0" w:tplc="C2F27A1E">
      <w:start w:val="23"/>
      <w:numFmt w:val="bullet"/>
      <w:lvlText w:val="-"/>
      <w:lvlJc w:val="left"/>
      <w:pPr>
        <w:ind w:left="720" w:hanging="360"/>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9" w15:restartNumberingAfterBreak="0">
    <w:nsid w:val="704B416C"/>
    <w:multiLevelType w:val="hybridMultilevel"/>
    <w:tmpl w:val="F6FCD4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0" w15:restartNumberingAfterBreak="0">
    <w:nsid w:val="731428A5"/>
    <w:multiLevelType w:val="hybridMultilevel"/>
    <w:tmpl w:val="A2FAF91A"/>
    <w:lvl w:ilvl="0" w:tplc="D0C47F8C">
      <w:numFmt w:val="bullet"/>
      <w:lvlText w:val="-"/>
      <w:lvlJc w:val="left"/>
      <w:pPr>
        <w:ind w:left="765" w:hanging="405"/>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1" w15:restartNumberingAfterBreak="0">
    <w:nsid w:val="7559305B"/>
    <w:multiLevelType w:val="hybridMultilevel"/>
    <w:tmpl w:val="B5A2BF4A"/>
    <w:lvl w:ilvl="0" w:tplc="0409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32"/>
  </w:num>
  <w:num w:numId="5">
    <w:abstractNumId w:val="19"/>
  </w:num>
  <w:num w:numId="6">
    <w:abstractNumId w:val="18"/>
  </w:num>
  <w:num w:numId="7">
    <w:abstractNumId w:val="28"/>
  </w:num>
  <w:num w:numId="8">
    <w:abstractNumId w:val="4"/>
  </w:num>
  <w:num w:numId="9">
    <w:abstractNumId w:val="42"/>
  </w:num>
  <w:num w:numId="10">
    <w:abstractNumId w:val="20"/>
  </w:num>
  <w:num w:numId="11">
    <w:abstractNumId w:val="4"/>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29"/>
  </w:num>
  <w:num w:numId="15">
    <w:abstractNumId w:val="36"/>
  </w:num>
  <w:num w:numId="16">
    <w:abstractNumId w:val="10"/>
  </w:num>
  <w:num w:numId="17">
    <w:abstractNumId w:val="25"/>
  </w:num>
  <w:num w:numId="18">
    <w:abstractNumId w:val="16"/>
  </w:num>
  <w:num w:numId="19">
    <w:abstractNumId w:val="6"/>
  </w:num>
  <w:num w:numId="20">
    <w:abstractNumId w:val="26"/>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1"/>
  </w:num>
  <w:num w:numId="24">
    <w:abstractNumId w:val="1"/>
  </w:num>
  <w:num w:numId="25">
    <w:abstractNumId w:val="5"/>
  </w:num>
  <w:num w:numId="26">
    <w:abstractNumId w:val="39"/>
  </w:num>
  <w:num w:numId="27">
    <w:abstractNumId w:val="39"/>
  </w:num>
  <w:num w:numId="28">
    <w:abstractNumId w:val="39"/>
  </w:num>
  <w:num w:numId="29">
    <w:abstractNumId w:val="37"/>
  </w:num>
  <w:num w:numId="30">
    <w:abstractNumId w:val="8"/>
  </w:num>
  <w:num w:numId="31">
    <w:abstractNumId w:val="38"/>
  </w:num>
  <w:num w:numId="32">
    <w:abstractNumId w:val="40"/>
  </w:num>
  <w:num w:numId="33">
    <w:abstractNumId w:val="31"/>
  </w:num>
  <w:num w:numId="34">
    <w:abstractNumId w:val="40"/>
  </w:num>
  <w:num w:numId="35">
    <w:abstractNumId w:val="14"/>
  </w:num>
  <w:num w:numId="36">
    <w:abstractNumId w:val="21"/>
  </w:num>
  <w:num w:numId="37">
    <w:abstractNumId w:val="7"/>
  </w:num>
  <w:num w:numId="38">
    <w:abstractNumId w:val="13"/>
  </w:num>
  <w:num w:numId="39">
    <w:abstractNumId w:val="41"/>
  </w:num>
  <w:num w:numId="40">
    <w:abstractNumId w:val="35"/>
  </w:num>
  <w:num w:numId="41">
    <w:abstractNumId w:val="9"/>
  </w:num>
  <w:num w:numId="42">
    <w:abstractNumId w:val="8"/>
    <w:lvlOverride w:ilvl="0">
      <w:startOverride w:val="1"/>
    </w:lvlOverride>
    <w:lvlOverride w:ilvl="1"/>
    <w:lvlOverride w:ilvl="2"/>
    <w:lvlOverride w:ilvl="3"/>
    <w:lvlOverride w:ilvl="4"/>
    <w:lvlOverride w:ilvl="5"/>
    <w:lvlOverride w:ilvl="6"/>
    <w:lvlOverride w:ilvl="7"/>
    <w:lvlOverride w:ilvl="8"/>
  </w:num>
  <w:num w:numId="43">
    <w:abstractNumId w:val="27"/>
  </w:num>
  <w:num w:numId="44">
    <w:abstractNumId w:val="2"/>
  </w:num>
  <w:num w:numId="45">
    <w:abstractNumId w:val="34"/>
  </w:num>
  <w:num w:numId="46">
    <w:abstractNumId w:val="23"/>
  </w:num>
  <w:num w:numId="47">
    <w:abstractNumId w:val="12"/>
  </w:num>
  <w:num w:numId="48">
    <w:abstractNumId w:val="22"/>
  </w:num>
  <w:num w:numId="49">
    <w:abstractNumId w:val="30"/>
  </w:num>
  <w:num w:numId="5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DD3"/>
    <w:rsid w:val="00001EF3"/>
    <w:rsid w:val="00002207"/>
    <w:rsid w:val="00002BD7"/>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5CE"/>
    <w:rsid w:val="00012AAC"/>
    <w:rsid w:val="0001391E"/>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C76"/>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F65"/>
    <w:rsid w:val="00163F79"/>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B"/>
    <w:rsid w:val="001B7CC6"/>
    <w:rsid w:val="001B7DD5"/>
    <w:rsid w:val="001C013D"/>
    <w:rsid w:val="001C025B"/>
    <w:rsid w:val="001C068B"/>
    <w:rsid w:val="001C16F7"/>
    <w:rsid w:val="001C1C7E"/>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E88"/>
    <w:rsid w:val="00221B30"/>
    <w:rsid w:val="0022278F"/>
    <w:rsid w:val="00222A79"/>
    <w:rsid w:val="002231D9"/>
    <w:rsid w:val="0022336B"/>
    <w:rsid w:val="00223659"/>
    <w:rsid w:val="002245B8"/>
    <w:rsid w:val="0022473F"/>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E96"/>
    <w:rsid w:val="003042B4"/>
    <w:rsid w:val="003050B1"/>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560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575E"/>
    <w:rsid w:val="004560BA"/>
    <w:rsid w:val="00456587"/>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B79"/>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0F8"/>
    <w:rsid w:val="00594180"/>
    <w:rsid w:val="00594866"/>
    <w:rsid w:val="00594E1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03D"/>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1FBD"/>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1136"/>
    <w:rsid w:val="00821CEC"/>
    <w:rsid w:val="0082228A"/>
    <w:rsid w:val="0082236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57A48"/>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4CD"/>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51E"/>
    <w:rsid w:val="008A666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900045"/>
    <w:rsid w:val="00900311"/>
    <w:rsid w:val="00900313"/>
    <w:rsid w:val="0090067C"/>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FB4"/>
    <w:rsid w:val="0094127D"/>
    <w:rsid w:val="009418B5"/>
    <w:rsid w:val="00942AFB"/>
    <w:rsid w:val="00942CBF"/>
    <w:rsid w:val="0094342C"/>
    <w:rsid w:val="009447A4"/>
    <w:rsid w:val="00944B8D"/>
    <w:rsid w:val="00945397"/>
    <w:rsid w:val="00945454"/>
    <w:rsid w:val="0094590A"/>
    <w:rsid w:val="0094655E"/>
    <w:rsid w:val="00946A4C"/>
    <w:rsid w:val="0094770C"/>
    <w:rsid w:val="00947DBF"/>
    <w:rsid w:val="00950203"/>
    <w:rsid w:val="00952222"/>
    <w:rsid w:val="009525D5"/>
    <w:rsid w:val="00952781"/>
    <w:rsid w:val="00952939"/>
    <w:rsid w:val="00952A33"/>
    <w:rsid w:val="00952D8B"/>
    <w:rsid w:val="00952E0D"/>
    <w:rsid w:val="00953358"/>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E17"/>
    <w:rsid w:val="009A3ED0"/>
    <w:rsid w:val="009A4010"/>
    <w:rsid w:val="009A40EE"/>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0969"/>
    <w:rsid w:val="00A51C6C"/>
    <w:rsid w:val="00A52667"/>
    <w:rsid w:val="00A52E06"/>
    <w:rsid w:val="00A52F72"/>
    <w:rsid w:val="00A53090"/>
    <w:rsid w:val="00A531EC"/>
    <w:rsid w:val="00A532E2"/>
    <w:rsid w:val="00A54848"/>
    <w:rsid w:val="00A5514E"/>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2862"/>
    <w:rsid w:val="00A741FF"/>
    <w:rsid w:val="00A742CD"/>
    <w:rsid w:val="00A748F7"/>
    <w:rsid w:val="00A74B53"/>
    <w:rsid w:val="00A75B2D"/>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B34"/>
    <w:rsid w:val="00AF2DDF"/>
    <w:rsid w:val="00AF3561"/>
    <w:rsid w:val="00AF4595"/>
    <w:rsid w:val="00AF48B5"/>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2F61"/>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A6E"/>
    <w:rsid w:val="00D222C0"/>
    <w:rsid w:val="00D22481"/>
    <w:rsid w:val="00D22895"/>
    <w:rsid w:val="00D228E6"/>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19D"/>
    <w:rsid w:val="00DD0664"/>
    <w:rsid w:val="00DD09CE"/>
    <w:rsid w:val="00DD0E4B"/>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9E8"/>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6321"/>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3A80"/>
    <w:rsid w:val="00FF3B68"/>
    <w:rsid w:val="00FF3F44"/>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09106E3D-AE18-45D9-B2A3-CD6EC162038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A43F6520-F51B-49A2-9B98-0CB032B09D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32CA7831-1F64-4124-A83D-A3987A05B88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65B41BAA-ECD3-4E88-9315-FC400D96820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B18CAFE2-CF32-4178-85E6-55C4CBC912C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814E3B52-826E-4152-9BA8-E6845DA498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1C3569AA-CF33-4116-A699-B4FB98DBD7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C52F1E97-0C7F-4716-BC6E-CFD03808248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F3E20BD5-DD70-400D-9AB7-873C947339D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A6898328-6A67-487B-9C2B-421A62365A3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474E0E6E-1FE9-4CFB-931E-B6F5D02ADF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59860EE4-F514-48CE-8584-ECEE0CADCA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B117C63A-4961-4443-A341-578A827D62A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7C17E8C4-08AA-4586-9807-57AB9D64427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93DCFBDB-D82A-4CD6-B7A7-C54C62FA053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B7BCF600-7F75-4CD7-AC1B-E2E73195AFF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8E334383-6821-45AE-971A-694CB98D862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556861CF-E61F-41EB-85A9-5EC0E4D03BF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8BC81F40-ED17-440C-B234-7D0887853F1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DB250D75-5B7A-4851-8456-2256561F25E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AF5EF11E-A98D-40A2-918D-2DFF050102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9E13F8E1-8A56-4B4B-8CE9-A96F582A00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BD540A0B-7A3F-4C6B-A8E4-2420DE73DA6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2B8BF7F9-50C3-4B4C-944F-29D4F6F306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0DD3618A-0AB6-4488-B05B-CE2F32C3EEE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F221A040-BEB2-4E1A-8DF4-76E066C93A7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4B1BC846-5A7D-4D64-A1B6-BB2C23426E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A1ED6617-3FC1-4FB4-86AD-2E8DAE76EBA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506CA890-948A-4B8C-8CC4-0B154D46EC4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849C6C51-72AB-46AE-8A2B-9C185139A8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E87399D3-972A-4B61-A555-DD7698B437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7FC32D26-AF8A-4F36-A337-4A0B089E53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F8A803AB-67F1-4023-86B0-80D1F463497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67A807A1-BFD6-4EEB-B7A6-05363F5D413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B4B7311B-95A5-445E-8005-DFC114E8083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2D8E8612-3C0D-4E53-8FC4-0E84B08BF9F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475E56FD-1132-44CB-BA72-B294263887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09467C3B-D5C3-4104-82DA-DD6EF50EE74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37E96416-2840-41CD-AA7B-1DF1E226627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8F016696-970D-4A5C-8A77-00752C8197B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CFF3C63F-47F6-411F-ABFE-BD8A6BA4DD9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3F8D44B8-8431-4BB5-B293-7836F4E6449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822D9EB8-28CE-4B3A-B261-34F467FABD1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E4BAC919-F585-416C-A6CA-5EB6E4960EB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9CC861BC-9699-4E97-B26C-E80DE218251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D900B207-3B1B-4A51-A618-333C668EE4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E1433F9F-3997-4AE1-AB87-05B47330C55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4D50F4EA-A83A-4CB7-BB8C-845700377B1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B0D89DB4-2718-4F5E-A398-D9ECCEE50A7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855BB725-025A-4B66-9F02-F502E5BB14C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0FE5B264-855E-4E11-98E4-3609A602CD8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F6F89C7A-AA4F-45DE-AB6C-BAAF4C08BE2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2023-11-01T12:14:00Z</dcterms:created>
  <dcterms:modified xsi:type="dcterms:W3CDTF">2023-11-03T09:11:00Z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2023-11-15</vt:lpwstr>
  </property>
  <property fmtid="{D5CDD505-2E9C-101B-9397-08002B2CF9AE}" pid="3" name="DISCesvisAdditionalMakers">
    <vt:lpwstr>Vecākā referente Elīza Beļauniece</vt:lpwstr>
  </property>
  <property fmtid="{D5CDD505-2E9C-101B-9397-08002B2CF9AE}" pid="4" name="DIScgiUrl">
    <vt:lpwstr>https://lim.esvis.gov.lv/cs/idcplg</vt:lpwstr>
  </property>
  <property fmtid="{D5CDD505-2E9C-101B-9397-08002B2CF9AE}" pid="5" name="DISdDocName">
    <vt:lpwstr>L428801</vt:lpwstr>
  </property>
  <property fmtid="{D5CDD505-2E9C-101B-9397-08002B2CF9AE}" pid="6" name="DISCesvisAdditionalTutors">
    <vt:lpwstr>Vecākā referente Aija Vēja, Padomniece Diāna Putniņa</vt:lpwstr>
  </property>
  <property fmtid="{D5CDD505-2E9C-101B-9397-08002B2CF9AE}" pid="7" name="DISCesvisSigner">
    <vt:lpwstr>Ministrs Arturs Krišjānis Kariņš</vt:lpwstr>
  </property>
  <property fmtid="{D5CDD505-2E9C-101B-9397-08002B2CF9AE}" pid="8" name="DISTaskPaneUrl">
    <vt:lpwstr>https://lim.esvis.gov.lv/cs/idcplg?ClientControlled=DocMan&amp;coreContentOnly=1&amp;WebdavRequest=1&amp;IdcService=DOC_INFO&amp;dID=510512</vt:lpwstr>
  </property>
  <property fmtid="{D5CDD505-2E9C-101B-9397-08002B2CF9AE}" pid="9" name="DISCesvisSafetyLevel">
    <vt:lpwstr>Vispārpieejams</vt:lpwstr>
  </property>
  <property fmtid="{D5CDD505-2E9C-101B-9397-08002B2CF9AE}" pid="10" name="DISCesvisTitle">
    <vt:lpwstr>Informatīvais ziņojums “Par Eiropas Savienības Vispārējo lietu padomes 2023. gada 15. novembra sanāksmē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Vecākā referente Elīza Beļauniece</vt:lpwstr>
  </property>
  <property fmtid="{D5CDD505-2E9C-101B-9397-08002B2CF9AE}" pid="14" name="DISCesvisAdditionalTutorsMail">
    <vt:lpwstr>aija.veja@mfa.gov.lv, diana.putnina@mfa.gov.lv</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7" name="DISCesvisAdditionalMakersMail">
    <vt:lpwstr>eliza.belauniece@mfa.gov.lv</vt:lpwstr>
  </property>
  <property fmtid="{D5CDD505-2E9C-101B-9397-08002B2CF9AE}" pid="18" name="DISdUser">
    <vt:lpwstr>weblogic</vt:lpwstr>
  </property>
  <property fmtid="{D5CDD505-2E9C-101B-9397-08002B2CF9AE}" pid="19" name="DISdID">
    <vt:lpwstr>510512</vt:lpwstr>
  </property>
  <property fmtid="{D5CDD505-2E9C-101B-9397-08002B2CF9AE}" pid="20" name="DISCesvisMainMakerOrgUnitTitle">
    <vt:lpwstr>Vispārējo un institucionālo lietu nodaļa</vt:lpwstr>
  </property>
  <property fmtid="{D5CDD505-2E9C-101B-9397-08002B2CF9AE}" pid="21" name="DISCesvisAdditionalMakersPhone">
    <vt:lpwstr>67016332</vt:lpwstr>
  </property>
  <property fmtid="{D5CDD505-2E9C-101B-9397-08002B2CF9AE}" pid="22" name="DISCesvisAdditionalTutorsPhone">
    <vt:lpwstr>67016487, 67016209</vt:lpwstr>
  </property>
</Properties>
</file>