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C294" w14:textId="77777777" w:rsidR="00D866C1" w:rsidRPr="008F64A5" w:rsidRDefault="00C03702">
      <w:pPr>
        <w:spacing w:after="0" w:line="240" w:lineRule="auto"/>
        <w:jc w:val="center"/>
        <w:rPr>
          <w:rFonts w:ascii="Times New Roman" w:hAnsi="Times New Roman"/>
          <w:b/>
          <w:bCs/>
          <w:iCs/>
          <w:sz w:val="26"/>
          <w:szCs w:val="26"/>
        </w:rPr>
      </w:pPr>
      <w:r w:rsidRPr="008F64A5">
        <w:rPr>
          <w:rFonts w:ascii="Times New Roman" w:hAnsi="Times New Roman"/>
          <w:b/>
          <w:bCs/>
          <w:iCs/>
          <w:sz w:val="26"/>
          <w:szCs w:val="26"/>
        </w:rPr>
        <w:t>Par valsts budžeta dotāciju Eiropas Savienības fondu 2021.-2027.gadam periodā</w:t>
      </w:r>
    </w:p>
    <w:p w14:paraId="3DAA7026" w14:textId="77777777" w:rsidR="00D866C1" w:rsidRPr="00F42481" w:rsidRDefault="00D866C1">
      <w:pPr>
        <w:spacing w:after="0" w:line="240" w:lineRule="auto"/>
        <w:rPr>
          <w:rFonts w:ascii="Times New Roman" w:eastAsia="Times New Roman" w:hAnsi="Times New Roman"/>
          <w:i/>
          <w:iCs/>
          <w:sz w:val="24"/>
          <w:szCs w:val="24"/>
        </w:rPr>
      </w:pPr>
    </w:p>
    <w:p w14:paraId="4E9D271D" w14:textId="77777777" w:rsidR="00D866C1" w:rsidRPr="00F42481" w:rsidRDefault="00C03702">
      <w:pPr>
        <w:spacing w:before="120" w:after="0" w:line="240" w:lineRule="auto"/>
        <w:ind w:firstLine="720"/>
        <w:jc w:val="both"/>
        <w:rPr>
          <w:rFonts w:ascii="Times New Roman" w:eastAsia="Times New Roman" w:hAnsi="Times New Roman"/>
          <w:sz w:val="24"/>
          <w:szCs w:val="24"/>
        </w:rPr>
      </w:pPr>
      <w:r w:rsidRPr="00F42481">
        <w:rPr>
          <w:rFonts w:ascii="Times New Roman" w:eastAsia="Times New Roman" w:hAnsi="Times New Roman"/>
          <w:sz w:val="24"/>
          <w:szCs w:val="24"/>
        </w:rPr>
        <w:t>Eiropas Savienības (turpmāk – ES) fondu 2014.-2020.gadam plānošanas periodā valsts budžeta dotācijas aprēķināšanas kārtību nosaka saskaņā ar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p w14:paraId="7DF25E0C" w14:textId="4D8AFBD1" w:rsidR="00D866C1" w:rsidRPr="00F42481" w:rsidRDefault="00C03702">
      <w:pPr>
        <w:spacing w:before="120" w:after="0" w:line="240" w:lineRule="auto"/>
        <w:ind w:firstLine="720"/>
        <w:jc w:val="both"/>
        <w:rPr>
          <w:rFonts w:ascii="Times New Roman" w:eastAsia="Times New Roman" w:hAnsi="Times New Roman"/>
          <w:sz w:val="24"/>
          <w:szCs w:val="24"/>
        </w:rPr>
      </w:pPr>
      <w:r w:rsidRPr="00F42481">
        <w:rPr>
          <w:rFonts w:ascii="Times New Roman" w:eastAsia="Times New Roman" w:hAnsi="Times New Roman"/>
          <w:sz w:val="24"/>
          <w:szCs w:val="24"/>
        </w:rPr>
        <w:t>Valsts budžeta dotāciju aprēķina no normatīvajos aktos par ES fonda specifiskā atbalsta mērķa īstenošanu noteiktās minimālās nacionālā publiskā finansējuma attiecināmo izmaksu daļas, ko iegulda pašvaldība un kas netiek segta no projekta pašfinansēšanas rezultātā iegūtajiem līdzekļiem. Lai noteiktu katras pašvaldības valsts budžeta dotācijas īpatsvaru procentos, Valsts reģionālās attīstības aģentūra aprēķina pašvaldību budžeta kapacitātes rādītāju un katru gadu līdz 10. janvārim publicē savā tīmekļa vietnē pašvaldību budžeta kapacitātes rādītāju aktuālo sarakstu un aprēķinā izmantotos datus. Valsts budžeta dotācijas apmērs katrai pašvaldībai tiek noteikts, novērtējot aprēķinātās pašvaldību budžeta kapacitātes rādītāja standartizētās vērtības - jo pozitīvāka vērtība, jo mazāks valsts budžeta dotācijas īpatsvars. Valsts dotācija attiecīgi var būt no 10% līdz 30% no pašvaldības līdzfinansējuma</w:t>
      </w:r>
      <w:r w:rsidR="0051446A">
        <w:rPr>
          <w:rFonts w:ascii="Times New Roman" w:eastAsia="Times New Roman" w:hAnsi="Times New Roman"/>
          <w:sz w:val="24"/>
          <w:szCs w:val="24"/>
        </w:rPr>
        <w:t xml:space="preserve">, kas </w:t>
      </w:r>
      <w:r w:rsidRPr="00F42481">
        <w:rPr>
          <w:rFonts w:ascii="Times New Roman" w:eastAsia="Times New Roman" w:hAnsi="Times New Roman"/>
          <w:sz w:val="24"/>
          <w:szCs w:val="24"/>
        </w:rPr>
        <w:t>nozīmē, ka valsts budžeta dotācija parasti veido 1%-5% no projekta kopējā finansējuma.</w:t>
      </w:r>
    </w:p>
    <w:p w14:paraId="560EDC62" w14:textId="77777777" w:rsidR="00D866C1" w:rsidRPr="00F42481" w:rsidRDefault="00C03702">
      <w:pPr>
        <w:spacing w:before="120" w:after="0" w:line="240" w:lineRule="auto"/>
        <w:ind w:firstLine="720"/>
        <w:jc w:val="both"/>
        <w:rPr>
          <w:rFonts w:ascii="Times New Roman" w:eastAsia="Times New Roman" w:hAnsi="Times New Roman"/>
          <w:sz w:val="24"/>
          <w:szCs w:val="24"/>
        </w:rPr>
      </w:pPr>
      <w:r w:rsidRPr="00F42481">
        <w:rPr>
          <w:rFonts w:ascii="Times New Roman" w:eastAsia="Times New Roman" w:hAnsi="Times New Roman"/>
          <w:sz w:val="24"/>
          <w:szCs w:val="24"/>
        </w:rPr>
        <w:t>Esošajam atbalsta veidam ir novērojami šādi trūkumi:</w:t>
      </w:r>
    </w:p>
    <w:p w14:paraId="13297658" w14:textId="67EB5717" w:rsidR="00D866C1" w:rsidRPr="00F42481" w:rsidRDefault="00C03702">
      <w:pPr>
        <w:pStyle w:val="ListParagraph"/>
        <w:numPr>
          <w:ilvl w:val="0"/>
          <w:numId w:val="1"/>
        </w:numPr>
        <w:spacing w:before="120" w:after="0" w:line="240" w:lineRule="auto"/>
        <w:ind w:left="993" w:hanging="284"/>
        <w:jc w:val="both"/>
      </w:pPr>
      <w:r w:rsidRPr="00F42481">
        <w:rPr>
          <w:rFonts w:ascii="Times New Roman" w:eastAsia="Times New Roman" w:hAnsi="Times New Roman"/>
          <w:sz w:val="24"/>
          <w:szCs w:val="24"/>
        </w:rPr>
        <w:t xml:space="preserve">valsts dotācijas apmērs ir lielāks finansiāli ietilpīgākam projektam – finansiāli turīga pašvaldība gatava vairāk pati līdzfinansēt, līdz ar to arī saņemt lielāku valsts dotācijas apmēru. Rezultātā Rīgas plānošanas reģionā valsts dotācija uz vienu projektu sastāda 120 927 </w:t>
      </w:r>
      <w:proofErr w:type="spellStart"/>
      <w:r w:rsidRPr="00F42481">
        <w:rPr>
          <w:rFonts w:ascii="Times New Roman" w:eastAsia="Times New Roman" w:hAnsi="Times New Roman"/>
          <w:i/>
          <w:iCs/>
          <w:sz w:val="24"/>
          <w:szCs w:val="24"/>
        </w:rPr>
        <w:t>euro</w:t>
      </w:r>
      <w:proofErr w:type="spellEnd"/>
      <w:r w:rsidRPr="00F42481">
        <w:rPr>
          <w:rFonts w:ascii="Times New Roman" w:eastAsia="Times New Roman" w:hAnsi="Times New Roman"/>
          <w:sz w:val="24"/>
          <w:szCs w:val="24"/>
        </w:rPr>
        <w:t xml:space="preserve">, savukārt Latgales plānošanas reģionā – 108 767 </w:t>
      </w:r>
      <w:proofErr w:type="spellStart"/>
      <w:r w:rsidRPr="00F42481">
        <w:rPr>
          <w:rFonts w:ascii="Times New Roman" w:eastAsia="Times New Roman" w:hAnsi="Times New Roman"/>
          <w:i/>
          <w:iCs/>
          <w:sz w:val="24"/>
          <w:szCs w:val="24"/>
        </w:rPr>
        <w:t>euro</w:t>
      </w:r>
      <w:proofErr w:type="spellEnd"/>
      <w:r w:rsidR="0051446A">
        <w:rPr>
          <w:rFonts w:ascii="Times New Roman" w:eastAsia="Times New Roman" w:hAnsi="Times New Roman"/>
          <w:sz w:val="24"/>
          <w:szCs w:val="24"/>
        </w:rPr>
        <w:t>;</w:t>
      </w:r>
      <w:r w:rsidRPr="00F42481">
        <w:rPr>
          <w:rFonts w:ascii="Times New Roman" w:eastAsia="Times New Roman" w:hAnsi="Times New Roman"/>
          <w:sz w:val="24"/>
          <w:szCs w:val="24"/>
        </w:rPr>
        <w:t xml:space="preserve"> </w:t>
      </w:r>
    </w:p>
    <w:tbl>
      <w:tblPr>
        <w:tblW w:w="8975" w:type="dxa"/>
        <w:jc w:val="center"/>
        <w:tblCellMar>
          <w:left w:w="10" w:type="dxa"/>
          <w:right w:w="10" w:type="dxa"/>
        </w:tblCellMar>
        <w:tblLook w:val="0000" w:firstRow="0" w:lastRow="0" w:firstColumn="0" w:lastColumn="0" w:noHBand="0" w:noVBand="0"/>
      </w:tblPr>
      <w:tblGrid>
        <w:gridCol w:w="1413"/>
        <w:gridCol w:w="896"/>
        <w:gridCol w:w="1244"/>
        <w:gridCol w:w="1262"/>
        <w:gridCol w:w="1134"/>
        <w:gridCol w:w="996"/>
        <w:gridCol w:w="1099"/>
        <w:gridCol w:w="931"/>
      </w:tblGrid>
      <w:tr w:rsidR="00F42481" w:rsidRPr="00F42481" w14:paraId="0D46C473" w14:textId="77777777" w:rsidTr="006E4A92">
        <w:trPr>
          <w:trHeight w:val="29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ADC02C"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Plānošanas reģions</w:t>
            </w:r>
          </w:p>
        </w:tc>
        <w:tc>
          <w:tcPr>
            <w:tcW w:w="89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B22648"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Projektu skaits</w:t>
            </w:r>
          </w:p>
        </w:tc>
        <w:tc>
          <w:tcPr>
            <w:tcW w:w="124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73913D"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Kopējā summa, EUR</w:t>
            </w:r>
          </w:p>
        </w:tc>
        <w:tc>
          <w:tcPr>
            <w:tcW w:w="126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97BF61"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ES fondi (ERAF, KF)</w:t>
            </w:r>
          </w:p>
        </w:tc>
        <w:tc>
          <w:tcPr>
            <w:tcW w:w="11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95CD7E"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VB dotācija</w:t>
            </w:r>
          </w:p>
        </w:tc>
        <w:tc>
          <w:tcPr>
            <w:tcW w:w="99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F95223"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VBD pret kopējām izmaksām</w:t>
            </w:r>
          </w:p>
        </w:tc>
        <w:tc>
          <w:tcPr>
            <w:tcW w:w="109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0C9D5"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 xml:space="preserve">VBD pret </w:t>
            </w:r>
            <w:proofErr w:type="spellStart"/>
            <w:r w:rsidRPr="00F42481">
              <w:rPr>
                <w:rFonts w:ascii="Times New Roman" w:eastAsia="Times New Roman" w:hAnsi="Times New Roman"/>
                <w:b/>
                <w:bCs/>
                <w:sz w:val="18"/>
                <w:szCs w:val="18"/>
                <w:lang w:eastAsia="lv-LV"/>
              </w:rPr>
              <w:t>publ</w:t>
            </w:r>
            <w:proofErr w:type="spellEnd"/>
            <w:r w:rsidRPr="00F42481">
              <w:rPr>
                <w:rFonts w:ascii="Times New Roman" w:eastAsia="Times New Roman" w:hAnsi="Times New Roman"/>
                <w:b/>
                <w:bCs/>
                <w:sz w:val="18"/>
                <w:szCs w:val="18"/>
                <w:lang w:eastAsia="lv-LV"/>
              </w:rPr>
              <w:t xml:space="preserve">. attiec. </w:t>
            </w:r>
            <w:proofErr w:type="spellStart"/>
            <w:r w:rsidRPr="00F42481">
              <w:rPr>
                <w:rFonts w:ascii="Times New Roman" w:eastAsia="Times New Roman" w:hAnsi="Times New Roman"/>
                <w:b/>
                <w:bCs/>
                <w:sz w:val="18"/>
                <w:szCs w:val="18"/>
                <w:lang w:eastAsia="lv-LV"/>
              </w:rPr>
              <w:t>izm</w:t>
            </w:r>
            <w:proofErr w:type="spellEnd"/>
            <w:r w:rsidRPr="00F42481">
              <w:rPr>
                <w:rFonts w:ascii="Times New Roman" w:eastAsia="Times New Roman" w:hAnsi="Times New Roman"/>
                <w:b/>
                <w:bCs/>
                <w:sz w:val="18"/>
                <w:szCs w:val="18"/>
                <w:lang w:eastAsia="lv-LV"/>
              </w:rPr>
              <w:t>.</w:t>
            </w:r>
          </w:p>
        </w:tc>
        <w:tc>
          <w:tcPr>
            <w:tcW w:w="9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9DF0"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VBD uz 1 projektu, EUR</w:t>
            </w:r>
          </w:p>
        </w:tc>
      </w:tr>
      <w:tr w:rsidR="00F42481" w:rsidRPr="00F42481" w14:paraId="54D8B946"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B3575"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Rīgas PR</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6EC6DC"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170</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CFBB6A"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547 040 035</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55B50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248 984 686</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0E165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20 557 528</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7B26B8"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3,8%</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89665F"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5,1%</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0328F201"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120 927</w:t>
            </w:r>
          </w:p>
        </w:tc>
      </w:tr>
      <w:tr w:rsidR="00F42481" w:rsidRPr="00F42481" w14:paraId="3E775D04"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489304"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Latgales PR</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3CD01B"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145</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08528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360 928 739</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520FA1"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225 625 267</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2E7B7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15 771 285</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4448BF"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4,4%</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A7952A"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5,5%</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7D12348F"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108 767</w:t>
            </w:r>
          </w:p>
        </w:tc>
      </w:tr>
      <w:tr w:rsidR="00F42481" w:rsidRPr="00F42481" w14:paraId="72FAAD8F"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384117"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Vidzemes PR</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25D2A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121</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0EBBC4"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210 582 438</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460E1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108 437 301</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986C6B"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9 214 323</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83FE58"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4,4%</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C135A9"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5,7%</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0034570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76 151</w:t>
            </w:r>
          </w:p>
        </w:tc>
      </w:tr>
      <w:tr w:rsidR="00F42481" w:rsidRPr="00F42481" w14:paraId="3DD79197"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E12BE2"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Zemgales PR</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5D325F"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87</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626C55"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247 516 523</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E2E29B"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118 796 341</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1C1319"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13 223 442</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15882A"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5,3%</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15842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7,3%</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1A7CB925"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151 994</w:t>
            </w:r>
          </w:p>
        </w:tc>
      </w:tr>
      <w:tr w:rsidR="00F42481" w:rsidRPr="00F42481" w14:paraId="037EC2B0"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F91CD5"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Kurzemes PR</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D3DC17"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80</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AF277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224 819 122</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8AA4AE"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148 764 619</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DC5883"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9 670 515</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3C875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4,3%</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21B23C"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5,0%</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0DBF6B29"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120 881</w:t>
            </w:r>
          </w:p>
        </w:tc>
      </w:tr>
      <w:tr w:rsidR="00F42481" w:rsidRPr="00F42481" w14:paraId="631A9096"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FF95A8"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Projekti ar teritoriju - visa Latvija</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1D1EF4"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4</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395712"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11 006 179</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CE44F9"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9 291 959</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38F2FB"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42 891</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CE3797"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0,4%</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375C5E"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0,4%</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31DF6B0D" w14:textId="77777777" w:rsidR="00D866C1" w:rsidRPr="00F42481" w:rsidRDefault="00C03702">
            <w:pPr>
              <w:widowControl/>
              <w:spacing w:after="0" w:line="240" w:lineRule="auto"/>
              <w:jc w:val="center"/>
              <w:rPr>
                <w:rFonts w:ascii="Times New Roman" w:eastAsia="Times New Roman" w:hAnsi="Times New Roman"/>
                <w:sz w:val="18"/>
                <w:szCs w:val="18"/>
                <w:lang w:eastAsia="lv-LV"/>
              </w:rPr>
            </w:pPr>
            <w:r w:rsidRPr="00F42481">
              <w:rPr>
                <w:rFonts w:ascii="Times New Roman" w:eastAsia="Times New Roman" w:hAnsi="Times New Roman"/>
                <w:sz w:val="18"/>
                <w:szCs w:val="18"/>
                <w:lang w:eastAsia="lv-LV"/>
              </w:rPr>
              <w:t>10 723</w:t>
            </w:r>
          </w:p>
        </w:tc>
      </w:tr>
      <w:tr w:rsidR="00F42481" w:rsidRPr="00F42481" w14:paraId="161A0ED8" w14:textId="77777777" w:rsidTr="006E4A92">
        <w:trPr>
          <w:trHeight w:val="295"/>
          <w:jc w:val="center"/>
        </w:trPr>
        <w:tc>
          <w:tcPr>
            <w:tcW w:w="14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9B38C" w14:textId="77777777" w:rsidR="00D866C1" w:rsidRPr="00F42481" w:rsidRDefault="00C03702">
            <w:pPr>
              <w:widowControl/>
              <w:spacing w:after="0" w:line="240" w:lineRule="auto"/>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Kopā</w:t>
            </w:r>
          </w:p>
        </w:tc>
        <w:tc>
          <w:tcPr>
            <w:tcW w:w="8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D9A84D"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607</w:t>
            </w:r>
          </w:p>
        </w:tc>
        <w:tc>
          <w:tcPr>
            <w:tcW w:w="124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1A4C6B"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1 601 893 036</w:t>
            </w:r>
          </w:p>
        </w:tc>
        <w:tc>
          <w:tcPr>
            <w:tcW w:w="12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F2726C"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859 900 173</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1C7300"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68 479 984</w:t>
            </w:r>
          </w:p>
        </w:tc>
        <w:tc>
          <w:tcPr>
            <w:tcW w:w="99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7491B4"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4,3%</w:t>
            </w:r>
          </w:p>
        </w:tc>
        <w:tc>
          <w:tcPr>
            <w:tcW w:w="109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0683E8"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5,5%</w:t>
            </w:r>
          </w:p>
        </w:tc>
        <w:tc>
          <w:tcPr>
            <w:tcW w:w="931" w:type="dxa"/>
            <w:tcBorders>
              <w:bottom w:val="single" w:sz="4" w:space="0" w:color="000000"/>
              <w:right w:val="single" w:sz="4" w:space="0" w:color="000000"/>
            </w:tcBorders>
            <w:shd w:val="clear" w:color="auto" w:fill="auto"/>
            <w:tcMar>
              <w:top w:w="0" w:type="dxa"/>
              <w:left w:w="108" w:type="dxa"/>
              <w:bottom w:w="0" w:type="dxa"/>
              <w:right w:w="108" w:type="dxa"/>
            </w:tcMar>
          </w:tcPr>
          <w:p w14:paraId="14FF02C5" w14:textId="77777777" w:rsidR="00D866C1" w:rsidRPr="00F42481" w:rsidRDefault="00C03702">
            <w:pPr>
              <w:widowControl/>
              <w:spacing w:after="0" w:line="240" w:lineRule="auto"/>
              <w:jc w:val="center"/>
              <w:rPr>
                <w:rFonts w:ascii="Times New Roman" w:eastAsia="Times New Roman" w:hAnsi="Times New Roman"/>
                <w:b/>
                <w:bCs/>
                <w:sz w:val="18"/>
                <w:szCs w:val="18"/>
                <w:lang w:eastAsia="lv-LV"/>
              </w:rPr>
            </w:pPr>
            <w:r w:rsidRPr="00F42481">
              <w:rPr>
                <w:rFonts w:ascii="Times New Roman" w:eastAsia="Times New Roman" w:hAnsi="Times New Roman"/>
                <w:b/>
                <w:bCs/>
                <w:sz w:val="18"/>
                <w:szCs w:val="18"/>
                <w:lang w:eastAsia="lv-LV"/>
              </w:rPr>
              <w:t>112 817</w:t>
            </w:r>
          </w:p>
        </w:tc>
      </w:tr>
    </w:tbl>
    <w:p w14:paraId="00B83C59" w14:textId="77777777" w:rsidR="00D866C1" w:rsidRPr="00F42481" w:rsidRDefault="00D866C1">
      <w:pPr>
        <w:spacing w:before="120" w:after="0" w:line="240" w:lineRule="auto"/>
        <w:jc w:val="both"/>
        <w:rPr>
          <w:rFonts w:ascii="Times New Roman" w:eastAsia="Times New Roman" w:hAnsi="Times New Roman"/>
          <w:sz w:val="24"/>
          <w:szCs w:val="24"/>
        </w:rPr>
      </w:pPr>
    </w:p>
    <w:p w14:paraId="36EFD561" w14:textId="77777777" w:rsidR="00D866C1" w:rsidRPr="00F42481" w:rsidRDefault="00C03702">
      <w:pPr>
        <w:pStyle w:val="ListParagraph"/>
        <w:numPr>
          <w:ilvl w:val="0"/>
          <w:numId w:val="1"/>
        </w:numPr>
        <w:spacing w:before="120" w:after="0" w:line="240" w:lineRule="auto"/>
        <w:ind w:left="993" w:hanging="284"/>
        <w:jc w:val="both"/>
        <w:rPr>
          <w:rFonts w:ascii="Times New Roman" w:eastAsia="Times New Roman" w:hAnsi="Times New Roman"/>
          <w:sz w:val="24"/>
          <w:szCs w:val="24"/>
        </w:rPr>
      </w:pPr>
      <w:r w:rsidRPr="00F42481">
        <w:rPr>
          <w:rFonts w:ascii="Times New Roman" w:eastAsia="Times New Roman" w:hAnsi="Times New Roman"/>
          <w:sz w:val="24"/>
          <w:szCs w:val="24"/>
        </w:rPr>
        <w:t>kaut gan valsts dotācijas mērķis ir palīdzēt pašvaldībām īstenot projektus, tomēr parasti valsts dotācijas apmērs ir 1%-5% no projekta kopējām izmaksām, līdz ar to valsts budžeta dotācija nedod īpaši lielu ieguldījumu projektu īstenošanā. Izšķirošais projekta realizācijai ir ES fondu finansējums, nevis atbalsts līdzfinansējumam 15% apmērā, no kuriem aptuveni 1%-5% veido valsts budžeta dotācija.</w:t>
      </w:r>
    </w:p>
    <w:p w14:paraId="29D9B09E" w14:textId="758BA60B" w:rsidR="00D866C1" w:rsidRPr="00F42481" w:rsidRDefault="00C03702">
      <w:pPr>
        <w:spacing w:before="120" w:after="0" w:line="240" w:lineRule="auto"/>
        <w:ind w:firstLine="720"/>
        <w:jc w:val="both"/>
      </w:pPr>
      <w:r w:rsidRPr="00F42481">
        <w:rPr>
          <w:rFonts w:ascii="Times New Roman" w:eastAsia="Times New Roman" w:hAnsi="Times New Roman"/>
          <w:sz w:val="24"/>
          <w:szCs w:val="24"/>
        </w:rPr>
        <w:t xml:space="preserve">Reģionālās politikas pamatnostādņu 2021.-2027.gadam </w:t>
      </w:r>
      <w:r w:rsidR="0051446A">
        <w:rPr>
          <w:rFonts w:ascii="Times New Roman" w:eastAsia="Times New Roman" w:hAnsi="Times New Roman"/>
          <w:sz w:val="24"/>
          <w:szCs w:val="24"/>
        </w:rPr>
        <w:t xml:space="preserve">B. </w:t>
      </w:r>
      <w:r w:rsidRPr="00F42481">
        <w:rPr>
          <w:rFonts w:ascii="Times New Roman" w:eastAsia="Times New Roman" w:hAnsi="Times New Roman"/>
          <w:sz w:val="24"/>
          <w:szCs w:val="24"/>
        </w:rPr>
        <w:t>3.4. uzdevums “Regulējuma izstrāde valsts budžeta dotācijai pašvaldību ES fondu projektu līdzfinansēšanai”, lai nodrošinātu lielāku reģionālo ietekmi valsts budžeta dotācijai ES fondu līdzfinansēto projektu īstenošanai, paredz plānošanas periodā 2021.-2027.gadam izvērtēt atbalsta apmēra un intensitātes diferencēšanu atsevišķajās teritorijās vai jomās, kur tā ir nepieciešama projektu realizācijai reģionālās attīstības atšķirību mazināšanai. Vienlaikus valsts budžeta dotācija pašvaldībām ir viens no </w:t>
      </w:r>
      <w:hyperlink r:id="rId7" w:history="1">
        <w:r w:rsidRPr="00F42481">
          <w:rPr>
            <w:rFonts w:ascii="Times New Roman" w:hAnsi="Times New Roman"/>
            <w:sz w:val="24"/>
            <w:szCs w:val="24"/>
          </w:rPr>
          <w:t>Reģionālās attīstības likumā</w:t>
        </w:r>
      </w:hyperlink>
      <w:r w:rsidRPr="00F42481">
        <w:rPr>
          <w:rFonts w:ascii="Times New Roman" w:eastAsia="Times New Roman" w:hAnsi="Times New Roman"/>
          <w:sz w:val="24"/>
          <w:szCs w:val="24"/>
        </w:rPr>
        <w:t xml:space="preserve"> definētajiem reģionālās politikas instrumentiem. </w:t>
      </w:r>
    </w:p>
    <w:p w14:paraId="1F596A0D" w14:textId="073AE2BA" w:rsidR="00D866C1" w:rsidRPr="00F42481" w:rsidRDefault="00C03702">
      <w:pPr>
        <w:spacing w:before="120" w:after="0" w:line="240" w:lineRule="auto"/>
        <w:ind w:firstLine="720"/>
        <w:jc w:val="both"/>
      </w:pPr>
      <w:r w:rsidRPr="00F42481">
        <w:rPr>
          <w:rFonts w:ascii="Times New Roman" w:eastAsia="Times New Roman" w:hAnsi="Times New Roman"/>
          <w:sz w:val="24"/>
          <w:szCs w:val="24"/>
        </w:rPr>
        <w:lastRenderedPageBreak/>
        <w:t xml:space="preserve">Tāpat Reģionālās politikas pamatnostādnes 2021.-2027.gadam nosaka, ka ir nepieciešams veidot pastāvīgu atbalsta programmu (indikatīvais finansējums 33 600 000 </w:t>
      </w:r>
      <w:proofErr w:type="spellStart"/>
      <w:r w:rsidRPr="00F42481">
        <w:rPr>
          <w:rFonts w:ascii="Times New Roman" w:eastAsia="Times New Roman" w:hAnsi="Times New Roman"/>
          <w:i/>
          <w:iCs/>
          <w:sz w:val="24"/>
          <w:szCs w:val="24"/>
        </w:rPr>
        <w:t>euro</w:t>
      </w:r>
      <w:proofErr w:type="spellEnd"/>
      <w:r w:rsidRPr="00F42481">
        <w:rPr>
          <w:rFonts w:ascii="Times New Roman" w:eastAsia="Times New Roman" w:hAnsi="Times New Roman"/>
          <w:sz w:val="24"/>
          <w:szCs w:val="24"/>
        </w:rPr>
        <w:t xml:space="preserve"> gadā), programmas līdzekļus novirzot </w:t>
      </w:r>
      <w:r w:rsidR="00BE754F">
        <w:rPr>
          <w:rFonts w:ascii="Times New Roman" w:eastAsia="Times New Roman" w:hAnsi="Times New Roman"/>
          <w:sz w:val="24"/>
          <w:szCs w:val="24"/>
        </w:rPr>
        <w:t xml:space="preserve">pašvaldību īstenotajiem </w:t>
      </w:r>
      <w:r w:rsidRPr="00F42481">
        <w:rPr>
          <w:rFonts w:ascii="Times New Roman" w:eastAsia="Times New Roman" w:hAnsi="Times New Roman"/>
          <w:sz w:val="24"/>
          <w:szCs w:val="24"/>
        </w:rPr>
        <w:t>uzņēmējdarbības atbalsta projektiem, kā arī</w:t>
      </w:r>
      <w:r w:rsidR="00BE754F">
        <w:rPr>
          <w:rFonts w:ascii="Times New Roman" w:eastAsia="Times New Roman" w:hAnsi="Times New Roman"/>
          <w:sz w:val="24"/>
          <w:szCs w:val="24"/>
        </w:rPr>
        <w:t xml:space="preserve"> pašvaldību īstenotajiem projektiem</w:t>
      </w:r>
      <w:r w:rsidRPr="00F42481">
        <w:rPr>
          <w:rFonts w:ascii="Times New Roman" w:eastAsia="Times New Roman" w:hAnsi="Times New Roman"/>
          <w:sz w:val="24"/>
          <w:szCs w:val="24"/>
        </w:rPr>
        <w:t xml:space="preserve"> pakalpojumu pieejamības un kvalitātes uzlabošanai. </w:t>
      </w:r>
    </w:p>
    <w:p w14:paraId="66E4218E" w14:textId="31F31EDA" w:rsidR="00D866C1" w:rsidRPr="00F42481" w:rsidRDefault="00C03702" w:rsidP="006C3852">
      <w:pPr>
        <w:spacing w:before="120" w:after="0" w:line="240" w:lineRule="auto"/>
        <w:ind w:firstLine="720"/>
        <w:jc w:val="both"/>
      </w:pPr>
      <w:r w:rsidRPr="00F42481">
        <w:rPr>
          <w:rFonts w:ascii="Times New Roman" w:eastAsia="Times New Roman" w:hAnsi="Times New Roman"/>
          <w:sz w:val="24"/>
          <w:szCs w:val="24"/>
        </w:rPr>
        <w:t xml:space="preserve">Ņemot vērā esošā atbalsta veida trūkumus, Vides aizsardzības un reģionālās attīstības ministrija </w:t>
      </w:r>
      <w:r w:rsidR="00BD11DA">
        <w:rPr>
          <w:rFonts w:ascii="Times New Roman" w:eastAsia="Times New Roman" w:hAnsi="Times New Roman"/>
          <w:sz w:val="24"/>
          <w:szCs w:val="24"/>
        </w:rPr>
        <w:t xml:space="preserve">(turpmāk – VARAM) </w:t>
      </w:r>
      <w:r w:rsidRPr="00F42481">
        <w:rPr>
          <w:rFonts w:ascii="Times New Roman" w:eastAsia="Times New Roman" w:hAnsi="Times New Roman"/>
          <w:sz w:val="24"/>
          <w:szCs w:val="24"/>
        </w:rPr>
        <w:t>ierosina finansējumu</w:t>
      </w:r>
      <w:r w:rsidR="006C3852">
        <w:rPr>
          <w:rFonts w:ascii="Times New Roman" w:eastAsia="Times New Roman" w:hAnsi="Times New Roman"/>
          <w:sz w:val="24"/>
          <w:szCs w:val="24"/>
        </w:rPr>
        <w:t xml:space="preserve"> </w:t>
      </w:r>
      <w:r w:rsidR="0017569B">
        <w:rPr>
          <w:rFonts w:ascii="Times New Roman" w:eastAsia="Times New Roman" w:hAnsi="Times New Roman"/>
          <w:sz w:val="24"/>
          <w:szCs w:val="24"/>
        </w:rPr>
        <w:t>2</w:t>
      </w:r>
      <w:r w:rsidR="006C3852">
        <w:rPr>
          <w:rFonts w:ascii="Times New Roman" w:eastAsia="Times New Roman" w:hAnsi="Times New Roman"/>
          <w:sz w:val="24"/>
          <w:szCs w:val="24"/>
        </w:rPr>
        <w:t>0</w:t>
      </w:r>
      <w:r w:rsidR="00C424F3">
        <w:rPr>
          <w:rFonts w:ascii="Times New Roman" w:eastAsia="Times New Roman" w:hAnsi="Times New Roman"/>
          <w:sz w:val="24"/>
          <w:szCs w:val="24"/>
        </w:rPr>
        <w:t> 000 000</w:t>
      </w:r>
      <w:r w:rsidR="006C3852">
        <w:rPr>
          <w:rFonts w:ascii="Times New Roman" w:eastAsia="Times New Roman" w:hAnsi="Times New Roman"/>
          <w:sz w:val="24"/>
          <w:szCs w:val="24"/>
        </w:rPr>
        <w:t xml:space="preserve"> </w:t>
      </w:r>
      <w:proofErr w:type="spellStart"/>
      <w:r w:rsidR="006C3852" w:rsidRPr="006C3852">
        <w:rPr>
          <w:rFonts w:ascii="Times New Roman" w:eastAsia="Times New Roman" w:hAnsi="Times New Roman"/>
          <w:i/>
          <w:iCs/>
          <w:sz w:val="24"/>
          <w:szCs w:val="24"/>
        </w:rPr>
        <w:t>euro</w:t>
      </w:r>
      <w:proofErr w:type="spellEnd"/>
      <w:r w:rsidR="006C3852">
        <w:rPr>
          <w:rFonts w:ascii="Times New Roman" w:eastAsia="Times New Roman" w:hAnsi="Times New Roman"/>
          <w:sz w:val="24"/>
          <w:szCs w:val="24"/>
        </w:rPr>
        <w:t xml:space="preserve"> apmērā gadā</w:t>
      </w:r>
      <w:r w:rsidRPr="00F42481">
        <w:rPr>
          <w:rFonts w:ascii="Times New Roman" w:eastAsia="Times New Roman" w:hAnsi="Times New Roman"/>
          <w:sz w:val="24"/>
          <w:szCs w:val="24"/>
        </w:rPr>
        <w:t xml:space="preserve">, ko potenciāli varētu izmantot valsts dotācijai </w:t>
      </w:r>
      <w:r w:rsidR="00C424F3">
        <w:rPr>
          <w:rFonts w:ascii="Times New Roman" w:eastAsia="Times New Roman" w:hAnsi="Times New Roman"/>
          <w:sz w:val="24"/>
          <w:szCs w:val="24"/>
        </w:rPr>
        <w:t xml:space="preserve">pašvaldībām </w:t>
      </w:r>
      <w:r w:rsidRPr="00F42481">
        <w:rPr>
          <w:rFonts w:ascii="Times New Roman" w:eastAsia="Times New Roman" w:hAnsi="Times New Roman"/>
          <w:sz w:val="24"/>
          <w:szCs w:val="24"/>
        </w:rPr>
        <w:t>ES fondu projekt</w:t>
      </w:r>
      <w:r w:rsidR="00C424F3">
        <w:rPr>
          <w:rFonts w:ascii="Times New Roman" w:eastAsia="Times New Roman" w:hAnsi="Times New Roman"/>
          <w:sz w:val="24"/>
          <w:szCs w:val="24"/>
        </w:rPr>
        <w:t>u</w:t>
      </w:r>
      <w:r w:rsidRPr="00F42481">
        <w:rPr>
          <w:rFonts w:ascii="Times New Roman" w:eastAsia="Times New Roman" w:hAnsi="Times New Roman"/>
          <w:sz w:val="24"/>
          <w:szCs w:val="24"/>
        </w:rPr>
        <w:t xml:space="preserve"> 2021.-2027.gadu plānošanas periodā</w:t>
      </w:r>
      <w:r w:rsidR="00C424F3" w:rsidRPr="00C424F3">
        <w:t xml:space="preserve"> </w:t>
      </w:r>
      <w:r w:rsidR="00C424F3" w:rsidRPr="00C424F3">
        <w:rPr>
          <w:rFonts w:ascii="Times New Roman" w:eastAsia="Times New Roman" w:hAnsi="Times New Roman"/>
          <w:sz w:val="24"/>
          <w:szCs w:val="24"/>
        </w:rPr>
        <w:t>līdzfinansējuma atbalstam</w:t>
      </w:r>
      <w:r w:rsidRPr="00F42481">
        <w:rPr>
          <w:rFonts w:ascii="Times New Roman" w:eastAsia="Times New Roman" w:hAnsi="Times New Roman"/>
          <w:sz w:val="24"/>
          <w:szCs w:val="24"/>
        </w:rPr>
        <w:t xml:space="preserve">, novirzīt </w:t>
      </w:r>
      <w:r w:rsidRPr="006C3852">
        <w:rPr>
          <w:rFonts w:ascii="Times New Roman" w:eastAsia="Times New Roman" w:hAnsi="Times New Roman"/>
          <w:sz w:val="24"/>
          <w:szCs w:val="24"/>
        </w:rPr>
        <w:t>pastāvīgajam</w:t>
      </w:r>
      <w:r w:rsidRPr="00F42481">
        <w:rPr>
          <w:rFonts w:ascii="Times New Roman" w:eastAsia="Times New Roman" w:hAnsi="Times New Roman"/>
          <w:sz w:val="24"/>
          <w:szCs w:val="24"/>
        </w:rPr>
        <w:t xml:space="preserve"> finansējuma avotam mērķdotācijām </w:t>
      </w:r>
      <w:r w:rsidRPr="00F42481">
        <w:rPr>
          <w:rFonts w:ascii="Times New Roman" w:hAnsi="Times New Roman"/>
          <w:sz w:val="24"/>
          <w:szCs w:val="24"/>
          <w:shd w:val="clear" w:color="auto" w:fill="FFFFFF"/>
        </w:rPr>
        <w:t>augstas gatavības pašvaldību investīciju projektiem</w:t>
      </w:r>
      <w:r w:rsidR="0051446A">
        <w:rPr>
          <w:rFonts w:ascii="Times New Roman" w:hAnsi="Times New Roman"/>
          <w:sz w:val="24"/>
          <w:szCs w:val="24"/>
          <w:shd w:val="clear" w:color="auto" w:fill="FFFFFF"/>
        </w:rPr>
        <w:t>, kuriem piešķir mērķdotācijas</w:t>
      </w:r>
      <w:r w:rsidRPr="00F42481">
        <w:rPr>
          <w:rFonts w:ascii="Times New Roman" w:eastAsia="Times New Roman" w:hAnsi="Times New Roman"/>
          <w:sz w:val="24"/>
          <w:szCs w:val="24"/>
        </w:rPr>
        <w:t xml:space="preserve"> atbilstoši Ministru kabineta </w:t>
      </w:r>
      <w:r w:rsidR="006C3852" w:rsidRPr="00F42481">
        <w:rPr>
          <w:rFonts w:ascii="Times New Roman" w:eastAsia="Times New Roman" w:hAnsi="Times New Roman"/>
          <w:sz w:val="24"/>
          <w:szCs w:val="24"/>
        </w:rPr>
        <w:t xml:space="preserve">2022.gada 8.februāra </w:t>
      </w:r>
      <w:r w:rsidRPr="00F42481">
        <w:rPr>
          <w:rFonts w:ascii="Times New Roman" w:eastAsia="Times New Roman" w:hAnsi="Times New Roman"/>
          <w:sz w:val="24"/>
          <w:szCs w:val="24"/>
        </w:rPr>
        <w:t>noteikumiem Nr. 112 “Kārtība, kādā piešķiramas un izlietojamas mērķdotācijas investīcijām pašvaldībām” (turpmāk – MK</w:t>
      </w:r>
      <w:r w:rsidR="00BD11DA">
        <w:rPr>
          <w:rFonts w:ascii="Times New Roman" w:eastAsia="Times New Roman" w:hAnsi="Times New Roman"/>
          <w:sz w:val="24"/>
          <w:szCs w:val="24"/>
        </w:rPr>
        <w:t xml:space="preserve"> noteikumi</w:t>
      </w:r>
      <w:r w:rsidRPr="00F42481">
        <w:rPr>
          <w:rFonts w:ascii="Times New Roman" w:eastAsia="Times New Roman" w:hAnsi="Times New Roman"/>
          <w:sz w:val="24"/>
          <w:szCs w:val="24"/>
        </w:rPr>
        <w:t xml:space="preserve"> </w:t>
      </w:r>
      <w:r w:rsidR="00BD11DA">
        <w:rPr>
          <w:rFonts w:ascii="Times New Roman" w:eastAsia="Times New Roman" w:hAnsi="Times New Roman"/>
          <w:sz w:val="24"/>
          <w:szCs w:val="24"/>
        </w:rPr>
        <w:t>N</w:t>
      </w:r>
      <w:r w:rsidRPr="00F42481">
        <w:rPr>
          <w:rFonts w:ascii="Times New Roman" w:eastAsia="Times New Roman" w:hAnsi="Times New Roman"/>
          <w:sz w:val="24"/>
          <w:szCs w:val="24"/>
        </w:rPr>
        <w:t>r. 112).</w:t>
      </w:r>
      <w:r w:rsidR="006C3852">
        <w:t xml:space="preserve"> </w:t>
      </w:r>
      <w:r w:rsidRPr="006C3852">
        <w:rPr>
          <w:rFonts w:ascii="Times New Roman" w:eastAsia="Times New Roman" w:hAnsi="Times New Roman"/>
          <w:sz w:val="24"/>
          <w:szCs w:val="24"/>
        </w:rPr>
        <w:t>MK</w:t>
      </w:r>
      <w:r w:rsidR="00BD11DA">
        <w:rPr>
          <w:rFonts w:ascii="Times New Roman" w:eastAsia="Times New Roman" w:hAnsi="Times New Roman"/>
          <w:sz w:val="24"/>
          <w:szCs w:val="24"/>
        </w:rPr>
        <w:t xml:space="preserve"> noteikumi</w:t>
      </w:r>
      <w:r w:rsidRPr="006C3852">
        <w:rPr>
          <w:rFonts w:ascii="Times New Roman" w:eastAsia="Times New Roman" w:hAnsi="Times New Roman"/>
          <w:sz w:val="24"/>
          <w:szCs w:val="24"/>
        </w:rPr>
        <w:t xml:space="preserve"> Nr.112 nosaka kārtību, kādā pašvaldībām piešķir mērķdotācijas investīcijām, vienlaikus ir noteikts, ka uz mērķdotāciju piešķiršanu var pretendēt pašvaldība sākot ar 2022.gadu un katru nākamo gadu. </w:t>
      </w:r>
      <w:r w:rsidRPr="006C3852">
        <w:rPr>
          <w:rStyle w:val="Strong"/>
          <w:rFonts w:ascii="Times New Roman" w:hAnsi="Times New Roman"/>
          <w:b w:val="0"/>
          <w:bCs w:val="0"/>
          <w:sz w:val="24"/>
          <w:szCs w:val="24"/>
          <w:shd w:val="clear" w:color="auto" w:fill="FFFFFF"/>
        </w:rPr>
        <w:t>Pieejamais valsts budžeta finansējums 2022. gada pašvaldību investīciju projektu atlasei ir</w:t>
      </w:r>
      <w:r w:rsidRPr="006C3852">
        <w:rPr>
          <w:rFonts w:ascii="Times New Roman" w:hAnsi="Times New Roman"/>
          <w:b/>
          <w:bCs/>
          <w:sz w:val="24"/>
          <w:szCs w:val="24"/>
          <w:shd w:val="clear" w:color="auto" w:fill="FFFFFF"/>
        </w:rPr>
        <w:t> </w:t>
      </w:r>
      <w:r w:rsidRPr="006C3852">
        <w:rPr>
          <w:rStyle w:val="Strong"/>
          <w:rFonts w:ascii="Times New Roman" w:hAnsi="Times New Roman"/>
          <w:b w:val="0"/>
          <w:bCs w:val="0"/>
          <w:sz w:val="24"/>
          <w:szCs w:val="24"/>
          <w:shd w:val="clear" w:color="auto" w:fill="FFFFFF"/>
        </w:rPr>
        <w:t>37 137 265 </w:t>
      </w:r>
      <w:proofErr w:type="spellStart"/>
      <w:r w:rsidRPr="006C3852">
        <w:rPr>
          <w:rStyle w:val="Emphasis"/>
          <w:rFonts w:ascii="Times New Roman" w:hAnsi="Times New Roman"/>
          <w:sz w:val="24"/>
          <w:szCs w:val="24"/>
          <w:shd w:val="clear" w:color="auto" w:fill="FFFFFF"/>
        </w:rPr>
        <w:t>euro</w:t>
      </w:r>
      <w:proofErr w:type="spellEnd"/>
      <w:r w:rsidRPr="006C3852">
        <w:rPr>
          <w:rStyle w:val="Emphasis"/>
          <w:rFonts w:ascii="Times New Roman" w:hAnsi="Times New Roman"/>
          <w:b/>
          <w:bCs/>
          <w:sz w:val="24"/>
          <w:szCs w:val="24"/>
          <w:shd w:val="clear" w:color="auto" w:fill="FFFFFF"/>
        </w:rPr>
        <w:t>.</w:t>
      </w:r>
      <w:r w:rsidR="006C3852">
        <w:rPr>
          <w:rStyle w:val="Emphasis"/>
          <w:rFonts w:ascii="Times New Roman" w:hAnsi="Times New Roman"/>
          <w:b/>
          <w:bCs/>
          <w:sz w:val="24"/>
          <w:szCs w:val="24"/>
          <w:shd w:val="clear" w:color="auto" w:fill="FFFFFF"/>
        </w:rPr>
        <w:t xml:space="preserve"> </w:t>
      </w:r>
      <w:r w:rsidRPr="00F42481">
        <w:rPr>
          <w:rFonts w:ascii="Times New Roman" w:hAnsi="Times New Roman"/>
          <w:sz w:val="24"/>
          <w:szCs w:val="24"/>
          <w:shd w:val="clear" w:color="auto" w:fill="FFFFFF"/>
        </w:rPr>
        <w:t xml:space="preserve">Pašvaldībām bija iespēja līdz 2022.gada 21.martam iesniegt VARAM investīciju projektu pieteikumus valsts budžeta līdzfinansējuma saņemšanai. Tika saņemti investīciju projektu pieteikumi par kopējo nepieciešamo valsts budžeta finansējuma apmēru 63 651 303 </w:t>
      </w:r>
      <w:proofErr w:type="spellStart"/>
      <w:r w:rsidRPr="00F42481">
        <w:rPr>
          <w:rStyle w:val="Emphasis"/>
          <w:rFonts w:ascii="Times New Roman" w:hAnsi="Times New Roman"/>
          <w:sz w:val="24"/>
          <w:szCs w:val="24"/>
          <w:shd w:val="clear" w:color="auto" w:fill="FFFFFF"/>
        </w:rPr>
        <w:t>euro</w:t>
      </w:r>
      <w:proofErr w:type="spellEnd"/>
      <w:r w:rsidRPr="00F42481">
        <w:rPr>
          <w:rStyle w:val="Emphasis"/>
          <w:rFonts w:ascii="Times New Roman" w:hAnsi="Times New Roman"/>
          <w:sz w:val="24"/>
          <w:szCs w:val="24"/>
          <w:shd w:val="clear" w:color="auto" w:fill="FFFFFF"/>
        </w:rPr>
        <w:t xml:space="preserve">, </w:t>
      </w:r>
      <w:r w:rsidRPr="006C3852">
        <w:rPr>
          <w:rStyle w:val="Emphasis"/>
          <w:rFonts w:ascii="Times New Roman" w:hAnsi="Times New Roman"/>
          <w:i w:val="0"/>
          <w:iCs w:val="0"/>
          <w:sz w:val="24"/>
          <w:szCs w:val="24"/>
          <w:shd w:val="clear" w:color="auto" w:fill="FFFFFF"/>
        </w:rPr>
        <w:t>tādējādi pieprasījums</w:t>
      </w:r>
      <w:r w:rsidRPr="00F42481">
        <w:t xml:space="preserve"> </w:t>
      </w:r>
      <w:r w:rsidRPr="00F42481">
        <w:rPr>
          <w:rFonts w:ascii="Times New Roman" w:hAnsi="Times New Roman"/>
          <w:sz w:val="24"/>
          <w:szCs w:val="24"/>
          <w:shd w:val="clear" w:color="auto" w:fill="FFFFFF"/>
        </w:rPr>
        <w:t>pārsniedz 2022.gadā pieejamo valsts budžeta finansējumu.</w:t>
      </w:r>
    </w:p>
    <w:p w14:paraId="58E824F1"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5CDE2204"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50CBE5F1"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39413D5F"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16DC31CB"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186EE8C7"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71E4DE53" w14:textId="77777777" w:rsidR="00D866C1" w:rsidRPr="00F42481" w:rsidRDefault="00D866C1">
      <w:pPr>
        <w:tabs>
          <w:tab w:val="left" w:pos="6840"/>
        </w:tabs>
        <w:spacing w:after="0" w:line="240" w:lineRule="auto"/>
        <w:jc w:val="both"/>
        <w:rPr>
          <w:rFonts w:ascii="Times New Roman" w:eastAsia="Times New Roman" w:hAnsi="Times New Roman"/>
          <w:sz w:val="24"/>
          <w:szCs w:val="24"/>
        </w:rPr>
      </w:pPr>
    </w:p>
    <w:p w14:paraId="743213A8" w14:textId="77777777" w:rsidR="00D866C1" w:rsidRPr="00F42481" w:rsidRDefault="00C03702">
      <w:pPr>
        <w:tabs>
          <w:tab w:val="left" w:pos="6840"/>
        </w:tabs>
        <w:spacing w:after="0" w:line="240" w:lineRule="auto"/>
        <w:jc w:val="both"/>
        <w:rPr>
          <w:rFonts w:ascii="Times New Roman" w:eastAsia="Times New Roman" w:hAnsi="Times New Roman"/>
          <w:sz w:val="24"/>
          <w:szCs w:val="24"/>
        </w:rPr>
      </w:pPr>
      <w:r w:rsidRPr="00F42481">
        <w:rPr>
          <w:rFonts w:ascii="Times New Roman" w:eastAsia="Times New Roman" w:hAnsi="Times New Roman"/>
          <w:sz w:val="24"/>
          <w:szCs w:val="24"/>
        </w:rPr>
        <w:t xml:space="preserve">Vides aizsardzības </w:t>
      </w:r>
    </w:p>
    <w:p w14:paraId="4028F776" w14:textId="77777777" w:rsidR="00D866C1" w:rsidRPr="00F42481" w:rsidRDefault="00C03702">
      <w:pPr>
        <w:tabs>
          <w:tab w:val="left" w:pos="6840"/>
        </w:tabs>
        <w:spacing w:after="0" w:line="240" w:lineRule="auto"/>
        <w:jc w:val="both"/>
        <w:rPr>
          <w:rFonts w:ascii="Times New Roman" w:eastAsia="Times New Roman" w:hAnsi="Times New Roman"/>
          <w:sz w:val="24"/>
          <w:szCs w:val="24"/>
        </w:rPr>
      </w:pPr>
      <w:r w:rsidRPr="00F42481">
        <w:rPr>
          <w:rFonts w:ascii="Times New Roman" w:eastAsia="Times New Roman" w:hAnsi="Times New Roman"/>
          <w:sz w:val="24"/>
          <w:szCs w:val="24"/>
        </w:rPr>
        <w:t xml:space="preserve">un reģionālās attīstības ministrs                                                          </w:t>
      </w:r>
      <w:proofErr w:type="spellStart"/>
      <w:r w:rsidRPr="00F42481">
        <w:rPr>
          <w:rFonts w:ascii="Times New Roman" w:eastAsia="Times New Roman" w:hAnsi="Times New Roman"/>
          <w:sz w:val="24"/>
          <w:szCs w:val="24"/>
        </w:rPr>
        <w:t>A.T.Plešs</w:t>
      </w:r>
      <w:proofErr w:type="spellEnd"/>
    </w:p>
    <w:p w14:paraId="7EAA4534" w14:textId="77777777" w:rsidR="00D866C1" w:rsidRPr="00F42481" w:rsidRDefault="00D866C1">
      <w:pPr>
        <w:tabs>
          <w:tab w:val="left" w:pos="6840"/>
        </w:tabs>
        <w:spacing w:after="0" w:line="240" w:lineRule="auto"/>
        <w:jc w:val="both"/>
        <w:rPr>
          <w:rFonts w:ascii="Times New Roman" w:eastAsia="Times New Roman" w:hAnsi="Times New Roman"/>
          <w:sz w:val="20"/>
          <w:szCs w:val="20"/>
        </w:rPr>
      </w:pPr>
    </w:p>
    <w:p w14:paraId="652DC5D6" w14:textId="77777777" w:rsidR="00D866C1" w:rsidRPr="00F42481" w:rsidRDefault="00D866C1">
      <w:pPr>
        <w:tabs>
          <w:tab w:val="left" w:pos="6840"/>
        </w:tabs>
        <w:spacing w:after="0" w:line="240" w:lineRule="auto"/>
        <w:jc w:val="both"/>
        <w:rPr>
          <w:rFonts w:ascii="Times New Roman" w:eastAsia="Times New Roman" w:hAnsi="Times New Roman"/>
          <w:sz w:val="20"/>
          <w:szCs w:val="20"/>
        </w:rPr>
      </w:pPr>
    </w:p>
    <w:p w14:paraId="280B9CF4" w14:textId="77777777" w:rsidR="00D866C1" w:rsidRPr="00F42481" w:rsidRDefault="00D866C1">
      <w:pPr>
        <w:tabs>
          <w:tab w:val="left" w:pos="6840"/>
        </w:tabs>
        <w:spacing w:after="0" w:line="240" w:lineRule="auto"/>
        <w:jc w:val="both"/>
        <w:rPr>
          <w:rFonts w:ascii="Times New Roman" w:eastAsia="Times New Roman" w:hAnsi="Times New Roman"/>
          <w:sz w:val="20"/>
          <w:szCs w:val="20"/>
        </w:rPr>
      </w:pPr>
    </w:p>
    <w:p w14:paraId="6090F9EE" w14:textId="77777777" w:rsidR="00D866C1" w:rsidRPr="00F42481" w:rsidRDefault="00C03702">
      <w:pPr>
        <w:tabs>
          <w:tab w:val="left" w:pos="6840"/>
        </w:tabs>
        <w:spacing w:after="0" w:line="240" w:lineRule="auto"/>
        <w:jc w:val="both"/>
        <w:rPr>
          <w:rFonts w:ascii="Times New Roman" w:eastAsia="Times New Roman" w:hAnsi="Times New Roman"/>
          <w:sz w:val="20"/>
          <w:szCs w:val="20"/>
        </w:rPr>
      </w:pPr>
      <w:r w:rsidRPr="00F42481">
        <w:rPr>
          <w:rFonts w:ascii="Times New Roman" w:eastAsia="Times New Roman" w:hAnsi="Times New Roman"/>
          <w:sz w:val="20"/>
          <w:szCs w:val="20"/>
        </w:rPr>
        <w:t>Jānis Ilgavižs, 66016721</w:t>
      </w:r>
    </w:p>
    <w:p w14:paraId="34D10FA1" w14:textId="77777777" w:rsidR="00D866C1" w:rsidRPr="00F42481" w:rsidRDefault="00AD12A2">
      <w:pPr>
        <w:tabs>
          <w:tab w:val="left" w:pos="6840"/>
        </w:tabs>
        <w:spacing w:after="0" w:line="240" w:lineRule="auto"/>
        <w:jc w:val="both"/>
      </w:pPr>
      <w:hyperlink r:id="rId8" w:history="1">
        <w:r w:rsidR="00C03702" w:rsidRPr="00F42481">
          <w:rPr>
            <w:rFonts w:ascii="Times New Roman" w:eastAsia="Times New Roman" w:hAnsi="Times New Roman"/>
            <w:sz w:val="20"/>
            <w:szCs w:val="20"/>
            <w:u w:val="single"/>
          </w:rPr>
          <w:t>janis.ilgavizs@varam.gov.lv</w:t>
        </w:r>
      </w:hyperlink>
      <w:r w:rsidR="00C03702" w:rsidRPr="00F42481">
        <w:rPr>
          <w:rFonts w:ascii="Times New Roman" w:eastAsia="Times New Roman" w:hAnsi="Times New Roman"/>
          <w:sz w:val="20"/>
          <w:szCs w:val="20"/>
        </w:rPr>
        <w:t xml:space="preserve"> </w:t>
      </w:r>
    </w:p>
    <w:p w14:paraId="53516A1B" w14:textId="77777777" w:rsidR="00D866C1" w:rsidRPr="00F42481" w:rsidRDefault="00D866C1"/>
    <w:sectPr w:rsidR="00D866C1" w:rsidRPr="00F42481" w:rsidSect="00F42481">
      <w:footerReference w:type="default" r:id="rId9"/>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0277" w14:textId="77777777" w:rsidR="00AD12A2" w:rsidRDefault="00AD12A2">
      <w:pPr>
        <w:spacing w:after="0" w:line="240" w:lineRule="auto"/>
      </w:pPr>
      <w:r>
        <w:separator/>
      </w:r>
    </w:p>
  </w:endnote>
  <w:endnote w:type="continuationSeparator" w:id="0">
    <w:p w14:paraId="066A8C30" w14:textId="77777777" w:rsidR="00AD12A2" w:rsidRDefault="00AD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04057"/>
      <w:docPartObj>
        <w:docPartGallery w:val="Page Numbers (Bottom of Page)"/>
        <w:docPartUnique/>
      </w:docPartObj>
    </w:sdtPr>
    <w:sdtEndPr>
      <w:rPr>
        <w:noProof/>
      </w:rPr>
    </w:sdtEndPr>
    <w:sdtContent>
      <w:p w14:paraId="40742991" w14:textId="743B49CC" w:rsidR="00E747D7" w:rsidRPr="00F42481" w:rsidRDefault="00F42481" w:rsidP="00F42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3AC3" w14:textId="77777777" w:rsidR="00AD12A2" w:rsidRDefault="00AD12A2">
      <w:pPr>
        <w:spacing w:after="0" w:line="240" w:lineRule="auto"/>
      </w:pPr>
      <w:r>
        <w:rPr>
          <w:color w:val="000000"/>
        </w:rPr>
        <w:separator/>
      </w:r>
    </w:p>
  </w:footnote>
  <w:footnote w:type="continuationSeparator" w:id="0">
    <w:p w14:paraId="0054A0AA" w14:textId="77777777" w:rsidR="00AD12A2" w:rsidRDefault="00AD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41043"/>
    <w:multiLevelType w:val="multilevel"/>
    <w:tmpl w:val="01DEDCF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78AF314F"/>
    <w:multiLevelType w:val="multilevel"/>
    <w:tmpl w:val="DB500B3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818225051">
    <w:abstractNumId w:val="0"/>
  </w:num>
  <w:num w:numId="2" w16cid:durableId="102413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C1"/>
    <w:rsid w:val="0017569B"/>
    <w:rsid w:val="001A25F7"/>
    <w:rsid w:val="0051446A"/>
    <w:rsid w:val="00545803"/>
    <w:rsid w:val="006C3852"/>
    <w:rsid w:val="006E4A92"/>
    <w:rsid w:val="008B6660"/>
    <w:rsid w:val="008F64A5"/>
    <w:rsid w:val="00927A9A"/>
    <w:rsid w:val="00977F6A"/>
    <w:rsid w:val="009B6389"/>
    <w:rsid w:val="009D2DB9"/>
    <w:rsid w:val="009F3B43"/>
    <w:rsid w:val="00AB764D"/>
    <w:rsid w:val="00AD12A2"/>
    <w:rsid w:val="00BD11DA"/>
    <w:rsid w:val="00BE754F"/>
    <w:rsid w:val="00C03702"/>
    <w:rsid w:val="00C424F3"/>
    <w:rsid w:val="00D64CF3"/>
    <w:rsid w:val="00D866C1"/>
    <w:rsid w:val="00F42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6613"/>
  <w15:docId w15:val="{A6510707-D25F-4D76-8819-36CF06C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Strong">
    <w:name w:val="Strong"/>
    <w:rPr>
      <w:b/>
      <w:bCs/>
    </w:rPr>
  </w:style>
  <w:style w:type="character" w:styleId="Emphasis">
    <w:name w:val="Emphasis"/>
    <w:basedOn w:val="DefaultParagraphFont"/>
    <w:rPr>
      <w:i/>
      <w:iC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rPr>
      <w:rFonts w:ascii="Calibri" w:eastAsia="Calibri" w:hAnsi="Calibri" w:cs="Times New Roman"/>
    </w:rPr>
  </w:style>
  <w:style w:type="paragraph" w:styleId="Revision">
    <w:name w:val="Revision"/>
    <w:hidden/>
    <w:uiPriority w:val="99"/>
    <w:semiHidden/>
    <w:rsid w:val="00BD11DA"/>
    <w:pPr>
      <w:autoSpaceDN/>
      <w:spacing w:after="0" w:line="240" w:lineRule="auto"/>
    </w:pPr>
  </w:style>
  <w:style w:type="character" w:styleId="CommentReference">
    <w:name w:val="annotation reference"/>
    <w:basedOn w:val="DefaultParagraphFont"/>
    <w:uiPriority w:val="99"/>
    <w:semiHidden/>
    <w:unhideWhenUsed/>
    <w:rsid w:val="0051446A"/>
    <w:rPr>
      <w:sz w:val="16"/>
      <w:szCs w:val="16"/>
    </w:rPr>
  </w:style>
  <w:style w:type="paragraph" w:styleId="CommentText">
    <w:name w:val="annotation text"/>
    <w:basedOn w:val="Normal"/>
    <w:link w:val="CommentTextChar"/>
    <w:uiPriority w:val="99"/>
    <w:semiHidden/>
    <w:unhideWhenUsed/>
    <w:rsid w:val="0051446A"/>
    <w:pPr>
      <w:spacing w:line="240" w:lineRule="auto"/>
    </w:pPr>
    <w:rPr>
      <w:sz w:val="20"/>
      <w:szCs w:val="20"/>
    </w:rPr>
  </w:style>
  <w:style w:type="character" w:customStyle="1" w:styleId="CommentTextChar">
    <w:name w:val="Comment Text Char"/>
    <w:basedOn w:val="DefaultParagraphFont"/>
    <w:link w:val="CommentText"/>
    <w:uiPriority w:val="99"/>
    <w:semiHidden/>
    <w:rsid w:val="0051446A"/>
    <w:rPr>
      <w:sz w:val="20"/>
      <w:szCs w:val="20"/>
    </w:rPr>
  </w:style>
  <w:style w:type="paragraph" w:styleId="CommentSubject">
    <w:name w:val="annotation subject"/>
    <w:basedOn w:val="CommentText"/>
    <w:next w:val="CommentText"/>
    <w:link w:val="CommentSubjectChar"/>
    <w:uiPriority w:val="99"/>
    <w:semiHidden/>
    <w:unhideWhenUsed/>
    <w:rsid w:val="0051446A"/>
    <w:rPr>
      <w:b/>
      <w:bCs/>
    </w:rPr>
  </w:style>
  <w:style w:type="character" w:customStyle="1" w:styleId="CommentSubjectChar">
    <w:name w:val="Comment Subject Char"/>
    <w:basedOn w:val="CommentTextChar"/>
    <w:link w:val="CommentSubject"/>
    <w:uiPriority w:val="99"/>
    <w:semiHidden/>
    <w:rsid w:val="00514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is.ilgavizs@varam.gov.lv" TargetMode="External"/><Relationship Id="rId3" Type="http://schemas.openxmlformats.org/officeDocument/2006/relationships/settings" Target="settings.xml"/><Relationship Id="rId7" Type="http://schemas.openxmlformats.org/officeDocument/2006/relationships/hyperlink" Target="https://likumi.lv/ta/id/61002-regionalas-attist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3514</Words>
  <Characters>2003</Characters>
  <Application>Microsoft Office Word</Application>
  <DocSecurity>0</DocSecurity>
  <Lines>16</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Ilgavižs</dc:creator>
  <dc:description/>
  <cp:lastModifiedBy>Jānis Ilgavižs</cp:lastModifiedBy>
  <cp:revision>2</cp:revision>
  <dcterms:created xsi:type="dcterms:W3CDTF">2022-05-27T09:55:00Z</dcterms:created>
  <dcterms:modified xsi:type="dcterms:W3CDTF">2022-05-27T09:55:00Z</dcterms:modified>
</cp:coreProperties>
</file>