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7203A" w14:textId="03225F25" w:rsidR="00BB3048" w:rsidRPr="00BB3048" w:rsidRDefault="00BB3048" w:rsidP="00BB3048">
      <w:pPr>
        <w:jc w:val="center"/>
        <w:rPr>
          <w:rFonts w:ascii="Times New Roman" w:hAnsi="Times New Roman" w:cs="Times New Roman"/>
          <w:b/>
          <w:bCs/>
          <w:sz w:val="28"/>
          <w:szCs w:val="28"/>
        </w:rPr>
      </w:pPr>
      <w:r w:rsidRPr="00BB3048">
        <w:rPr>
          <w:rFonts w:ascii="Times New Roman" w:hAnsi="Times New Roman" w:cs="Times New Roman"/>
          <w:b/>
          <w:bCs/>
          <w:sz w:val="28"/>
          <w:szCs w:val="28"/>
        </w:rPr>
        <w:t>Mežsaimniecības un mežizstrādes vieta ekonomikā</w:t>
      </w:r>
    </w:p>
    <w:p w14:paraId="515D9371" w14:textId="50CBE635" w:rsidR="00BB3048" w:rsidRDefault="00BB3048" w:rsidP="00BB3048">
      <w:pPr>
        <w:jc w:val="both"/>
        <w:rPr>
          <w:rFonts w:ascii="Times New Roman" w:hAnsi="Times New Roman" w:cs="Times New Roman"/>
          <w:sz w:val="24"/>
          <w:szCs w:val="24"/>
        </w:rPr>
      </w:pPr>
      <w:r w:rsidRPr="00BB3048">
        <w:rPr>
          <w:rFonts w:ascii="Times New Roman" w:hAnsi="Times New Roman" w:cs="Times New Roman"/>
          <w:sz w:val="24"/>
          <w:szCs w:val="24"/>
        </w:rPr>
        <w:t>2024.gadā 02. nozare Mežsaimniecība un mežistrāde veidoja 2,4% no IKP faktiskajās cenās, 2025.gada trīs ceturkšņos – 2,6% no IKP.</w:t>
      </w:r>
    </w:p>
    <w:p w14:paraId="4C773DA7" w14:textId="60B2EB05" w:rsidR="00BB3048" w:rsidRPr="00BB3048" w:rsidRDefault="00BB3048" w:rsidP="0BF7F3FC">
      <w:pPr>
        <w:jc w:val="center"/>
        <w:rPr>
          <w:rFonts w:ascii="Times New Roman" w:hAnsi="Times New Roman" w:cs="Times New Roman"/>
          <w:sz w:val="24"/>
          <w:szCs w:val="24"/>
        </w:rPr>
      </w:pPr>
      <w:r>
        <w:rPr>
          <w:noProof/>
        </w:rPr>
        <w:drawing>
          <wp:inline distT="0" distB="0" distL="0" distR="0" wp14:anchorId="4AEF16DA" wp14:editId="160675EB">
            <wp:extent cx="5278120" cy="1838325"/>
            <wp:effectExtent l="0" t="0" r="17780" b="9525"/>
            <wp:docPr id="753801370" name="Chart 1">
              <a:extLst xmlns:a="http://schemas.openxmlformats.org/drawingml/2006/main">
                <a:ext uri="{FF2B5EF4-FFF2-40B4-BE49-F238E27FC236}">
                  <a16:creationId xmlns:a16="http://schemas.microsoft.com/office/drawing/2014/main" id="{6C4209D9-442F-45E0-B651-EE966352A4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7DFAB8C" w14:textId="355A8164" w:rsidR="00BB3048" w:rsidRDefault="00BB3048" w:rsidP="00BB3048">
      <w:pPr>
        <w:jc w:val="both"/>
        <w:rPr>
          <w:rFonts w:ascii="Times New Roman" w:hAnsi="Times New Roman" w:cs="Times New Roman"/>
          <w:sz w:val="24"/>
          <w:szCs w:val="24"/>
        </w:rPr>
      </w:pPr>
      <w:r w:rsidRPr="00BB3048">
        <w:rPr>
          <w:rFonts w:ascii="Times New Roman" w:hAnsi="Times New Roman" w:cs="Times New Roman"/>
          <w:sz w:val="24"/>
          <w:szCs w:val="24"/>
        </w:rPr>
        <w:t>Aizņemtās darba vietas nozarē atbilst 1,3% no kopējā aizņemto darba vietu skaita Latvijā, tajā skaitā 11 skartajos uzņēmumos – 0,2% no kopējā darba vietu skaita.</w:t>
      </w:r>
    </w:p>
    <w:p w14:paraId="0DEE2EEB" w14:textId="7AC4D0B4" w:rsidR="00BB3048" w:rsidRDefault="00BB3048" w:rsidP="00BB3048">
      <w:pPr>
        <w:jc w:val="center"/>
        <w:rPr>
          <w:rFonts w:ascii="Times New Roman" w:hAnsi="Times New Roman" w:cs="Times New Roman"/>
          <w:sz w:val="24"/>
          <w:szCs w:val="24"/>
        </w:rPr>
      </w:pPr>
      <w:r>
        <w:rPr>
          <w:noProof/>
        </w:rPr>
        <w:drawing>
          <wp:inline distT="0" distB="0" distL="0" distR="0" wp14:anchorId="7322A6CF" wp14:editId="352E5D67">
            <wp:extent cx="5060315" cy="2200275"/>
            <wp:effectExtent l="0" t="0" r="6985" b="9525"/>
            <wp:docPr id="2114558683" name="Chart 1">
              <a:extLst xmlns:a="http://schemas.openxmlformats.org/drawingml/2006/main">
                <a:ext uri="{FF2B5EF4-FFF2-40B4-BE49-F238E27FC236}">
                  <a16:creationId xmlns:a16="http://schemas.microsoft.com/office/drawing/2014/main" id="{85855EE1-572A-42ED-ADF9-0C236229BE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58AB12F" w14:textId="77777777" w:rsidR="00BB3048" w:rsidRPr="00BB3048" w:rsidRDefault="00BB3048" w:rsidP="00BB3048">
      <w:pPr>
        <w:jc w:val="both"/>
        <w:rPr>
          <w:rFonts w:ascii="Times New Roman" w:hAnsi="Times New Roman" w:cs="Times New Roman"/>
          <w:sz w:val="24"/>
          <w:szCs w:val="24"/>
        </w:rPr>
      </w:pPr>
      <w:r w:rsidRPr="00BB3048">
        <w:rPr>
          <w:rFonts w:ascii="Times New Roman" w:hAnsi="Times New Roman" w:cs="Times New Roman"/>
          <w:sz w:val="24"/>
          <w:szCs w:val="24"/>
        </w:rPr>
        <w:t>Strādājošo vidējā mēneša bruto darba samaksa (1841 eiro 2024.gadā) ir augstāka par valstī vidējo, pārsniedzot to par 9,2%. Tomēr šo augstāko algas līmeni nosaka galvenokārt augstākā darba samaksa sabiedriskā sektora pusē – valsts uzņēmumā Latvijas Valsts meži un Valsts meža dienestā, kur vidējā darba samaksa 2024.gadā bija 2290 eiro.</w:t>
      </w:r>
    </w:p>
    <w:p w14:paraId="63D271EA" w14:textId="05C9A38F" w:rsidR="00BB3048" w:rsidRDefault="00BB3048" w:rsidP="00BB3048">
      <w:pPr>
        <w:jc w:val="center"/>
        <w:rPr>
          <w:rFonts w:ascii="Times New Roman" w:hAnsi="Times New Roman" w:cs="Times New Roman"/>
          <w:sz w:val="24"/>
          <w:szCs w:val="24"/>
        </w:rPr>
      </w:pPr>
      <w:r>
        <w:rPr>
          <w:noProof/>
        </w:rPr>
        <w:drawing>
          <wp:inline distT="0" distB="0" distL="0" distR="0" wp14:anchorId="2394543B" wp14:editId="46B2F8B0">
            <wp:extent cx="5457825" cy="2286000"/>
            <wp:effectExtent l="0" t="0" r="9525" b="0"/>
            <wp:docPr id="705762243" name="Chart 1">
              <a:extLst xmlns:a="http://schemas.openxmlformats.org/drawingml/2006/main">
                <a:ext uri="{FF2B5EF4-FFF2-40B4-BE49-F238E27FC236}">
                  <a16:creationId xmlns:a16="http://schemas.microsoft.com/office/drawing/2014/main" id="{77E55A07-8643-98DE-58D9-A45232C54E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9576927" w14:textId="02CC2020" w:rsidR="00BB3048" w:rsidRDefault="00BB3048" w:rsidP="0BF7F3FC">
      <w:pPr>
        <w:jc w:val="center"/>
        <w:rPr>
          <w:rFonts w:ascii="Times New Roman" w:hAnsi="Times New Roman" w:cs="Times New Roman"/>
          <w:b/>
          <w:bCs/>
          <w:sz w:val="24"/>
          <w:szCs w:val="24"/>
        </w:rPr>
      </w:pPr>
      <w:r w:rsidRPr="0BF7F3FC">
        <w:rPr>
          <w:rFonts w:ascii="Times New Roman" w:hAnsi="Times New Roman" w:cs="Times New Roman"/>
          <w:b/>
          <w:bCs/>
          <w:sz w:val="24"/>
          <w:szCs w:val="24"/>
        </w:rPr>
        <w:lastRenderedPageBreak/>
        <w:t>DEFINĪCIJAS</w:t>
      </w:r>
    </w:p>
    <w:p w14:paraId="2F4A386B" w14:textId="52D1F995" w:rsidR="00BB3048" w:rsidRPr="00BB3048" w:rsidRDefault="00BB3048" w:rsidP="0BF7F3FC">
      <w:pPr>
        <w:spacing w:after="120"/>
        <w:jc w:val="center"/>
        <w:rPr>
          <w:rFonts w:ascii="Times New Roman" w:hAnsi="Times New Roman" w:cs="Times New Roman"/>
          <w:b/>
          <w:bCs/>
          <w:sz w:val="24"/>
          <w:szCs w:val="24"/>
        </w:rPr>
      </w:pPr>
      <w:r w:rsidRPr="0BF7F3FC">
        <w:rPr>
          <w:rFonts w:ascii="Times New Roman" w:hAnsi="Times New Roman" w:cs="Times New Roman"/>
          <w:b/>
          <w:bCs/>
          <w:sz w:val="24"/>
          <w:szCs w:val="24"/>
        </w:rPr>
        <w:t>Mežsaimniecība un mežizstrāde</w:t>
      </w:r>
    </w:p>
    <w:p w14:paraId="4D63340A" w14:textId="362B9E2B" w:rsidR="00BB3048" w:rsidRPr="00BB3048" w:rsidRDefault="00BB3048" w:rsidP="00BB3048">
      <w:pPr>
        <w:rPr>
          <w:rFonts w:ascii="Times New Roman" w:hAnsi="Times New Roman" w:cs="Times New Roman"/>
          <w:sz w:val="24"/>
          <w:szCs w:val="24"/>
        </w:rPr>
      </w:pPr>
      <w:r w:rsidRPr="00BB3048">
        <w:rPr>
          <w:rFonts w:ascii="Times New Roman" w:hAnsi="Times New Roman" w:cs="Times New Roman"/>
          <w:sz w:val="24"/>
          <w:szCs w:val="24"/>
        </w:rPr>
        <w:t>Ietver:</w:t>
      </w:r>
    </w:p>
    <w:p w14:paraId="71D0554C" w14:textId="6B5BB6B8" w:rsidR="00BB3048" w:rsidRPr="00BB3048" w:rsidRDefault="00BB3048" w:rsidP="006871F7">
      <w:pPr>
        <w:jc w:val="both"/>
        <w:rPr>
          <w:rFonts w:ascii="Times New Roman" w:hAnsi="Times New Roman" w:cs="Times New Roman"/>
          <w:sz w:val="24"/>
          <w:szCs w:val="24"/>
        </w:rPr>
      </w:pPr>
      <w:r w:rsidRPr="00BB3048">
        <w:rPr>
          <w:rFonts w:ascii="Times New Roman" w:hAnsi="Times New Roman" w:cs="Times New Roman"/>
          <w:sz w:val="24"/>
          <w:szCs w:val="24"/>
        </w:rPr>
        <w:t>Šajā nodaļā ietilpst apaļkoku ieguve, kā arī citu savvaļas mežsaimniecības produktu ieguve un savākšana. Turklāt kokmateriālu ieguvē, veicot mežsaimnieciskos pasākumus, tiek iegūti produkti, kam veic nelielu apstrādi, piemēram, malka, kokogles un apaļkoki, ko izmanto neapstrādātus (šahtu balsti, papīrmalka u.c.). Šīs darbības var veikt dabiskajos vai stādītajos mežos.</w:t>
      </w:r>
    </w:p>
    <w:p w14:paraId="60653380" w14:textId="46C7A4A8" w:rsidR="00BB3048" w:rsidRPr="00BB3048" w:rsidRDefault="00BB3048" w:rsidP="00BB3048">
      <w:pPr>
        <w:rPr>
          <w:rFonts w:ascii="Times New Roman" w:hAnsi="Times New Roman" w:cs="Times New Roman"/>
          <w:sz w:val="24"/>
          <w:szCs w:val="24"/>
        </w:rPr>
      </w:pPr>
      <w:r w:rsidRPr="00BB3048">
        <w:rPr>
          <w:rFonts w:ascii="Times New Roman" w:hAnsi="Times New Roman" w:cs="Times New Roman"/>
          <w:sz w:val="24"/>
          <w:szCs w:val="24"/>
        </w:rPr>
        <w:t>Neietver</w:t>
      </w:r>
    </w:p>
    <w:p w14:paraId="2575AF1C" w14:textId="72AA2CAB" w:rsidR="00BB3048" w:rsidRPr="00BB3048" w:rsidRDefault="00BB3048" w:rsidP="006871F7">
      <w:pPr>
        <w:jc w:val="both"/>
        <w:rPr>
          <w:rFonts w:ascii="Times New Roman" w:hAnsi="Times New Roman" w:cs="Times New Roman"/>
          <w:sz w:val="24"/>
          <w:szCs w:val="24"/>
        </w:rPr>
      </w:pPr>
      <w:r w:rsidRPr="00BB3048">
        <w:rPr>
          <w:rFonts w:ascii="Times New Roman" w:hAnsi="Times New Roman" w:cs="Times New Roman"/>
          <w:sz w:val="24"/>
          <w:szCs w:val="24"/>
        </w:rPr>
        <w:t>Šī nodaļa neattiecas uz turpmāku kokapstrādi, sākot ar kokmateriālu zāģēšanu un ēvelēšanu, sk. 16.nodaļu.</w:t>
      </w:r>
    </w:p>
    <w:p w14:paraId="290E4177" w14:textId="77777777" w:rsidR="00BB3048" w:rsidRPr="00BB3048" w:rsidRDefault="00BB3048" w:rsidP="0BF7F3FC">
      <w:pPr>
        <w:spacing w:after="120"/>
        <w:jc w:val="center"/>
        <w:rPr>
          <w:rFonts w:ascii="Times New Roman" w:hAnsi="Times New Roman" w:cs="Times New Roman"/>
          <w:b/>
          <w:bCs/>
          <w:sz w:val="24"/>
          <w:szCs w:val="24"/>
        </w:rPr>
      </w:pPr>
      <w:r w:rsidRPr="0BF7F3FC">
        <w:rPr>
          <w:rFonts w:ascii="Times New Roman" w:hAnsi="Times New Roman" w:cs="Times New Roman"/>
          <w:b/>
          <w:bCs/>
          <w:sz w:val="24"/>
          <w:szCs w:val="24"/>
        </w:rPr>
        <w:t>02.1 Mežkopība un citas mežsaimniecības darbības</w:t>
      </w:r>
    </w:p>
    <w:p w14:paraId="4399A901" w14:textId="77777777" w:rsidR="00BB3048" w:rsidRPr="00BB3048" w:rsidRDefault="00BB3048" w:rsidP="00BB3048">
      <w:pPr>
        <w:rPr>
          <w:rFonts w:ascii="Times New Roman" w:hAnsi="Times New Roman" w:cs="Times New Roman"/>
          <w:sz w:val="24"/>
          <w:szCs w:val="24"/>
        </w:rPr>
      </w:pPr>
      <w:r w:rsidRPr="00BB3048">
        <w:rPr>
          <w:rFonts w:ascii="Times New Roman" w:hAnsi="Times New Roman" w:cs="Times New Roman"/>
          <w:sz w:val="24"/>
          <w:szCs w:val="24"/>
        </w:rPr>
        <w:t>Ietver</w:t>
      </w:r>
    </w:p>
    <w:p w14:paraId="7AE77A29" w14:textId="77777777" w:rsidR="00BB3048" w:rsidRPr="00BB3048" w:rsidRDefault="00BB3048" w:rsidP="006871F7">
      <w:pPr>
        <w:jc w:val="both"/>
        <w:rPr>
          <w:rFonts w:ascii="Times New Roman" w:hAnsi="Times New Roman" w:cs="Times New Roman"/>
          <w:sz w:val="24"/>
          <w:szCs w:val="24"/>
        </w:rPr>
      </w:pPr>
      <w:r w:rsidRPr="00BB3048">
        <w:rPr>
          <w:rFonts w:ascii="Times New Roman" w:hAnsi="Times New Roman" w:cs="Times New Roman"/>
          <w:sz w:val="24"/>
          <w:szCs w:val="24"/>
        </w:rPr>
        <w:t>Šajā klasē ietilpst: – būvkoku meža audzēšana: mežu un koku rindu stādīšana, pārstādīšana, retināšana un saglabāšana; – jaunaudzes audzēšana, papīrmalkas un malkas ieguve; – meža koku audzētavu darbība. Šīs darbības var veikt dabiskajos vai stādītajos mežos.</w:t>
      </w:r>
    </w:p>
    <w:p w14:paraId="329BD41B" w14:textId="77777777" w:rsidR="00BB3048" w:rsidRPr="00BB3048" w:rsidRDefault="00BB3048" w:rsidP="00BB3048">
      <w:pPr>
        <w:rPr>
          <w:rFonts w:ascii="Times New Roman" w:hAnsi="Times New Roman" w:cs="Times New Roman"/>
          <w:sz w:val="24"/>
          <w:szCs w:val="24"/>
        </w:rPr>
      </w:pPr>
      <w:r w:rsidRPr="00BB3048">
        <w:rPr>
          <w:rFonts w:ascii="Times New Roman" w:hAnsi="Times New Roman" w:cs="Times New Roman"/>
          <w:sz w:val="24"/>
          <w:szCs w:val="24"/>
        </w:rPr>
        <w:t>Neietver</w:t>
      </w:r>
    </w:p>
    <w:p w14:paraId="1F0A5FCA" w14:textId="1D46724E" w:rsidR="00BB3048" w:rsidRPr="00BB3048" w:rsidRDefault="00BB3048" w:rsidP="006871F7">
      <w:pPr>
        <w:jc w:val="both"/>
        <w:rPr>
          <w:rFonts w:ascii="Times New Roman" w:hAnsi="Times New Roman" w:cs="Times New Roman"/>
          <w:sz w:val="24"/>
          <w:szCs w:val="24"/>
        </w:rPr>
      </w:pPr>
      <w:r w:rsidRPr="0BF7F3FC">
        <w:rPr>
          <w:rFonts w:ascii="Times New Roman" w:hAnsi="Times New Roman" w:cs="Times New Roman"/>
          <w:sz w:val="24"/>
          <w:szCs w:val="24"/>
        </w:rPr>
        <w:t xml:space="preserve">Šajā klasē neietilpst: – Ziemassvētku eglīšu audzēšana, sk. klasi 01.29; – kokaudzētavu darbība, izņemot meža kokus, sk. klasi 01.30; – sēņu un citu savvaļas mežsaimniecības produktu vākšana, sk. klasi 02.30; – šķeldas un </w:t>
      </w:r>
      <w:proofErr w:type="spellStart"/>
      <w:r w:rsidRPr="0BF7F3FC">
        <w:rPr>
          <w:rFonts w:ascii="Times New Roman" w:hAnsi="Times New Roman" w:cs="Times New Roman"/>
          <w:sz w:val="24"/>
          <w:szCs w:val="24"/>
        </w:rPr>
        <w:t>kokskaidu</w:t>
      </w:r>
      <w:proofErr w:type="spellEnd"/>
      <w:r w:rsidRPr="0BF7F3FC">
        <w:rPr>
          <w:rFonts w:ascii="Times New Roman" w:hAnsi="Times New Roman" w:cs="Times New Roman"/>
          <w:sz w:val="24"/>
          <w:szCs w:val="24"/>
        </w:rPr>
        <w:t xml:space="preserve"> ražošana, sk. klasi 16.10.</w:t>
      </w:r>
    </w:p>
    <w:p w14:paraId="30F2D50A" w14:textId="099BD4B8" w:rsidR="0BF7F3FC" w:rsidRDefault="0BF7F3FC" w:rsidP="0BF7F3FC">
      <w:pPr>
        <w:spacing w:after="0"/>
        <w:jc w:val="center"/>
        <w:rPr>
          <w:rFonts w:ascii="Times New Roman" w:hAnsi="Times New Roman" w:cs="Times New Roman"/>
          <w:b/>
          <w:bCs/>
          <w:sz w:val="24"/>
          <w:szCs w:val="24"/>
        </w:rPr>
      </w:pPr>
    </w:p>
    <w:p w14:paraId="66667400" w14:textId="77777777" w:rsidR="00BB3048" w:rsidRPr="00BB3048" w:rsidRDefault="00BB3048" w:rsidP="0BF7F3FC">
      <w:pPr>
        <w:spacing w:after="120"/>
        <w:jc w:val="center"/>
        <w:rPr>
          <w:rFonts w:ascii="Times New Roman" w:hAnsi="Times New Roman" w:cs="Times New Roman"/>
          <w:b/>
          <w:bCs/>
          <w:sz w:val="24"/>
          <w:szCs w:val="24"/>
        </w:rPr>
      </w:pPr>
      <w:r w:rsidRPr="0BF7F3FC">
        <w:rPr>
          <w:rFonts w:ascii="Times New Roman" w:hAnsi="Times New Roman" w:cs="Times New Roman"/>
          <w:b/>
          <w:bCs/>
          <w:sz w:val="24"/>
          <w:szCs w:val="24"/>
        </w:rPr>
        <w:t>02.2 Mežizstrāde</w:t>
      </w:r>
    </w:p>
    <w:p w14:paraId="701CB081" w14:textId="77777777" w:rsidR="00BB3048" w:rsidRPr="00BB3048" w:rsidRDefault="00BB3048" w:rsidP="00BB3048">
      <w:pPr>
        <w:rPr>
          <w:rFonts w:ascii="Times New Roman" w:hAnsi="Times New Roman" w:cs="Times New Roman"/>
          <w:sz w:val="24"/>
          <w:szCs w:val="24"/>
        </w:rPr>
      </w:pPr>
      <w:r w:rsidRPr="00BB3048">
        <w:rPr>
          <w:rFonts w:ascii="Times New Roman" w:hAnsi="Times New Roman" w:cs="Times New Roman"/>
          <w:sz w:val="24"/>
          <w:szCs w:val="24"/>
        </w:rPr>
        <w:t>Ietver</w:t>
      </w:r>
    </w:p>
    <w:p w14:paraId="44222EAF" w14:textId="071D5BF9" w:rsidR="00BB3048" w:rsidRPr="00BB3048" w:rsidRDefault="00BB3048" w:rsidP="006871F7">
      <w:pPr>
        <w:jc w:val="both"/>
        <w:rPr>
          <w:rFonts w:ascii="Times New Roman" w:hAnsi="Times New Roman" w:cs="Times New Roman"/>
          <w:sz w:val="24"/>
          <w:szCs w:val="24"/>
        </w:rPr>
      </w:pPr>
      <w:r w:rsidRPr="00BB3048">
        <w:rPr>
          <w:rFonts w:ascii="Times New Roman" w:hAnsi="Times New Roman" w:cs="Times New Roman"/>
          <w:sz w:val="24"/>
          <w:szCs w:val="24"/>
        </w:rPr>
        <w:t xml:space="preserve">Šajā klasē ietilpst: – apaļkoku ražošana koksnes apstrādes un pārstrādes rūpniecībai; </w:t>
      </w:r>
      <w:r w:rsidR="006871F7">
        <w:rPr>
          <w:rFonts w:ascii="Times New Roman" w:hAnsi="Times New Roman" w:cs="Times New Roman"/>
          <w:sz w:val="24"/>
          <w:szCs w:val="24"/>
        </w:rPr>
        <w:br/>
      </w:r>
      <w:r w:rsidRPr="00BB3048">
        <w:rPr>
          <w:rFonts w:ascii="Times New Roman" w:hAnsi="Times New Roman" w:cs="Times New Roman"/>
          <w:sz w:val="24"/>
          <w:szCs w:val="24"/>
        </w:rPr>
        <w:t>– apaļkoku ražošana, kurus izmanto neapstrādātus, piemēram, šahtu balsti, žogu stabi un atbalsta stabi; – koksnes vākšana un ražošana enerģijas ieguvei; – koksnes atlieku vākšana un ražošana enerģijas ieguvei; – kokogļu ieguve mežā (izmantojot tradicionālās metodes). Šajā darbībā iegūtais izstrādājums var būt koku stumbri, šķeldas un malka.</w:t>
      </w:r>
    </w:p>
    <w:p w14:paraId="5006EF09" w14:textId="77777777" w:rsidR="00BB3048" w:rsidRPr="00BB3048" w:rsidRDefault="00BB3048" w:rsidP="00BB3048">
      <w:pPr>
        <w:rPr>
          <w:rFonts w:ascii="Times New Roman" w:hAnsi="Times New Roman" w:cs="Times New Roman"/>
          <w:sz w:val="24"/>
          <w:szCs w:val="24"/>
        </w:rPr>
      </w:pPr>
      <w:r w:rsidRPr="00BB3048">
        <w:rPr>
          <w:rFonts w:ascii="Times New Roman" w:hAnsi="Times New Roman" w:cs="Times New Roman"/>
          <w:sz w:val="24"/>
          <w:szCs w:val="24"/>
        </w:rPr>
        <w:t>Neietver</w:t>
      </w:r>
    </w:p>
    <w:p w14:paraId="6EEC7841" w14:textId="6E65BCBF" w:rsidR="00BB3048" w:rsidRDefault="00BB3048" w:rsidP="006871F7">
      <w:pPr>
        <w:jc w:val="both"/>
        <w:rPr>
          <w:rFonts w:ascii="Times New Roman" w:hAnsi="Times New Roman" w:cs="Times New Roman"/>
          <w:sz w:val="24"/>
          <w:szCs w:val="24"/>
        </w:rPr>
      </w:pPr>
      <w:r w:rsidRPr="0BF7F3FC">
        <w:rPr>
          <w:rFonts w:ascii="Times New Roman" w:hAnsi="Times New Roman" w:cs="Times New Roman"/>
          <w:sz w:val="24"/>
          <w:szCs w:val="24"/>
        </w:rPr>
        <w:t xml:space="preserve">Šajā klasē neietilpst: – Ziemassvētku eglīšu audzēšana, sk. klasi 01.29; – būvkoku meža audzēšana: mežu un koku rindu stādīšana, pārstādīšana, retināšana un saglabāšana, sk. klasi 02.10; – citu savvaļas mežsaimniecības produktu vākšana, sk. klasi 02.30; – šķeldas un </w:t>
      </w:r>
      <w:proofErr w:type="spellStart"/>
      <w:r w:rsidRPr="0BF7F3FC">
        <w:rPr>
          <w:rFonts w:ascii="Times New Roman" w:hAnsi="Times New Roman" w:cs="Times New Roman"/>
          <w:sz w:val="24"/>
          <w:szCs w:val="24"/>
        </w:rPr>
        <w:t>kokskaidu</w:t>
      </w:r>
      <w:proofErr w:type="spellEnd"/>
      <w:r w:rsidRPr="0BF7F3FC">
        <w:rPr>
          <w:rFonts w:ascii="Times New Roman" w:hAnsi="Times New Roman" w:cs="Times New Roman"/>
          <w:sz w:val="24"/>
          <w:szCs w:val="24"/>
        </w:rPr>
        <w:t xml:space="preserve"> ražošana, sk. klasi 16.10; – kokogļu ražošana, veicot koksnes pārtvaici, sk. klasi 20.14.</w:t>
      </w:r>
    </w:p>
    <w:p w14:paraId="1A63528D" w14:textId="77777777" w:rsidR="006C14EF" w:rsidRPr="00BB3048" w:rsidRDefault="006C14EF" w:rsidP="0BF7F3FC">
      <w:pPr>
        <w:spacing w:after="0"/>
        <w:jc w:val="both"/>
        <w:rPr>
          <w:rFonts w:ascii="Times New Roman" w:hAnsi="Times New Roman" w:cs="Times New Roman"/>
          <w:sz w:val="24"/>
          <w:szCs w:val="24"/>
        </w:rPr>
      </w:pPr>
    </w:p>
    <w:p w14:paraId="03804A20" w14:textId="77777777" w:rsidR="00BB3048" w:rsidRPr="00BB3048" w:rsidRDefault="00BB3048" w:rsidP="0BF7F3FC">
      <w:pPr>
        <w:spacing w:after="120"/>
        <w:jc w:val="center"/>
        <w:rPr>
          <w:rFonts w:ascii="Times New Roman" w:hAnsi="Times New Roman" w:cs="Times New Roman"/>
          <w:b/>
          <w:bCs/>
          <w:sz w:val="24"/>
          <w:szCs w:val="24"/>
        </w:rPr>
      </w:pPr>
      <w:r w:rsidRPr="0BF7F3FC">
        <w:rPr>
          <w:rFonts w:ascii="Times New Roman" w:hAnsi="Times New Roman" w:cs="Times New Roman"/>
          <w:b/>
          <w:bCs/>
          <w:sz w:val="24"/>
          <w:szCs w:val="24"/>
        </w:rPr>
        <w:t>02.3 Meža produktu vākšana</w:t>
      </w:r>
    </w:p>
    <w:p w14:paraId="37E9855D" w14:textId="77777777" w:rsidR="00BB3048" w:rsidRPr="00BB3048" w:rsidRDefault="00BB3048" w:rsidP="00BB3048">
      <w:pPr>
        <w:rPr>
          <w:rFonts w:ascii="Times New Roman" w:hAnsi="Times New Roman" w:cs="Times New Roman"/>
          <w:sz w:val="24"/>
          <w:szCs w:val="24"/>
        </w:rPr>
      </w:pPr>
      <w:r w:rsidRPr="00BB3048">
        <w:rPr>
          <w:rFonts w:ascii="Times New Roman" w:hAnsi="Times New Roman" w:cs="Times New Roman"/>
          <w:sz w:val="24"/>
          <w:szCs w:val="24"/>
        </w:rPr>
        <w:t>Ietver</w:t>
      </w:r>
    </w:p>
    <w:p w14:paraId="729CE7B2" w14:textId="77777777" w:rsidR="00BB3048" w:rsidRPr="00BB3048" w:rsidRDefault="00BB3048" w:rsidP="006871F7">
      <w:pPr>
        <w:jc w:val="both"/>
        <w:rPr>
          <w:rFonts w:ascii="Times New Roman" w:hAnsi="Times New Roman" w:cs="Times New Roman"/>
          <w:sz w:val="24"/>
          <w:szCs w:val="24"/>
        </w:rPr>
      </w:pPr>
      <w:r w:rsidRPr="00BB3048">
        <w:rPr>
          <w:rFonts w:ascii="Times New Roman" w:hAnsi="Times New Roman" w:cs="Times New Roman"/>
          <w:sz w:val="24"/>
          <w:szCs w:val="24"/>
        </w:rPr>
        <w:lastRenderedPageBreak/>
        <w:t xml:space="preserve">Šajā klasē ietilpst: – savvaļas produktu vākšana: • sēnes, trifeles; • ogas; • rieksti; • </w:t>
      </w:r>
      <w:proofErr w:type="spellStart"/>
      <w:r w:rsidRPr="00BB3048">
        <w:rPr>
          <w:rFonts w:ascii="Times New Roman" w:hAnsi="Times New Roman" w:cs="Times New Roman"/>
          <w:sz w:val="24"/>
          <w:szCs w:val="24"/>
        </w:rPr>
        <w:t>balata</w:t>
      </w:r>
      <w:proofErr w:type="spellEnd"/>
      <w:r w:rsidRPr="00BB3048">
        <w:rPr>
          <w:rFonts w:ascii="Times New Roman" w:hAnsi="Times New Roman" w:cs="Times New Roman"/>
          <w:sz w:val="24"/>
          <w:szCs w:val="24"/>
        </w:rPr>
        <w:t xml:space="preserve"> un citi sveķi kaučuka veidā; • </w:t>
      </w:r>
      <w:proofErr w:type="spellStart"/>
      <w:r w:rsidRPr="00BB3048">
        <w:rPr>
          <w:rFonts w:ascii="Times New Roman" w:hAnsi="Times New Roman" w:cs="Times New Roman"/>
          <w:sz w:val="24"/>
          <w:szCs w:val="24"/>
        </w:rPr>
        <w:t>lūksne</w:t>
      </w:r>
      <w:proofErr w:type="spellEnd"/>
      <w:r w:rsidRPr="00BB3048">
        <w:rPr>
          <w:rFonts w:ascii="Times New Roman" w:hAnsi="Times New Roman" w:cs="Times New Roman"/>
          <w:sz w:val="24"/>
          <w:szCs w:val="24"/>
        </w:rPr>
        <w:t xml:space="preserve">; • šellaka un sveķi; • balzāmi; • augu šķiedras; • ozolzīles, </w:t>
      </w:r>
      <w:proofErr w:type="spellStart"/>
      <w:r w:rsidRPr="00BB3048">
        <w:rPr>
          <w:rFonts w:ascii="Times New Roman" w:hAnsi="Times New Roman" w:cs="Times New Roman"/>
          <w:sz w:val="24"/>
          <w:szCs w:val="24"/>
        </w:rPr>
        <w:t>zirgkastaņi</w:t>
      </w:r>
      <w:proofErr w:type="spellEnd"/>
      <w:r w:rsidRPr="00BB3048">
        <w:rPr>
          <w:rFonts w:ascii="Times New Roman" w:hAnsi="Times New Roman" w:cs="Times New Roman"/>
          <w:sz w:val="24"/>
          <w:szCs w:val="24"/>
        </w:rPr>
        <w:t>; • sūnas un ķērpji.</w:t>
      </w:r>
    </w:p>
    <w:p w14:paraId="07AB3F1C" w14:textId="77777777" w:rsidR="00BB3048" w:rsidRPr="00BB3048" w:rsidRDefault="00BB3048" w:rsidP="00BB3048">
      <w:pPr>
        <w:rPr>
          <w:rFonts w:ascii="Times New Roman" w:hAnsi="Times New Roman" w:cs="Times New Roman"/>
          <w:sz w:val="24"/>
          <w:szCs w:val="24"/>
        </w:rPr>
      </w:pPr>
      <w:r w:rsidRPr="00BB3048">
        <w:rPr>
          <w:rFonts w:ascii="Times New Roman" w:hAnsi="Times New Roman" w:cs="Times New Roman"/>
          <w:sz w:val="24"/>
          <w:szCs w:val="24"/>
        </w:rPr>
        <w:t>Neietver</w:t>
      </w:r>
    </w:p>
    <w:p w14:paraId="7DD2484A" w14:textId="08718FED" w:rsidR="00BB3048" w:rsidRPr="00BB3048" w:rsidRDefault="00BB3048" w:rsidP="006871F7">
      <w:pPr>
        <w:jc w:val="both"/>
        <w:rPr>
          <w:rFonts w:ascii="Times New Roman" w:hAnsi="Times New Roman" w:cs="Times New Roman"/>
          <w:sz w:val="24"/>
          <w:szCs w:val="24"/>
        </w:rPr>
      </w:pPr>
      <w:r w:rsidRPr="0BF7F3FC">
        <w:rPr>
          <w:rFonts w:ascii="Times New Roman" w:hAnsi="Times New Roman" w:cs="Times New Roman"/>
          <w:sz w:val="24"/>
          <w:szCs w:val="24"/>
        </w:rPr>
        <w:t xml:space="preserve">Šajā klasē neietilpst: – jebkura šo produktu saimnieciska audzēšana (izņemot korķozolu audzēšanu), sk. 01.nodaļu; – sēņu vai trifeļu audzēšana, sk. klasi 01.13; – ogu vai riekstu audzēšana, sk. klasi 01.25; – malkas vākšana, sk. klasi 02.20; – </w:t>
      </w:r>
      <w:proofErr w:type="spellStart"/>
      <w:r w:rsidRPr="0BF7F3FC">
        <w:rPr>
          <w:rFonts w:ascii="Times New Roman" w:hAnsi="Times New Roman" w:cs="Times New Roman"/>
          <w:sz w:val="24"/>
          <w:szCs w:val="24"/>
        </w:rPr>
        <w:t>kokskaidu</w:t>
      </w:r>
      <w:proofErr w:type="spellEnd"/>
      <w:r w:rsidRPr="0BF7F3FC">
        <w:rPr>
          <w:rFonts w:ascii="Times New Roman" w:hAnsi="Times New Roman" w:cs="Times New Roman"/>
          <w:sz w:val="24"/>
          <w:szCs w:val="24"/>
        </w:rPr>
        <w:t xml:space="preserve"> ražošana, sk. klasi 16.10.</w:t>
      </w:r>
    </w:p>
    <w:p w14:paraId="6A72AEB7" w14:textId="259E7097" w:rsidR="0BF7F3FC" w:rsidRDefault="0BF7F3FC" w:rsidP="0BF7F3FC">
      <w:pPr>
        <w:jc w:val="center"/>
        <w:rPr>
          <w:rFonts w:ascii="Times New Roman" w:hAnsi="Times New Roman" w:cs="Times New Roman"/>
          <w:b/>
          <w:bCs/>
          <w:sz w:val="24"/>
          <w:szCs w:val="24"/>
        </w:rPr>
      </w:pPr>
    </w:p>
    <w:p w14:paraId="63B1D755" w14:textId="77777777" w:rsidR="00BB3048" w:rsidRPr="00BB3048" w:rsidRDefault="00BB3048" w:rsidP="00BB3048">
      <w:pPr>
        <w:jc w:val="center"/>
        <w:rPr>
          <w:rFonts w:ascii="Times New Roman" w:hAnsi="Times New Roman" w:cs="Times New Roman"/>
          <w:b/>
          <w:bCs/>
          <w:sz w:val="24"/>
          <w:szCs w:val="24"/>
        </w:rPr>
      </w:pPr>
      <w:r w:rsidRPr="00BB3048">
        <w:rPr>
          <w:rFonts w:ascii="Times New Roman" w:hAnsi="Times New Roman" w:cs="Times New Roman"/>
          <w:b/>
          <w:bCs/>
          <w:sz w:val="24"/>
          <w:szCs w:val="24"/>
        </w:rPr>
        <w:t>02.4 Mežsaimniecības palīgdarbības</w:t>
      </w:r>
    </w:p>
    <w:p w14:paraId="3D39B8D1" w14:textId="77777777" w:rsidR="00BB3048" w:rsidRPr="00BB3048" w:rsidRDefault="00BB3048" w:rsidP="00BB3048">
      <w:pPr>
        <w:rPr>
          <w:rFonts w:ascii="Times New Roman" w:hAnsi="Times New Roman" w:cs="Times New Roman"/>
          <w:sz w:val="24"/>
          <w:szCs w:val="24"/>
        </w:rPr>
      </w:pPr>
      <w:r w:rsidRPr="00BB3048">
        <w:rPr>
          <w:rFonts w:ascii="Times New Roman" w:hAnsi="Times New Roman" w:cs="Times New Roman"/>
          <w:sz w:val="24"/>
          <w:szCs w:val="24"/>
        </w:rPr>
        <w:t>Ietver</w:t>
      </w:r>
    </w:p>
    <w:p w14:paraId="7CB64AEB" w14:textId="77777777" w:rsidR="00BB3048" w:rsidRPr="00BB3048" w:rsidRDefault="00BB3048" w:rsidP="006871F7">
      <w:pPr>
        <w:jc w:val="both"/>
        <w:rPr>
          <w:rFonts w:ascii="Times New Roman" w:hAnsi="Times New Roman" w:cs="Times New Roman"/>
          <w:sz w:val="24"/>
          <w:szCs w:val="24"/>
        </w:rPr>
      </w:pPr>
      <w:r w:rsidRPr="00BB3048">
        <w:rPr>
          <w:rFonts w:ascii="Times New Roman" w:hAnsi="Times New Roman" w:cs="Times New Roman"/>
          <w:sz w:val="24"/>
          <w:szCs w:val="24"/>
        </w:rPr>
        <w:t>Šajā klasē ietilpst mežistrādes darbu daļas veikšana par atlīdzību vai uz līguma pamata. Šajā klasē ietilpst: – mežsaimniecības pakalpojumu sniegšana: • mežsaimniecības inventarizācija; • mežu apsaimniekošanas konsultatīvie pakalpojumi; • koksnes novērtēšana; • mežu ugunsgrēku dzēšana un mežu aizsardzība; • mežu kaitēkļu apkarošana; – mežistrādes pakalpojumu sniegšana: • apaļkoku pārvadāšana mežā.</w:t>
      </w:r>
    </w:p>
    <w:p w14:paraId="5A2587A1" w14:textId="77777777" w:rsidR="00BB3048" w:rsidRPr="00BB3048" w:rsidRDefault="00BB3048" w:rsidP="00BB3048">
      <w:pPr>
        <w:rPr>
          <w:rFonts w:ascii="Times New Roman" w:hAnsi="Times New Roman" w:cs="Times New Roman"/>
          <w:sz w:val="24"/>
          <w:szCs w:val="24"/>
        </w:rPr>
      </w:pPr>
      <w:r w:rsidRPr="00BB3048">
        <w:rPr>
          <w:rFonts w:ascii="Times New Roman" w:hAnsi="Times New Roman" w:cs="Times New Roman"/>
          <w:sz w:val="24"/>
          <w:szCs w:val="24"/>
        </w:rPr>
        <w:t>Neietver</w:t>
      </w:r>
    </w:p>
    <w:p w14:paraId="68338F9B" w14:textId="78651D64" w:rsidR="00BB3048" w:rsidRPr="00BB3048" w:rsidRDefault="00BB3048" w:rsidP="006871F7">
      <w:pPr>
        <w:jc w:val="both"/>
        <w:rPr>
          <w:rFonts w:ascii="Times New Roman" w:hAnsi="Times New Roman" w:cs="Times New Roman"/>
          <w:sz w:val="24"/>
          <w:szCs w:val="24"/>
        </w:rPr>
      </w:pPr>
      <w:r w:rsidRPr="00BB3048">
        <w:rPr>
          <w:rFonts w:ascii="Times New Roman" w:hAnsi="Times New Roman" w:cs="Times New Roman"/>
          <w:sz w:val="24"/>
          <w:szCs w:val="24"/>
        </w:rPr>
        <w:t xml:space="preserve">Šajā klasē neietilpst: – meža koku audzētavu darbība, sk. klasi 02.10; – mežsaimniecības zemes nosusināšana, </w:t>
      </w:r>
      <w:proofErr w:type="spellStart"/>
      <w:r w:rsidRPr="00BB3048">
        <w:rPr>
          <w:rFonts w:ascii="Times New Roman" w:hAnsi="Times New Roman" w:cs="Times New Roman"/>
          <w:sz w:val="24"/>
          <w:szCs w:val="24"/>
        </w:rPr>
        <w:t>sk.klasi</w:t>
      </w:r>
      <w:proofErr w:type="spellEnd"/>
      <w:r w:rsidRPr="00BB3048">
        <w:rPr>
          <w:rFonts w:ascii="Times New Roman" w:hAnsi="Times New Roman" w:cs="Times New Roman"/>
          <w:sz w:val="24"/>
          <w:szCs w:val="24"/>
        </w:rPr>
        <w:t xml:space="preserve"> 43.12; – būvlaukumu attīrīšana, sk. klasi 43.12.</w:t>
      </w:r>
    </w:p>
    <w:sectPr w:rsidR="00BB3048" w:rsidRPr="00BB3048" w:rsidSect="002E669F">
      <w:headerReference w:type="default" r:id="rId9"/>
      <w:footerReference w:type="default" r:id="rId10"/>
      <w:headerReference w:type="first" r:id="rId11"/>
      <w:footerReference w:type="first" r:id="rId12"/>
      <w:pgSz w:w="11906" w:h="16838" w:code="9"/>
      <w:pgMar w:top="1080" w:right="1106" w:bottom="638" w:left="179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E5D23" w14:textId="77777777" w:rsidR="000D0770" w:rsidRDefault="000D0770">
      <w:pPr>
        <w:spacing w:after="0" w:line="240" w:lineRule="auto"/>
      </w:pPr>
      <w:r>
        <w:separator/>
      </w:r>
    </w:p>
  </w:endnote>
  <w:endnote w:type="continuationSeparator" w:id="0">
    <w:p w14:paraId="1D15BCA6" w14:textId="77777777" w:rsidR="000D0770" w:rsidRDefault="000D0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3"/>
      <w:tblW w:w="0" w:type="auto"/>
      <w:tblLook w:val="06A0" w:firstRow="1" w:lastRow="0" w:firstColumn="1" w:lastColumn="0" w:noHBand="1" w:noVBand="1"/>
    </w:tblPr>
    <w:tblGrid>
      <w:gridCol w:w="2770"/>
      <w:gridCol w:w="2770"/>
      <w:gridCol w:w="2770"/>
    </w:tblGrid>
    <w:tr w:rsidR="0BF7F3FC" w14:paraId="32D0F9E0" w14:textId="77777777" w:rsidTr="0BF7F3F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770" w:type="dxa"/>
        </w:tcPr>
        <w:p w14:paraId="51C6A27E" w14:textId="624F0387" w:rsidR="0BF7F3FC" w:rsidRDefault="0BF7F3FC" w:rsidP="0BF7F3FC">
          <w:pPr>
            <w:pStyle w:val="Header"/>
            <w:ind w:left="-115"/>
          </w:pPr>
        </w:p>
      </w:tc>
      <w:tc>
        <w:tcPr>
          <w:tcW w:w="2770" w:type="dxa"/>
        </w:tcPr>
        <w:p w14:paraId="4A755D4F" w14:textId="1AA3B4D3" w:rsidR="0BF7F3FC" w:rsidRDefault="0BF7F3FC" w:rsidP="0BF7F3FC">
          <w:pPr>
            <w:pStyle w:val="Header"/>
            <w:jc w:val="center"/>
            <w:cnfStyle w:val="100000000000" w:firstRow="1" w:lastRow="0" w:firstColumn="0" w:lastColumn="0" w:oddVBand="0" w:evenVBand="0" w:oddHBand="0" w:evenHBand="0" w:firstRowFirstColumn="0" w:firstRowLastColumn="0" w:lastRowFirstColumn="0" w:lastRowLastColumn="0"/>
          </w:pPr>
        </w:p>
      </w:tc>
      <w:tc>
        <w:tcPr>
          <w:tcW w:w="2770" w:type="dxa"/>
        </w:tcPr>
        <w:p w14:paraId="7BE55B5A" w14:textId="77292FE7" w:rsidR="0BF7F3FC" w:rsidRDefault="0BF7F3FC" w:rsidP="0BF7F3FC">
          <w:pPr>
            <w:pStyle w:val="Header"/>
            <w:ind w:right="-115"/>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BF7F3FC">
            <w:rPr>
              <w:rFonts w:ascii="Times New Roman" w:eastAsia="Times New Roman" w:hAnsi="Times New Roman" w:cs="Times New Roman"/>
              <w:sz w:val="20"/>
              <w:szCs w:val="20"/>
            </w:rPr>
            <w:fldChar w:fldCharType="begin"/>
          </w:r>
          <w:r>
            <w:instrText>PAGE</w:instrText>
          </w:r>
          <w:r w:rsidRPr="0BF7F3FC">
            <w:fldChar w:fldCharType="separate"/>
          </w:r>
          <w:r w:rsidR="000D0770">
            <w:rPr>
              <w:noProof/>
            </w:rPr>
            <w:t>2</w:t>
          </w:r>
          <w:r w:rsidRPr="0BF7F3FC">
            <w:rPr>
              <w:rFonts w:ascii="Times New Roman" w:eastAsia="Times New Roman" w:hAnsi="Times New Roman" w:cs="Times New Roman"/>
              <w:sz w:val="20"/>
              <w:szCs w:val="20"/>
            </w:rPr>
            <w:fldChar w:fldCharType="end"/>
          </w:r>
        </w:p>
      </w:tc>
    </w:tr>
  </w:tbl>
  <w:p w14:paraId="1F4B340C" w14:textId="1323B354" w:rsidR="0BF7F3FC" w:rsidRDefault="0BF7F3FC" w:rsidP="0BF7F3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70"/>
      <w:gridCol w:w="2770"/>
      <w:gridCol w:w="2770"/>
    </w:tblGrid>
    <w:tr w:rsidR="0BF7F3FC" w14:paraId="5613F0C0" w14:textId="77777777" w:rsidTr="0BF7F3FC">
      <w:trPr>
        <w:trHeight w:val="300"/>
      </w:trPr>
      <w:tc>
        <w:tcPr>
          <w:tcW w:w="2770" w:type="dxa"/>
        </w:tcPr>
        <w:p w14:paraId="5F27E202" w14:textId="5ED8164C" w:rsidR="0BF7F3FC" w:rsidRDefault="0BF7F3FC" w:rsidP="0BF7F3FC">
          <w:pPr>
            <w:pStyle w:val="Header"/>
            <w:ind w:left="-115"/>
          </w:pPr>
        </w:p>
      </w:tc>
      <w:tc>
        <w:tcPr>
          <w:tcW w:w="2770" w:type="dxa"/>
        </w:tcPr>
        <w:p w14:paraId="1DD50365" w14:textId="67A5DE66" w:rsidR="0BF7F3FC" w:rsidRDefault="0BF7F3FC" w:rsidP="0BF7F3FC">
          <w:pPr>
            <w:pStyle w:val="Header"/>
            <w:jc w:val="center"/>
          </w:pPr>
        </w:p>
      </w:tc>
      <w:tc>
        <w:tcPr>
          <w:tcW w:w="2770" w:type="dxa"/>
        </w:tcPr>
        <w:p w14:paraId="1DDE5F7A" w14:textId="18805981" w:rsidR="0BF7F3FC" w:rsidRDefault="0BF7F3FC" w:rsidP="0BF7F3FC">
          <w:pPr>
            <w:pStyle w:val="Header"/>
            <w:ind w:right="-115"/>
            <w:jc w:val="right"/>
          </w:pPr>
        </w:p>
      </w:tc>
    </w:tr>
  </w:tbl>
  <w:p w14:paraId="71CE079F" w14:textId="6DD2EC54" w:rsidR="0BF7F3FC" w:rsidRDefault="0BF7F3FC" w:rsidP="0BF7F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7F39" w14:textId="77777777" w:rsidR="000D0770" w:rsidRDefault="000D0770">
      <w:pPr>
        <w:spacing w:after="0" w:line="240" w:lineRule="auto"/>
      </w:pPr>
      <w:r>
        <w:separator/>
      </w:r>
    </w:p>
  </w:footnote>
  <w:footnote w:type="continuationSeparator" w:id="0">
    <w:p w14:paraId="279B297D" w14:textId="77777777" w:rsidR="000D0770" w:rsidRDefault="000D0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70"/>
      <w:gridCol w:w="2770"/>
      <w:gridCol w:w="2770"/>
    </w:tblGrid>
    <w:tr w:rsidR="0BF7F3FC" w14:paraId="079959FD" w14:textId="77777777" w:rsidTr="0BF7F3FC">
      <w:trPr>
        <w:trHeight w:val="300"/>
      </w:trPr>
      <w:tc>
        <w:tcPr>
          <w:tcW w:w="2770" w:type="dxa"/>
        </w:tcPr>
        <w:p w14:paraId="0991DC6C" w14:textId="31A478C1" w:rsidR="0BF7F3FC" w:rsidRDefault="0BF7F3FC" w:rsidP="0BF7F3FC">
          <w:pPr>
            <w:pStyle w:val="Header"/>
            <w:ind w:left="-115"/>
          </w:pPr>
        </w:p>
      </w:tc>
      <w:tc>
        <w:tcPr>
          <w:tcW w:w="2770" w:type="dxa"/>
        </w:tcPr>
        <w:p w14:paraId="3FA6668D" w14:textId="4D7C4F95" w:rsidR="0BF7F3FC" w:rsidRDefault="0BF7F3FC" w:rsidP="0BF7F3FC">
          <w:pPr>
            <w:pStyle w:val="Header"/>
            <w:jc w:val="center"/>
          </w:pPr>
        </w:p>
      </w:tc>
      <w:tc>
        <w:tcPr>
          <w:tcW w:w="2770" w:type="dxa"/>
        </w:tcPr>
        <w:p w14:paraId="47B18BBD" w14:textId="715A7CB5" w:rsidR="0BF7F3FC" w:rsidRDefault="0BF7F3FC" w:rsidP="0BF7F3FC">
          <w:pPr>
            <w:pStyle w:val="Header"/>
            <w:ind w:right="-115"/>
            <w:jc w:val="right"/>
          </w:pPr>
        </w:p>
      </w:tc>
    </w:tr>
  </w:tbl>
  <w:p w14:paraId="1E019492" w14:textId="494C39A5" w:rsidR="0BF7F3FC" w:rsidRDefault="0BF7F3FC" w:rsidP="0BF7F3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70"/>
      <w:gridCol w:w="2770"/>
      <w:gridCol w:w="2918"/>
    </w:tblGrid>
    <w:tr w:rsidR="0BF7F3FC" w14:paraId="6FB2E4DF" w14:textId="77777777" w:rsidTr="0BF7F3FC">
      <w:trPr>
        <w:trHeight w:val="300"/>
      </w:trPr>
      <w:tc>
        <w:tcPr>
          <w:tcW w:w="2770" w:type="dxa"/>
        </w:tcPr>
        <w:p w14:paraId="77F8BD1F" w14:textId="54E6F167" w:rsidR="0BF7F3FC" w:rsidRDefault="0BF7F3FC" w:rsidP="0BF7F3FC">
          <w:pPr>
            <w:pStyle w:val="Header"/>
            <w:ind w:left="-115"/>
          </w:pPr>
        </w:p>
      </w:tc>
      <w:tc>
        <w:tcPr>
          <w:tcW w:w="2770" w:type="dxa"/>
        </w:tcPr>
        <w:p w14:paraId="63D6AC03" w14:textId="0EAD87C2" w:rsidR="0BF7F3FC" w:rsidRDefault="0BF7F3FC" w:rsidP="0BF7F3FC">
          <w:pPr>
            <w:pStyle w:val="Header"/>
            <w:jc w:val="center"/>
          </w:pPr>
        </w:p>
      </w:tc>
      <w:tc>
        <w:tcPr>
          <w:tcW w:w="2918" w:type="dxa"/>
        </w:tcPr>
        <w:p w14:paraId="7E93EDB5" w14:textId="7F4675D4" w:rsidR="0BF7F3FC" w:rsidRDefault="000D0770" w:rsidP="0BF7F3FC">
          <w:pPr>
            <w:pStyle w:val="Header"/>
            <w:tabs>
              <w:tab w:val="center" w:pos="4153"/>
              <w:tab w:val="right" w:pos="8306"/>
            </w:tabs>
            <w:ind w:right="-115"/>
            <w:jc w:val="right"/>
          </w:pPr>
          <w:r>
            <w:rPr>
              <w:rFonts w:ascii="Times New Roman" w:eastAsia="Times New Roman" w:hAnsi="Times New Roman" w:cs="Times New Roman"/>
              <w:color w:val="000000" w:themeColor="text1"/>
              <w:sz w:val="19"/>
              <w:szCs w:val="19"/>
            </w:rPr>
            <w:t>7</w:t>
          </w:r>
          <w:r w:rsidR="0BF7F3FC" w:rsidRPr="0BF7F3FC">
            <w:rPr>
              <w:rFonts w:ascii="Times New Roman" w:eastAsia="Times New Roman" w:hAnsi="Times New Roman" w:cs="Times New Roman"/>
              <w:color w:val="000000" w:themeColor="text1"/>
              <w:sz w:val="19"/>
              <w:szCs w:val="19"/>
            </w:rPr>
            <w:t>. pielikums Komisijas ziņojumam</w:t>
          </w:r>
        </w:p>
        <w:p w14:paraId="136A0D55" w14:textId="442BEF9F" w:rsidR="0BF7F3FC" w:rsidRDefault="0BF7F3FC" w:rsidP="0BF7F3FC">
          <w:pPr>
            <w:pStyle w:val="Header"/>
            <w:ind w:right="-540"/>
            <w:jc w:val="right"/>
          </w:pPr>
        </w:p>
      </w:tc>
    </w:tr>
  </w:tbl>
  <w:p w14:paraId="4ADA4AB7" w14:textId="040F901E" w:rsidR="0BF7F3FC" w:rsidRDefault="0BF7F3FC" w:rsidP="0BF7F3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48"/>
    <w:rsid w:val="00012334"/>
    <w:rsid w:val="0001379E"/>
    <w:rsid w:val="000C03B2"/>
    <w:rsid w:val="000D0770"/>
    <w:rsid w:val="002A5B40"/>
    <w:rsid w:val="002E669F"/>
    <w:rsid w:val="004B37DC"/>
    <w:rsid w:val="00667E19"/>
    <w:rsid w:val="006871F7"/>
    <w:rsid w:val="006B5488"/>
    <w:rsid w:val="006C14EF"/>
    <w:rsid w:val="006E7952"/>
    <w:rsid w:val="00800E06"/>
    <w:rsid w:val="00904DCB"/>
    <w:rsid w:val="00917103"/>
    <w:rsid w:val="0095072D"/>
    <w:rsid w:val="00AB4262"/>
    <w:rsid w:val="00AD691A"/>
    <w:rsid w:val="00B47389"/>
    <w:rsid w:val="00B76723"/>
    <w:rsid w:val="00BB3048"/>
    <w:rsid w:val="00D6666C"/>
    <w:rsid w:val="00DD69BB"/>
    <w:rsid w:val="00F043DB"/>
    <w:rsid w:val="00F465C2"/>
    <w:rsid w:val="0BF7F3FC"/>
    <w:rsid w:val="12C1D1D5"/>
    <w:rsid w:val="15356B98"/>
    <w:rsid w:val="36E38269"/>
    <w:rsid w:val="37015D13"/>
    <w:rsid w:val="6E78B836"/>
    <w:rsid w:val="7C9F38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B1A50"/>
  <w15:chartTrackingRefBased/>
  <w15:docId w15:val="{0AED913A-736D-4626-991C-5B6F05F0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0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0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0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0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0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0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0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0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0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0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0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0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0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0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0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0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048"/>
    <w:rPr>
      <w:rFonts w:eastAsiaTheme="majorEastAsia" w:cstheme="majorBidi"/>
      <w:color w:val="272727" w:themeColor="text1" w:themeTint="D8"/>
    </w:rPr>
  </w:style>
  <w:style w:type="paragraph" w:styleId="Title">
    <w:name w:val="Title"/>
    <w:basedOn w:val="Normal"/>
    <w:next w:val="Normal"/>
    <w:link w:val="TitleChar"/>
    <w:uiPriority w:val="10"/>
    <w:qFormat/>
    <w:rsid w:val="00BB3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0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0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048"/>
    <w:pPr>
      <w:spacing w:before="160"/>
      <w:jc w:val="center"/>
    </w:pPr>
    <w:rPr>
      <w:i/>
      <w:iCs/>
      <w:color w:val="404040" w:themeColor="text1" w:themeTint="BF"/>
    </w:rPr>
  </w:style>
  <w:style w:type="character" w:customStyle="1" w:styleId="QuoteChar">
    <w:name w:val="Quote Char"/>
    <w:basedOn w:val="DefaultParagraphFont"/>
    <w:link w:val="Quote"/>
    <w:uiPriority w:val="29"/>
    <w:rsid w:val="00BB3048"/>
    <w:rPr>
      <w:i/>
      <w:iCs/>
      <w:color w:val="404040" w:themeColor="text1" w:themeTint="BF"/>
    </w:rPr>
  </w:style>
  <w:style w:type="paragraph" w:styleId="ListParagraph">
    <w:name w:val="List Paragraph"/>
    <w:basedOn w:val="Normal"/>
    <w:uiPriority w:val="34"/>
    <w:qFormat/>
    <w:rsid w:val="00BB3048"/>
    <w:pPr>
      <w:ind w:left="720"/>
      <w:contextualSpacing/>
    </w:pPr>
  </w:style>
  <w:style w:type="character" w:styleId="IntenseEmphasis">
    <w:name w:val="Intense Emphasis"/>
    <w:basedOn w:val="DefaultParagraphFont"/>
    <w:uiPriority w:val="21"/>
    <w:qFormat/>
    <w:rsid w:val="00BB3048"/>
    <w:rPr>
      <w:i/>
      <w:iCs/>
      <w:color w:val="0F4761" w:themeColor="accent1" w:themeShade="BF"/>
    </w:rPr>
  </w:style>
  <w:style w:type="paragraph" w:styleId="IntenseQuote">
    <w:name w:val="Intense Quote"/>
    <w:basedOn w:val="Normal"/>
    <w:next w:val="Normal"/>
    <w:link w:val="IntenseQuoteChar"/>
    <w:uiPriority w:val="30"/>
    <w:qFormat/>
    <w:rsid w:val="00BB3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048"/>
    <w:rPr>
      <w:i/>
      <w:iCs/>
      <w:color w:val="0F4761" w:themeColor="accent1" w:themeShade="BF"/>
    </w:rPr>
  </w:style>
  <w:style w:type="character" w:styleId="IntenseReference">
    <w:name w:val="Intense Reference"/>
    <w:basedOn w:val="DefaultParagraphFont"/>
    <w:uiPriority w:val="32"/>
    <w:qFormat/>
    <w:rsid w:val="00BB3048"/>
    <w:rPr>
      <w:b/>
      <w:bCs/>
      <w:smallCaps/>
      <w:color w:val="0F4761" w:themeColor="accent1" w:themeShade="BF"/>
      <w:spacing w:val="5"/>
    </w:rPr>
  </w:style>
  <w:style w:type="paragraph" w:styleId="Header">
    <w:name w:val="header"/>
    <w:basedOn w:val="Normal"/>
    <w:uiPriority w:val="99"/>
    <w:unhideWhenUsed/>
    <w:rsid w:val="0BF7F3FC"/>
    <w:pPr>
      <w:tabs>
        <w:tab w:val="center" w:pos="4680"/>
        <w:tab w:val="right" w:pos="9360"/>
      </w:tabs>
      <w:spacing w:after="0" w:line="240" w:lineRule="auto"/>
    </w:pPr>
  </w:style>
  <w:style w:type="paragraph" w:styleId="Footer">
    <w:name w:val="footer"/>
    <w:basedOn w:val="Normal"/>
    <w:uiPriority w:val="99"/>
    <w:unhideWhenUsed/>
    <w:rsid w:val="0BF7F3F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fi-stiku\AppData\Local\Microsoft\Windows\INetCache\Content.Outlook\GTS3V6RN\me&#382;saimniec&#299;ba%20un%20me&#382;izstr&#257;d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i-stiku\AppData\Local\Microsoft\Windows\INetCache\Content.Outlook\GTS3V6RN\me&#382;saimniec&#299;ba%20un%20me&#382;izstr&#257;d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i-stiku\AppData\Local\Microsoft\Windows\INetCache\Content.Outlook\GTS3V6RN\me&#382;saimniec&#299;ba%20un%20me&#382;izstr&#257;d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r>
              <a:rPr lang="lv-LV" sz="1200" b="1"/>
              <a:t>Mežsaimniecība un mežizstrāde, % no IKP</a:t>
            </a:r>
          </a:p>
        </c:rich>
      </c:tx>
      <c:layout>
        <c:manualLayout>
          <c:xMode val="edge"/>
          <c:yMode val="edge"/>
          <c:x val="0.22172762271414823"/>
          <c:y val="0"/>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autoTitleDeleted val="0"/>
    <c:plotArea>
      <c:layout>
        <c:manualLayout>
          <c:layoutTarget val="inner"/>
          <c:xMode val="edge"/>
          <c:yMode val="edge"/>
          <c:x val="8.4421259842519691E-2"/>
          <c:y val="0.14095102446665159"/>
          <c:w val="0.88502318460192475"/>
          <c:h val="0.7089257884215252"/>
        </c:manualLayout>
      </c:layout>
      <c:barChart>
        <c:barDir val="col"/>
        <c:grouping val="clustered"/>
        <c:varyColors val="0"/>
        <c:ser>
          <c:idx val="0"/>
          <c:order val="0"/>
          <c:spPr>
            <a:solidFill>
              <a:schemeClr val="accent6">
                <a:lumMod val="60000"/>
                <a:lumOff val="40000"/>
              </a:schemeClr>
            </a:solidFill>
            <a:ln>
              <a:noFill/>
            </a:ln>
            <a:effectLst/>
          </c:spPr>
          <c:invertIfNegative val="0"/>
          <c:cat>
            <c:strRef>
              <c:f>IKP!$O$18:$U$18</c:f>
              <c:strCache>
                <c:ptCount val="7"/>
                <c:pt idx="0">
                  <c:v>2019</c:v>
                </c:pt>
                <c:pt idx="1">
                  <c:v>2020</c:v>
                </c:pt>
                <c:pt idx="2">
                  <c:v>2021</c:v>
                </c:pt>
                <c:pt idx="3">
                  <c:v>2022</c:v>
                </c:pt>
                <c:pt idx="4">
                  <c:v>2023</c:v>
                </c:pt>
                <c:pt idx="5">
                  <c:v>2024</c:v>
                </c:pt>
                <c:pt idx="6">
                  <c:v>2025 I-III</c:v>
                </c:pt>
              </c:strCache>
              <c:extLst/>
            </c:strRef>
          </c:cat>
          <c:val>
            <c:numRef>
              <c:f>IKP!$O$19:$U$19</c:f>
              <c:numCache>
                <c:formatCode>0.0%</c:formatCode>
                <c:ptCount val="7"/>
                <c:pt idx="0">
                  <c:v>2.2994850889126072E-2</c:v>
                </c:pt>
                <c:pt idx="1">
                  <c:v>2.4269983993571324E-2</c:v>
                </c:pt>
                <c:pt idx="2">
                  <c:v>2.4880280860841781E-2</c:v>
                </c:pt>
                <c:pt idx="3">
                  <c:v>3.005516623958316E-2</c:v>
                </c:pt>
                <c:pt idx="4">
                  <c:v>2.3542577140554796E-2</c:v>
                </c:pt>
                <c:pt idx="5">
                  <c:v>2.4346725472717493E-2</c:v>
                </c:pt>
                <c:pt idx="6">
                  <c:v>2.5538563248981985E-2</c:v>
                </c:pt>
              </c:numCache>
              <c:extLst/>
            </c:numRef>
          </c:val>
          <c:extLst>
            <c:ext xmlns:c16="http://schemas.microsoft.com/office/drawing/2014/chart" uri="{C3380CC4-5D6E-409C-BE32-E72D297353CC}">
              <c16:uniqueId val="{00000000-390F-492B-84CB-BFD7165B6D00}"/>
            </c:ext>
          </c:extLst>
        </c:ser>
        <c:dLbls>
          <c:showLegendKey val="0"/>
          <c:showVal val="0"/>
          <c:showCatName val="0"/>
          <c:showSerName val="0"/>
          <c:showPercent val="0"/>
          <c:showBubbleSize val="0"/>
        </c:dLbls>
        <c:gapWidth val="109"/>
        <c:overlap val="-27"/>
        <c:axId val="1750170783"/>
        <c:axId val="1750171263"/>
      </c:barChart>
      <c:catAx>
        <c:axId val="1750170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50171263"/>
        <c:crosses val="autoZero"/>
        <c:auto val="1"/>
        <c:lblAlgn val="ctr"/>
        <c:lblOffset val="100"/>
        <c:noMultiLvlLbl val="0"/>
      </c:catAx>
      <c:valAx>
        <c:axId val="1750171263"/>
        <c:scaling>
          <c:orientation val="minMax"/>
          <c:max val="3.0000000000000006E-2"/>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50170783"/>
        <c:crosses val="autoZero"/>
        <c:crossBetween val="between"/>
        <c:majorUnit val="1.0000000000000002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spc="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r>
              <a:rPr lang="lv-LV" sz="1200" b="1"/>
              <a:t>Aizņemtās darba vietas</a:t>
            </a:r>
          </a:p>
        </c:rich>
      </c:tx>
      <c:layout>
        <c:manualLayout>
          <c:xMode val="edge"/>
          <c:yMode val="edge"/>
          <c:x val="0.28913188976377951"/>
          <c:y val="0"/>
        </c:manualLayout>
      </c:layout>
      <c:overlay val="0"/>
      <c:spPr>
        <a:noFill/>
        <a:ln>
          <a:noFill/>
        </a:ln>
        <a:effectLst/>
      </c:spPr>
      <c:txPr>
        <a:bodyPr rot="0" spcFirstLastPara="1" vertOverflow="ellipsis" vert="horz" wrap="square" anchor="ctr" anchorCtr="1"/>
        <a:lstStyle/>
        <a:p>
          <a:pPr algn="ctr">
            <a:defRPr sz="1200" b="1" i="0" u="none" strike="noStrike" kern="1200" spc="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autoTitleDeleted val="0"/>
    <c:plotArea>
      <c:layout>
        <c:manualLayout>
          <c:layoutTarget val="inner"/>
          <c:xMode val="edge"/>
          <c:yMode val="edge"/>
          <c:x val="9.6095363079615054E-2"/>
          <c:y val="9.0208515602216377E-2"/>
          <c:w val="0.87334908136482936"/>
          <c:h val="0.63153756943172812"/>
        </c:manualLayout>
      </c:layout>
      <c:barChart>
        <c:barDir val="col"/>
        <c:grouping val="clustered"/>
        <c:varyColors val="0"/>
        <c:ser>
          <c:idx val="2"/>
          <c:order val="0"/>
          <c:tx>
            <c:strRef>
              <c:f>'darba vietas un algas'!$A$5</c:f>
              <c:strCache>
                <c:ptCount val="1"/>
                <c:pt idx="0">
                  <c:v>.. Mežsaimniecība un mežizstrāde</c:v>
                </c:pt>
              </c:strCache>
            </c:strRef>
          </c:tx>
          <c:spPr>
            <a:solidFill>
              <a:schemeClr val="accent6">
                <a:lumMod val="60000"/>
                <a:lumOff val="40000"/>
              </a:schemeClr>
            </a:solidFill>
            <a:ln>
              <a:solidFill>
                <a:srgbClr val="8AAC46"/>
              </a:solidFill>
            </a:ln>
            <a:effectLst/>
          </c:spPr>
          <c:invertIfNegative val="0"/>
          <c:cat>
            <c:strRef>
              <c:f>'darba vietas un algas'!$B$19:$H$19</c:f>
              <c:strCache>
                <c:ptCount val="7"/>
                <c:pt idx="0">
                  <c:v>2019</c:v>
                </c:pt>
                <c:pt idx="1">
                  <c:v>2020</c:v>
                </c:pt>
                <c:pt idx="2">
                  <c:v>2021</c:v>
                </c:pt>
                <c:pt idx="3">
                  <c:v>2022</c:v>
                </c:pt>
                <c:pt idx="4">
                  <c:v>2023</c:v>
                </c:pt>
                <c:pt idx="5">
                  <c:v>2024</c:v>
                </c:pt>
                <c:pt idx="6">
                  <c:v>2025 I-III</c:v>
                </c:pt>
              </c:strCache>
            </c:strRef>
          </c:cat>
          <c:val>
            <c:numRef>
              <c:f>'darba vietas un algas'!$B$5:$H$5</c:f>
              <c:numCache>
                <c:formatCode>General</c:formatCode>
                <c:ptCount val="7"/>
                <c:pt idx="0">
                  <c:v>10706</c:v>
                </c:pt>
                <c:pt idx="1">
                  <c:v>10435</c:v>
                </c:pt>
                <c:pt idx="2">
                  <c:v>10184</c:v>
                </c:pt>
                <c:pt idx="3">
                  <c:v>10496</c:v>
                </c:pt>
                <c:pt idx="4">
                  <c:v>11270</c:v>
                </c:pt>
                <c:pt idx="5">
                  <c:v>11379</c:v>
                </c:pt>
                <c:pt idx="6" formatCode="0">
                  <c:v>11374.666666666666</c:v>
                </c:pt>
              </c:numCache>
            </c:numRef>
          </c:val>
          <c:extLst>
            <c:ext xmlns:c16="http://schemas.microsoft.com/office/drawing/2014/chart" uri="{C3380CC4-5D6E-409C-BE32-E72D297353CC}">
              <c16:uniqueId val="{00000000-B677-40EB-A274-4E4D2D8F8781}"/>
            </c:ext>
          </c:extLst>
        </c:ser>
        <c:dLbls>
          <c:showLegendKey val="0"/>
          <c:showVal val="0"/>
          <c:showCatName val="0"/>
          <c:showSerName val="0"/>
          <c:showPercent val="0"/>
          <c:showBubbleSize val="0"/>
        </c:dLbls>
        <c:gapWidth val="150"/>
        <c:axId val="1657918767"/>
        <c:axId val="1739556159"/>
      </c:barChart>
      <c:lineChart>
        <c:grouping val="standard"/>
        <c:varyColors val="0"/>
        <c:ser>
          <c:idx val="3"/>
          <c:order val="1"/>
          <c:tx>
            <c:strRef>
              <c:f>'darba vietas un algas'!$A$7</c:f>
              <c:strCache>
                <c:ptCount val="1"/>
                <c:pt idx="0">
                  <c:v>… Mežsaimniecība un mežizstrāde, skartie uzņēmumi</c:v>
                </c:pt>
              </c:strCache>
            </c:strRef>
          </c:tx>
          <c:spPr>
            <a:ln w="28575" cap="rnd">
              <a:solidFill>
                <a:srgbClr val="C00000"/>
              </a:solidFill>
              <a:round/>
            </a:ln>
            <a:effectLst/>
          </c:spPr>
          <c:marker>
            <c:symbol val="none"/>
          </c:marker>
          <c:dPt>
            <c:idx val="1"/>
            <c:marker>
              <c:symbol val="none"/>
            </c:marker>
            <c:bubble3D val="0"/>
            <c:spPr>
              <a:ln w="28575" cap="rnd">
                <a:solidFill>
                  <a:srgbClr val="C00000"/>
                </a:solidFill>
                <a:round/>
              </a:ln>
              <a:effectLst/>
            </c:spPr>
            <c:extLst>
              <c:ext xmlns:c16="http://schemas.microsoft.com/office/drawing/2014/chart" uri="{C3380CC4-5D6E-409C-BE32-E72D297353CC}">
                <c16:uniqueId val="{00000002-B677-40EB-A274-4E4D2D8F8781}"/>
              </c:ext>
            </c:extLst>
          </c:dPt>
          <c:dPt>
            <c:idx val="2"/>
            <c:marker>
              <c:symbol val="none"/>
            </c:marker>
            <c:bubble3D val="0"/>
            <c:spPr>
              <a:ln w="28575" cap="rnd">
                <a:solidFill>
                  <a:srgbClr val="C00000"/>
                </a:solidFill>
                <a:round/>
              </a:ln>
              <a:effectLst/>
            </c:spPr>
            <c:extLst>
              <c:ext xmlns:c16="http://schemas.microsoft.com/office/drawing/2014/chart" uri="{C3380CC4-5D6E-409C-BE32-E72D297353CC}">
                <c16:uniqueId val="{00000004-B677-40EB-A274-4E4D2D8F8781}"/>
              </c:ext>
            </c:extLst>
          </c:dPt>
          <c:dPt>
            <c:idx val="3"/>
            <c:marker>
              <c:symbol val="none"/>
            </c:marker>
            <c:bubble3D val="0"/>
            <c:spPr>
              <a:ln w="28575" cap="rnd">
                <a:solidFill>
                  <a:srgbClr val="C00000"/>
                </a:solidFill>
                <a:round/>
              </a:ln>
              <a:effectLst/>
            </c:spPr>
            <c:extLst>
              <c:ext xmlns:c16="http://schemas.microsoft.com/office/drawing/2014/chart" uri="{C3380CC4-5D6E-409C-BE32-E72D297353CC}">
                <c16:uniqueId val="{00000006-B677-40EB-A274-4E4D2D8F8781}"/>
              </c:ext>
            </c:extLst>
          </c:dPt>
          <c:dPt>
            <c:idx val="4"/>
            <c:marker>
              <c:symbol val="none"/>
            </c:marker>
            <c:bubble3D val="0"/>
            <c:spPr>
              <a:ln w="28575" cap="rnd">
                <a:solidFill>
                  <a:srgbClr val="C00000"/>
                </a:solidFill>
                <a:round/>
              </a:ln>
              <a:effectLst/>
            </c:spPr>
            <c:extLst>
              <c:ext xmlns:c16="http://schemas.microsoft.com/office/drawing/2014/chart" uri="{C3380CC4-5D6E-409C-BE32-E72D297353CC}">
                <c16:uniqueId val="{00000008-B677-40EB-A274-4E4D2D8F8781}"/>
              </c:ext>
            </c:extLst>
          </c:dPt>
          <c:dPt>
            <c:idx val="6"/>
            <c:marker>
              <c:symbol val="none"/>
            </c:marker>
            <c:bubble3D val="0"/>
            <c:spPr>
              <a:ln w="28575" cap="rnd">
                <a:solidFill>
                  <a:srgbClr val="C00000"/>
                </a:solidFill>
                <a:round/>
              </a:ln>
              <a:effectLst/>
            </c:spPr>
            <c:extLst>
              <c:ext xmlns:c16="http://schemas.microsoft.com/office/drawing/2014/chart" uri="{C3380CC4-5D6E-409C-BE32-E72D297353CC}">
                <c16:uniqueId val="{0000000A-B677-40EB-A274-4E4D2D8F8781}"/>
              </c:ext>
            </c:extLst>
          </c:dPt>
          <c:dLbls>
            <c:dLbl>
              <c:idx val="0"/>
              <c:tx>
                <c:rich>
                  <a:bodyPr/>
                  <a:lstStyle/>
                  <a:p>
                    <a:fld id="{7E4DB40B-24A6-478A-BA8A-3FB0DD5E6238}" type="CELLRANGE">
                      <a:rPr lang="en-US"/>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B677-40EB-A274-4E4D2D8F8781}"/>
                </c:ext>
              </c:extLst>
            </c:dLbl>
            <c:dLbl>
              <c:idx val="1"/>
              <c:tx>
                <c:rich>
                  <a:bodyPr/>
                  <a:lstStyle/>
                  <a:p>
                    <a:fld id="{FE151E46-95DB-4E69-B95D-F98A8038C4A9}"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677-40EB-A274-4E4D2D8F8781}"/>
                </c:ext>
              </c:extLst>
            </c:dLbl>
            <c:dLbl>
              <c:idx val="2"/>
              <c:tx>
                <c:rich>
                  <a:bodyPr/>
                  <a:lstStyle/>
                  <a:p>
                    <a:fld id="{81563AEE-F74C-4B3E-A3C9-A3D69814C614}"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677-40EB-A274-4E4D2D8F8781}"/>
                </c:ext>
              </c:extLst>
            </c:dLbl>
            <c:dLbl>
              <c:idx val="3"/>
              <c:tx>
                <c:rich>
                  <a:bodyPr/>
                  <a:lstStyle/>
                  <a:p>
                    <a:fld id="{75DC145E-65F1-4E81-8C23-7E9135F12420}"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B677-40EB-A274-4E4D2D8F8781}"/>
                </c:ext>
              </c:extLst>
            </c:dLbl>
            <c:dLbl>
              <c:idx val="4"/>
              <c:tx>
                <c:rich>
                  <a:bodyPr/>
                  <a:lstStyle/>
                  <a:p>
                    <a:fld id="{C751A7A2-61F4-42D2-8F08-F8B4621B2530}"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B677-40EB-A274-4E4D2D8F8781}"/>
                </c:ext>
              </c:extLst>
            </c:dLbl>
            <c:dLbl>
              <c:idx val="5"/>
              <c:tx>
                <c:rich>
                  <a:bodyPr/>
                  <a:lstStyle/>
                  <a:p>
                    <a:fld id="{05DD7B88-C1C7-4F63-AC8C-0451DA598837}" type="CELLRANGE">
                      <a:rPr lang="lv-LV"/>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B677-40EB-A274-4E4D2D8F8781}"/>
                </c:ext>
              </c:extLst>
            </c:dLbl>
            <c:numFmt formatCode="#,##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'darba vietas un algas'!$B$19:$H$19</c:f>
              <c:strCache>
                <c:ptCount val="7"/>
                <c:pt idx="0">
                  <c:v>2019</c:v>
                </c:pt>
                <c:pt idx="1">
                  <c:v>2020</c:v>
                </c:pt>
                <c:pt idx="2">
                  <c:v>2021</c:v>
                </c:pt>
                <c:pt idx="3">
                  <c:v>2022</c:v>
                </c:pt>
                <c:pt idx="4">
                  <c:v>2023</c:v>
                </c:pt>
                <c:pt idx="5">
                  <c:v>2024</c:v>
                </c:pt>
                <c:pt idx="6">
                  <c:v>2025 I-III</c:v>
                </c:pt>
              </c:strCache>
            </c:strRef>
          </c:cat>
          <c:val>
            <c:numRef>
              <c:f>'darba vietas un algas'!$B$7:$G$7</c:f>
              <c:numCache>
                <c:formatCode>General</c:formatCode>
                <c:ptCount val="6"/>
                <c:pt idx="0">
                  <c:v>1942</c:v>
                </c:pt>
                <c:pt idx="1">
                  <c:v>1944</c:v>
                </c:pt>
                <c:pt idx="2">
                  <c:v>2124</c:v>
                </c:pt>
                <c:pt idx="3">
                  <c:v>2130</c:v>
                </c:pt>
                <c:pt idx="4">
                  <c:v>1994</c:v>
                </c:pt>
                <c:pt idx="5">
                  <c:v>2074</c:v>
                </c:pt>
              </c:numCache>
            </c:numRef>
          </c:val>
          <c:smooth val="0"/>
          <c:extLst>
            <c:ext xmlns:c15="http://schemas.microsoft.com/office/drawing/2012/chart" uri="{02D57815-91ED-43cb-92C2-25804820EDAC}">
              <c15:datalabelsRange>
                <c15:f>'darba vietas un algas'!$B$16:$H$16</c15:f>
                <c15:dlblRangeCache>
                  <c:ptCount val="7"/>
                  <c:pt idx="0">
                    <c:v>18.1%</c:v>
                  </c:pt>
                  <c:pt idx="1">
                    <c:v>18.6%</c:v>
                  </c:pt>
                  <c:pt idx="2">
                    <c:v>20.9%</c:v>
                  </c:pt>
                  <c:pt idx="3">
                    <c:v>20.3%</c:v>
                  </c:pt>
                  <c:pt idx="4">
                    <c:v>17.7%</c:v>
                  </c:pt>
                  <c:pt idx="5">
                    <c:v>18.2%</c:v>
                  </c:pt>
                </c15:dlblRangeCache>
              </c15:datalabelsRange>
            </c:ext>
            <c:ext xmlns:c16="http://schemas.microsoft.com/office/drawing/2014/chart" uri="{C3380CC4-5D6E-409C-BE32-E72D297353CC}">
              <c16:uniqueId val="{0000000D-B677-40EB-A274-4E4D2D8F8781}"/>
            </c:ext>
          </c:extLst>
        </c:ser>
        <c:dLbls>
          <c:showLegendKey val="0"/>
          <c:showVal val="0"/>
          <c:showCatName val="0"/>
          <c:showSerName val="0"/>
          <c:showPercent val="0"/>
          <c:showBubbleSize val="0"/>
        </c:dLbls>
        <c:marker val="1"/>
        <c:smooth val="0"/>
        <c:axId val="1657918767"/>
        <c:axId val="1739556159"/>
      </c:lineChart>
      <c:catAx>
        <c:axId val="1657918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1739556159"/>
        <c:crosses val="autoZero"/>
        <c:auto val="1"/>
        <c:lblAlgn val="ctr"/>
        <c:lblOffset val="100"/>
        <c:noMultiLvlLbl val="0"/>
      </c:catAx>
      <c:valAx>
        <c:axId val="17395561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1657918767"/>
        <c:crosses val="autoZero"/>
        <c:crossBetween val="between"/>
      </c:valAx>
      <c:spPr>
        <a:noFill/>
        <a:ln>
          <a:noFill/>
        </a:ln>
        <a:effectLst/>
      </c:spPr>
    </c:plotArea>
    <c:legend>
      <c:legendPos val="b"/>
      <c:layout>
        <c:manualLayout>
          <c:xMode val="edge"/>
          <c:yMode val="edge"/>
          <c:x val="1.9308427613261087E-2"/>
          <c:y val="0.83704763779527558"/>
          <c:w val="0.98069157238673887"/>
          <c:h val="0.1596708661417323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r>
              <a:rPr lang="lv-LV" sz="1200" b="1"/>
              <a:t>Mēneša vidējā bruto darba samaksa, eiro</a:t>
            </a:r>
          </a:p>
        </c:rich>
      </c:tx>
      <c:layout>
        <c:manualLayout>
          <c:xMode val="edge"/>
          <c:yMode val="edge"/>
          <c:x val="0.19190966754155731"/>
          <c:y val="0"/>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autoTitleDeleted val="0"/>
    <c:plotArea>
      <c:layout>
        <c:manualLayout>
          <c:layoutTarget val="inner"/>
          <c:xMode val="edge"/>
          <c:yMode val="edge"/>
          <c:x val="9.6095363079615054E-2"/>
          <c:y val="0.12600257182617275"/>
          <c:w val="0.87334908136482936"/>
          <c:h val="0.51708311461067369"/>
        </c:manualLayout>
      </c:layout>
      <c:lineChart>
        <c:grouping val="standard"/>
        <c:varyColors val="0"/>
        <c:ser>
          <c:idx val="0"/>
          <c:order val="0"/>
          <c:tx>
            <c:strRef>
              <c:f>'darba vietas un algas'!$A$20</c:f>
              <c:strCache>
                <c:ptCount val="1"/>
                <c:pt idx="0">
                  <c:v>Pavisam</c:v>
                </c:pt>
              </c:strCache>
            </c:strRef>
          </c:tx>
          <c:spPr>
            <a:ln w="28575" cap="rnd">
              <a:solidFill>
                <a:schemeClr val="tx1">
                  <a:lumMod val="65000"/>
                  <a:lumOff val="35000"/>
                </a:schemeClr>
              </a:solidFill>
              <a:round/>
            </a:ln>
            <a:effectLst/>
          </c:spPr>
          <c:marker>
            <c:symbol val="none"/>
          </c:marker>
          <c:cat>
            <c:strRef>
              <c:f>'darba vietas un algas'!$B$19:$H$19</c:f>
              <c:strCache>
                <c:ptCount val="7"/>
                <c:pt idx="0">
                  <c:v>2019</c:v>
                </c:pt>
                <c:pt idx="1">
                  <c:v>2020</c:v>
                </c:pt>
                <c:pt idx="2">
                  <c:v>2021</c:v>
                </c:pt>
                <c:pt idx="3">
                  <c:v>2022</c:v>
                </c:pt>
                <c:pt idx="4">
                  <c:v>2023</c:v>
                </c:pt>
                <c:pt idx="5">
                  <c:v>2024</c:v>
                </c:pt>
                <c:pt idx="6">
                  <c:v>2025 I-III</c:v>
                </c:pt>
              </c:strCache>
            </c:strRef>
          </c:cat>
          <c:val>
            <c:numRef>
              <c:f>'darba vietas un algas'!$B$20:$H$20</c:f>
              <c:numCache>
                <c:formatCode>0</c:formatCode>
                <c:ptCount val="7"/>
                <c:pt idx="0">
                  <c:v>1076</c:v>
                </c:pt>
                <c:pt idx="1">
                  <c:v>1143</c:v>
                </c:pt>
                <c:pt idx="2">
                  <c:v>1277</c:v>
                </c:pt>
                <c:pt idx="3">
                  <c:v>1373</c:v>
                </c:pt>
                <c:pt idx="4">
                  <c:v>1537</c:v>
                </c:pt>
                <c:pt idx="5">
                  <c:v>1685</c:v>
                </c:pt>
                <c:pt idx="6">
                  <c:v>1800</c:v>
                </c:pt>
              </c:numCache>
            </c:numRef>
          </c:val>
          <c:smooth val="0"/>
          <c:extLst>
            <c:ext xmlns:c16="http://schemas.microsoft.com/office/drawing/2014/chart" uri="{C3380CC4-5D6E-409C-BE32-E72D297353CC}">
              <c16:uniqueId val="{00000000-3F60-4DA7-9E15-AAE55D5C271A}"/>
            </c:ext>
          </c:extLst>
        </c:ser>
        <c:ser>
          <c:idx val="2"/>
          <c:order val="1"/>
          <c:tx>
            <c:strRef>
              <c:f>'darba vietas un algas'!$A$22</c:f>
              <c:strCache>
                <c:ptCount val="1"/>
                <c:pt idx="0">
                  <c:v>.. Mežsaimniecība un mežizstrāde</c:v>
                </c:pt>
              </c:strCache>
            </c:strRef>
          </c:tx>
          <c:spPr>
            <a:ln w="28575" cap="rnd">
              <a:solidFill>
                <a:srgbClr val="8AAC46"/>
              </a:solidFill>
              <a:round/>
            </a:ln>
            <a:effectLst/>
          </c:spPr>
          <c:marker>
            <c:symbol val="none"/>
          </c:marker>
          <c:cat>
            <c:strRef>
              <c:f>'darba vietas un algas'!$B$19:$H$19</c:f>
              <c:strCache>
                <c:ptCount val="7"/>
                <c:pt idx="0">
                  <c:v>2019</c:v>
                </c:pt>
                <c:pt idx="1">
                  <c:v>2020</c:v>
                </c:pt>
                <c:pt idx="2">
                  <c:v>2021</c:v>
                </c:pt>
                <c:pt idx="3">
                  <c:v>2022</c:v>
                </c:pt>
                <c:pt idx="4">
                  <c:v>2023</c:v>
                </c:pt>
                <c:pt idx="5">
                  <c:v>2024</c:v>
                </c:pt>
                <c:pt idx="6">
                  <c:v>2025 I-III</c:v>
                </c:pt>
              </c:strCache>
            </c:strRef>
          </c:cat>
          <c:val>
            <c:numRef>
              <c:f>'darba vietas un algas'!$B$22:$H$22</c:f>
              <c:numCache>
                <c:formatCode>0</c:formatCode>
                <c:ptCount val="7"/>
                <c:pt idx="0">
                  <c:v>1183</c:v>
                </c:pt>
                <c:pt idx="1">
                  <c:v>1232</c:v>
                </c:pt>
                <c:pt idx="2">
                  <c:v>1346</c:v>
                </c:pt>
                <c:pt idx="3">
                  <c:v>1484</c:v>
                </c:pt>
                <c:pt idx="4">
                  <c:v>1748</c:v>
                </c:pt>
                <c:pt idx="5">
                  <c:v>1841</c:v>
                </c:pt>
                <c:pt idx="6">
                  <c:v>1927</c:v>
                </c:pt>
              </c:numCache>
            </c:numRef>
          </c:val>
          <c:smooth val="0"/>
          <c:extLst>
            <c:ext xmlns:c16="http://schemas.microsoft.com/office/drawing/2014/chart" uri="{C3380CC4-5D6E-409C-BE32-E72D297353CC}">
              <c16:uniqueId val="{00000001-3F60-4DA7-9E15-AAE55D5C271A}"/>
            </c:ext>
          </c:extLst>
        </c:ser>
        <c:ser>
          <c:idx val="3"/>
          <c:order val="2"/>
          <c:tx>
            <c:strRef>
              <c:f>'darba vietas un algas'!$A$23</c:f>
              <c:strCache>
                <c:ptCount val="1"/>
                <c:pt idx="0">
                  <c:v>… Mežsaimniecība un mežizstrāde, sabiedriskajā sektorā</c:v>
                </c:pt>
              </c:strCache>
            </c:strRef>
          </c:tx>
          <c:spPr>
            <a:ln w="28575" cap="rnd">
              <a:noFill/>
              <a:round/>
            </a:ln>
            <a:effectLst/>
          </c:spPr>
          <c:marker>
            <c:symbol val="circle"/>
            <c:size val="7"/>
            <c:spPr>
              <a:solidFill>
                <a:schemeClr val="accent3">
                  <a:lumMod val="50000"/>
                </a:schemeClr>
              </a:solidFill>
              <a:ln w="9525">
                <a:noFill/>
              </a:ln>
              <a:effectLst/>
            </c:spPr>
          </c:marker>
          <c:dPt>
            <c:idx val="0"/>
            <c:marker>
              <c:symbol val="circle"/>
              <c:size val="7"/>
              <c:spPr>
                <a:solidFill>
                  <a:schemeClr val="bg1"/>
                </a:solidFill>
                <a:ln w="9525">
                  <a:noFill/>
                </a:ln>
                <a:effectLst/>
              </c:spPr>
            </c:marker>
            <c:bubble3D val="0"/>
            <c:extLst>
              <c:ext xmlns:c16="http://schemas.microsoft.com/office/drawing/2014/chart" uri="{C3380CC4-5D6E-409C-BE32-E72D297353CC}">
                <c16:uniqueId val="{00000002-3F60-4DA7-9E15-AAE55D5C271A}"/>
              </c:ext>
            </c:extLst>
          </c:dPt>
          <c:dPt>
            <c:idx val="1"/>
            <c:marker>
              <c:symbol val="circle"/>
              <c:size val="7"/>
              <c:spPr>
                <a:solidFill>
                  <a:schemeClr val="bg1"/>
                </a:solidFill>
                <a:ln w="9525">
                  <a:noFill/>
                </a:ln>
                <a:effectLst/>
              </c:spPr>
            </c:marker>
            <c:bubble3D val="0"/>
            <c:spPr>
              <a:ln w="28575" cap="rnd">
                <a:noFill/>
                <a:round/>
              </a:ln>
              <a:effectLst/>
            </c:spPr>
            <c:extLst>
              <c:ext xmlns:c16="http://schemas.microsoft.com/office/drawing/2014/chart" uri="{C3380CC4-5D6E-409C-BE32-E72D297353CC}">
                <c16:uniqueId val="{00000004-3F60-4DA7-9E15-AAE55D5C271A}"/>
              </c:ext>
            </c:extLst>
          </c:dPt>
          <c:dPt>
            <c:idx val="2"/>
            <c:marker>
              <c:symbol val="circle"/>
              <c:size val="7"/>
              <c:spPr>
                <a:solidFill>
                  <a:schemeClr val="accent3">
                    <a:lumMod val="50000"/>
                  </a:schemeClr>
                </a:solidFill>
                <a:ln w="9525">
                  <a:noFill/>
                </a:ln>
                <a:effectLst/>
              </c:spPr>
            </c:marker>
            <c:bubble3D val="0"/>
            <c:spPr>
              <a:ln w="28575" cap="rnd">
                <a:noFill/>
                <a:round/>
              </a:ln>
              <a:effectLst/>
            </c:spPr>
            <c:extLst>
              <c:ext xmlns:c16="http://schemas.microsoft.com/office/drawing/2014/chart" uri="{C3380CC4-5D6E-409C-BE32-E72D297353CC}">
                <c16:uniqueId val="{00000006-3F60-4DA7-9E15-AAE55D5C271A}"/>
              </c:ext>
            </c:extLst>
          </c:dPt>
          <c:dPt>
            <c:idx val="3"/>
            <c:marker>
              <c:symbol val="circle"/>
              <c:size val="7"/>
              <c:spPr>
                <a:solidFill>
                  <a:schemeClr val="bg1"/>
                </a:solidFill>
                <a:ln w="9525">
                  <a:noFill/>
                </a:ln>
                <a:effectLst/>
              </c:spPr>
            </c:marker>
            <c:bubble3D val="0"/>
            <c:spPr>
              <a:ln w="28575" cap="rnd">
                <a:noFill/>
                <a:round/>
              </a:ln>
              <a:effectLst/>
            </c:spPr>
            <c:extLst>
              <c:ext xmlns:c16="http://schemas.microsoft.com/office/drawing/2014/chart" uri="{C3380CC4-5D6E-409C-BE32-E72D297353CC}">
                <c16:uniqueId val="{00000008-3F60-4DA7-9E15-AAE55D5C271A}"/>
              </c:ext>
            </c:extLst>
          </c:dPt>
          <c:dPt>
            <c:idx val="4"/>
            <c:marker>
              <c:symbol val="circle"/>
              <c:size val="7"/>
              <c:spPr>
                <a:solidFill>
                  <a:schemeClr val="accent3">
                    <a:lumMod val="50000"/>
                  </a:schemeClr>
                </a:solidFill>
                <a:ln w="9525">
                  <a:noFill/>
                </a:ln>
                <a:effectLst/>
              </c:spPr>
            </c:marker>
            <c:bubble3D val="0"/>
            <c:spPr>
              <a:ln w="28575" cap="rnd">
                <a:noFill/>
                <a:round/>
              </a:ln>
              <a:effectLst/>
            </c:spPr>
            <c:extLst>
              <c:ext xmlns:c16="http://schemas.microsoft.com/office/drawing/2014/chart" uri="{C3380CC4-5D6E-409C-BE32-E72D297353CC}">
                <c16:uniqueId val="{0000000A-3F60-4DA7-9E15-AAE55D5C271A}"/>
              </c:ext>
            </c:extLst>
          </c:dPt>
          <c:dPt>
            <c:idx val="6"/>
            <c:marker>
              <c:symbol val="circle"/>
              <c:size val="7"/>
              <c:spPr>
                <a:solidFill>
                  <a:schemeClr val="bg1"/>
                </a:solidFill>
                <a:ln w="9525">
                  <a:noFill/>
                </a:ln>
                <a:effectLst/>
              </c:spPr>
            </c:marker>
            <c:bubble3D val="0"/>
            <c:spPr>
              <a:ln w="28575" cap="rnd">
                <a:noFill/>
                <a:round/>
              </a:ln>
              <a:effectLst/>
            </c:spPr>
            <c:extLst>
              <c:ext xmlns:c16="http://schemas.microsoft.com/office/drawing/2014/chart" uri="{C3380CC4-5D6E-409C-BE32-E72D297353CC}">
                <c16:uniqueId val="{0000000C-3F60-4DA7-9E15-AAE55D5C271A}"/>
              </c:ext>
            </c:extLst>
          </c:dPt>
          <c:cat>
            <c:strRef>
              <c:f>'darba vietas un algas'!$B$19:$H$19</c:f>
              <c:strCache>
                <c:ptCount val="7"/>
                <c:pt idx="0">
                  <c:v>2019</c:v>
                </c:pt>
                <c:pt idx="1">
                  <c:v>2020</c:v>
                </c:pt>
                <c:pt idx="2">
                  <c:v>2021</c:v>
                </c:pt>
                <c:pt idx="3">
                  <c:v>2022</c:v>
                </c:pt>
                <c:pt idx="4">
                  <c:v>2023</c:v>
                </c:pt>
                <c:pt idx="5">
                  <c:v>2024</c:v>
                </c:pt>
                <c:pt idx="6">
                  <c:v>2025 I-III</c:v>
                </c:pt>
              </c:strCache>
            </c:strRef>
          </c:cat>
          <c:val>
            <c:numRef>
              <c:f>'darba vietas un algas'!$B$23:$H$23</c:f>
              <c:numCache>
                <c:formatCode>General</c:formatCode>
                <c:ptCount val="7"/>
                <c:pt idx="0">
                  <c:v>0</c:v>
                </c:pt>
                <c:pt idx="1">
                  <c:v>0</c:v>
                </c:pt>
                <c:pt idx="2" formatCode="0">
                  <c:v>1649</c:v>
                </c:pt>
                <c:pt idx="3">
                  <c:v>0</c:v>
                </c:pt>
                <c:pt idx="4" formatCode="0">
                  <c:v>2090</c:v>
                </c:pt>
                <c:pt idx="5" formatCode="0">
                  <c:v>2290</c:v>
                </c:pt>
                <c:pt idx="6">
                  <c:v>0</c:v>
                </c:pt>
              </c:numCache>
            </c:numRef>
          </c:val>
          <c:smooth val="0"/>
          <c:extLst>
            <c:ext xmlns:c16="http://schemas.microsoft.com/office/drawing/2014/chart" uri="{C3380CC4-5D6E-409C-BE32-E72D297353CC}">
              <c16:uniqueId val="{0000000D-3F60-4DA7-9E15-AAE55D5C271A}"/>
            </c:ext>
          </c:extLst>
        </c:ser>
        <c:dLbls>
          <c:showLegendKey val="0"/>
          <c:showVal val="0"/>
          <c:showCatName val="0"/>
          <c:showSerName val="0"/>
          <c:showPercent val="0"/>
          <c:showBubbleSize val="0"/>
        </c:dLbls>
        <c:smooth val="0"/>
        <c:axId val="1657918767"/>
        <c:axId val="1739556159"/>
      </c:lineChart>
      <c:catAx>
        <c:axId val="1657918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1739556159"/>
        <c:crosses val="autoZero"/>
        <c:auto val="1"/>
        <c:lblAlgn val="ctr"/>
        <c:lblOffset val="100"/>
        <c:noMultiLvlLbl val="0"/>
      </c:catAx>
      <c:valAx>
        <c:axId val="1739556159"/>
        <c:scaling>
          <c:orientation val="minMax"/>
          <c:min val="1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1657918767"/>
        <c:crosses val="autoZero"/>
        <c:crossBetween val="between"/>
      </c:valAx>
      <c:spPr>
        <a:noFill/>
        <a:ln>
          <a:noFill/>
        </a:ln>
        <a:effectLst/>
      </c:spPr>
    </c:plotArea>
    <c:legend>
      <c:legendPos val="b"/>
      <c:layout>
        <c:manualLayout>
          <c:xMode val="edge"/>
          <c:yMode val="edge"/>
          <c:x val="2.9845144356955379E-2"/>
          <c:y val="0.74458836395450567"/>
          <c:w val="0.92305081646381149"/>
          <c:h val="0.2276338582677165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2424</Words>
  <Characters>1382</Characters>
  <Application>Microsoft Office Word</Application>
  <DocSecurity>4</DocSecurity>
  <Lines>11</Lines>
  <Paragraphs>7</Paragraphs>
  <ScaleCrop>false</ScaleCrop>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Stikuts</dc:creator>
  <cp:keywords/>
  <dc:description/>
  <cp:lastModifiedBy>Zane Kirina</cp:lastModifiedBy>
  <cp:revision>2</cp:revision>
  <dcterms:created xsi:type="dcterms:W3CDTF">2026-01-23T09:57:00Z</dcterms:created>
  <dcterms:modified xsi:type="dcterms:W3CDTF">2026-01-23T09:57:00Z</dcterms:modified>
</cp:coreProperties>
</file>