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35EC5" w14:textId="4F265CC6" w:rsidR="00EF14FD" w:rsidRPr="002869EC" w:rsidRDefault="009F5780" w:rsidP="006357B3">
      <w:pPr>
        <w:spacing w:line="240" w:lineRule="auto"/>
        <w:ind w:firstLine="0"/>
        <w:jc w:val="center"/>
        <w:rPr>
          <w:highlight w:val="yellow"/>
        </w:rPr>
      </w:pPr>
      <w:bookmarkStart w:id="0" w:name="_Hlk179023209"/>
      <w:bookmarkEnd w:id="0"/>
      <w:r w:rsidRPr="00202325">
        <w:rPr>
          <w:noProof/>
        </w:rPr>
        <w:drawing>
          <wp:anchor distT="0" distB="0" distL="114300" distR="114300" simplePos="0" relativeHeight="251663360" behindDoc="0" locked="0" layoutInCell="1" allowOverlap="1" wp14:anchorId="77E7A30E" wp14:editId="464AE7DD">
            <wp:simplePos x="0" y="0"/>
            <wp:positionH relativeFrom="page">
              <wp:align>center</wp:align>
            </wp:positionH>
            <wp:positionV relativeFrom="page">
              <wp:posOffset>-1905</wp:posOffset>
            </wp:positionV>
            <wp:extent cx="1386840" cy="1509395"/>
            <wp:effectExtent l="0" t="0" r="3810" b="0"/>
            <wp:wrapNone/>
            <wp:docPr id="10656651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66513" name="Picture 1" descr="A screenshot of a computer&#10;&#10;Description automatically generated"/>
                    <pic:cNvPicPr/>
                  </pic:nvPicPr>
                  <pic:blipFill rotWithShape="1">
                    <a:blip r:embed="rId9">
                      <a:extLst>
                        <a:ext uri="{28A0092B-C50C-407E-A947-70E740481C1C}">
                          <a14:useLocalDpi xmlns:a14="http://schemas.microsoft.com/office/drawing/2010/main" val="0"/>
                        </a:ext>
                      </a:extLst>
                    </a:blip>
                    <a:srcRect l="43043" t="53440" r="47388" b="28040"/>
                    <a:stretch/>
                  </pic:blipFill>
                  <pic:spPr bwMode="auto">
                    <a:xfrm>
                      <a:off x="0" y="0"/>
                      <a:ext cx="1386840" cy="1509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02325">
        <w:rPr>
          <w:rFonts w:ascii="Aptos" w:eastAsia="Aptos" w:hAnsi="Aptos" w:cs="Times New Roman"/>
          <w:noProof/>
          <w:kern w:val="2"/>
          <w:sz w:val="22"/>
          <w14:ligatures w14:val="standardContextual"/>
        </w:rPr>
        <w:drawing>
          <wp:anchor distT="0" distB="0" distL="114300" distR="114300" simplePos="0" relativeHeight="251659264" behindDoc="1" locked="0" layoutInCell="1" allowOverlap="1" wp14:anchorId="79053CD4" wp14:editId="4BC100DC">
            <wp:simplePos x="0" y="0"/>
            <wp:positionH relativeFrom="page">
              <wp:align>left</wp:align>
            </wp:positionH>
            <wp:positionV relativeFrom="page">
              <wp:posOffset>-88900</wp:posOffset>
            </wp:positionV>
            <wp:extent cx="7620000" cy="10772140"/>
            <wp:effectExtent l="0" t="0" r="0" b="0"/>
            <wp:wrapNone/>
            <wp:docPr id="3" name="Picture 2" descr="A blue and white curv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ue and white curved bord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0" cy="1077214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highlight w:val="yellow"/>
        </w:rPr>
        <w:id w:val="1462616115"/>
        <w:docPartObj>
          <w:docPartGallery w:val="Cover Pages"/>
          <w:docPartUnique/>
        </w:docPartObj>
      </w:sdtPr>
      <w:sdtEndPr>
        <w:rPr>
          <w:rFonts w:cs="Times New Roman"/>
          <w:b/>
          <w:bCs/>
          <w:smallCaps/>
        </w:rPr>
      </w:sdtEndPr>
      <w:sdtContent>
        <w:p w14:paraId="2B568750" w14:textId="7EA0A910" w:rsidR="00EF14FD" w:rsidRPr="002869EC" w:rsidRDefault="00EF14FD" w:rsidP="006357B3">
          <w:pPr>
            <w:spacing w:line="240" w:lineRule="auto"/>
            <w:ind w:firstLine="0"/>
            <w:jc w:val="center"/>
            <w:rPr>
              <w:highlight w:val="yellow"/>
            </w:rPr>
          </w:pPr>
        </w:p>
        <w:p w14:paraId="450FC707" w14:textId="77777777" w:rsidR="00EF14FD" w:rsidRPr="002869EC" w:rsidRDefault="00EF14FD" w:rsidP="006357B3">
          <w:pPr>
            <w:spacing w:line="240" w:lineRule="auto"/>
            <w:ind w:firstLine="0"/>
            <w:jc w:val="right"/>
            <w:rPr>
              <w:highlight w:val="yellow"/>
            </w:rPr>
          </w:pPr>
        </w:p>
        <w:p w14:paraId="59B995D4" w14:textId="5E842F26" w:rsidR="00EF14FD" w:rsidRPr="002869EC" w:rsidRDefault="00EF14FD" w:rsidP="006357B3">
          <w:pPr>
            <w:spacing w:line="240" w:lineRule="auto"/>
            <w:ind w:firstLine="0"/>
            <w:jc w:val="center"/>
            <w:rPr>
              <w:highlight w:val="yellow"/>
            </w:rPr>
          </w:pPr>
        </w:p>
        <w:p w14:paraId="3E7EF8D6" w14:textId="2003CA2E" w:rsidR="00EF14FD" w:rsidRPr="002869EC" w:rsidRDefault="00EF14FD" w:rsidP="006357B3">
          <w:pPr>
            <w:spacing w:line="240" w:lineRule="auto"/>
            <w:ind w:firstLine="0"/>
            <w:jc w:val="center"/>
            <w:rPr>
              <w:highlight w:val="yellow"/>
            </w:rPr>
          </w:pPr>
        </w:p>
        <w:p w14:paraId="7DC00A0C" w14:textId="77777777" w:rsidR="00EF14FD" w:rsidRPr="002869EC" w:rsidRDefault="00EF14FD" w:rsidP="006357B3">
          <w:pPr>
            <w:spacing w:line="240" w:lineRule="auto"/>
            <w:ind w:firstLine="0"/>
            <w:jc w:val="center"/>
            <w:rPr>
              <w:highlight w:val="yellow"/>
            </w:rPr>
          </w:pPr>
        </w:p>
        <w:p w14:paraId="17932310" w14:textId="77777777" w:rsidR="00EF14FD" w:rsidRPr="002869EC" w:rsidRDefault="00EF14FD" w:rsidP="006357B3">
          <w:pPr>
            <w:spacing w:line="240" w:lineRule="auto"/>
            <w:ind w:firstLine="0"/>
            <w:jc w:val="center"/>
            <w:rPr>
              <w:highlight w:val="yellow"/>
            </w:rPr>
          </w:pPr>
        </w:p>
        <w:p w14:paraId="71986B29" w14:textId="64332C0A" w:rsidR="00EF14FD" w:rsidRPr="002869EC" w:rsidRDefault="00EF14FD" w:rsidP="006357B3">
          <w:pPr>
            <w:spacing w:line="240" w:lineRule="auto"/>
            <w:ind w:firstLine="0"/>
            <w:jc w:val="center"/>
            <w:rPr>
              <w:highlight w:val="yellow"/>
            </w:rPr>
          </w:pPr>
        </w:p>
        <w:p w14:paraId="510F2B4B" w14:textId="77777777" w:rsidR="00EF14FD" w:rsidRPr="002869EC" w:rsidRDefault="00EF14FD" w:rsidP="006357B3">
          <w:pPr>
            <w:spacing w:line="240" w:lineRule="auto"/>
            <w:ind w:firstLine="0"/>
            <w:jc w:val="center"/>
            <w:rPr>
              <w:highlight w:val="yellow"/>
            </w:rPr>
          </w:pPr>
        </w:p>
        <w:p w14:paraId="74F323DD" w14:textId="77777777" w:rsidR="00EF14FD" w:rsidRPr="002869EC" w:rsidRDefault="00EF14FD" w:rsidP="006357B3">
          <w:pPr>
            <w:spacing w:line="240" w:lineRule="auto"/>
            <w:ind w:firstLine="0"/>
            <w:jc w:val="center"/>
            <w:rPr>
              <w:highlight w:val="yellow"/>
            </w:rPr>
          </w:pPr>
        </w:p>
        <w:p w14:paraId="45599F6A" w14:textId="77777777" w:rsidR="00EF14FD" w:rsidRPr="002869EC" w:rsidRDefault="00EF14FD" w:rsidP="006357B3">
          <w:pPr>
            <w:spacing w:line="240" w:lineRule="auto"/>
            <w:ind w:firstLine="0"/>
            <w:jc w:val="center"/>
            <w:rPr>
              <w:highlight w:val="yellow"/>
            </w:rPr>
          </w:pPr>
        </w:p>
        <w:p w14:paraId="76C3300B" w14:textId="70778904" w:rsidR="00EF14FD" w:rsidRPr="002869EC" w:rsidRDefault="00EF14FD" w:rsidP="006357B3">
          <w:pPr>
            <w:spacing w:line="240" w:lineRule="auto"/>
            <w:ind w:firstLine="0"/>
            <w:jc w:val="center"/>
            <w:rPr>
              <w:highlight w:val="yellow"/>
            </w:rPr>
          </w:pPr>
        </w:p>
        <w:p w14:paraId="46C10895" w14:textId="77777777" w:rsidR="00EF14FD" w:rsidRPr="002869EC" w:rsidRDefault="00EF14FD" w:rsidP="006357B3">
          <w:pPr>
            <w:spacing w:line="240" w:lineRule="auto"/>
            <w:ind w:firstLine="0"/>
            <w:jc w:val="center"/>
            <w:rPr>
              <w:highlight w:val="yellow"/>
            </w:rPr>
          </w:pPr>
        </w:p>
        <w:p w14:paraId="35AED8D5" w14:textId="1D32D64F" w:rsidR="00EF14FD" w:rsidRPr="002869EC" w:rsidRDefault="00EF14FD" w:rsidP="006357B3">
          <w:pPr>
            <w:spacing w:line="240" w:lineRule="auto"/>
            <w:ind w:firstLine="0"/>
            <w:jc w:val="center"/>
            <w:rPr>
              <w:highlight w:val="yellow"/>
            </w:rPr>
          </w:pPr>
        </w:p>
        <w:p w14:paraId="38A0FD35" w14:textId="0FAD2AD4" w:rsidR="00EF14FD" w:rsidRPr="002869EC" w:rsidRDefault="00EF14FD" w:rsidP="006357B3">
          <w:pPr>
            <w:spacing w:line="240" w:lineRule="auto"/>
            <w:ind w:firstLine="0"/>
            <w:jc w:val="center"/>
            <w:rPr>
              <w:rFonts w:eastAsia="Aptos" w:cs="Times New Roman"/>
              <w:b/>
              <w:bCs/>
              <w:kern w:val="2"/>
              <w:sz w:val="72"/>
              <w:szCs w:val="72"/>
              <w14:ligatures w14:val="standardContextual"/>
            </w:rPr>
          </w:pPr>
          <w:r w:rsidRPr="002869EC">
            <w:rPr>
              <w:rFonts w:eastAsia="Aptos" w:cs="Times New Roman"/>
              <w:b/>
              <w:bCs/>
              <w:kern w:val="2"/>
              <w:sz w:val="72"/>
              <w:szCs w:val="72"/>
              <w14:ligatures w14:val="standardContextual"/>
            </w:rPr>
            <w:t xml:space="preserve">Latvijas Fiskāli </w:t>
          </w:r>
        </w:p>
        <w:p w14:paraId="19AE0863" w14:textId="77777777" w:rsidR="00EF14FD" w:rsidRPr="002869EC" w:rsidRDefault="00EF14FD" w:rsidP="006357B3">
          <w:pPr>
            <w:spacing w:line="240" w:lineRule="auto"/>
            <w:ind w:firstLine="0"/>
            <w:jc w:val="center"/>
            <w:rPr>
              <w:sz w:val="72"/>
              <w:szCs w:val="72"/>
            </w:rPr>
          </w:pPr>
          <w:r w:rsidRPr="002869EC">
            <w:rPr>
              <w:rFonts w:eastAsia="Aptos" w:cs="Times New Roman"/>
              <w:b/>
              <w:bCs/>
              <w:kern w:val="2"/>
              <w:sz w:val="72"/>
              <w:szCs w:val="72"/>
              <w14:ligatures w14:val="standardContextual"/>
            </w:rPr>
            <w:t>strukturālais plāns</w:t>
          </w:r>
          <w:r w:rsidRPr="002869EC">
            <w:rPr>
              <w:sz w:val="72"/>
              <w:szCs w:val="72"/>
            </w:rPr>
            <w:t xml:space="preserve"> </w:t>
          </w:r>
        </w:p>
        <w:p w14:paraId="3D258A55" w14:textId="50C854CD" w:rsidR="00EF14FD" w:rsidRPr="002869EC" w:rsidRDefault="00EF14FD" w:rsidP="006357B3">
          <w:pPr>
            <w:spacing w:line="240" w:lineRule="auto"/>
            <w:ind w:firstLine="0"/>
            <w:jc w:val="center"/>
            <w:rPr>
              <w:sz w:val="72"/>
              <w:szCs w:val="72"/>
              <w:highlight w:val="yellow"/>
            </w:rPr>
          </w:pPr>
          <w:r w:rsidRPr="002869EC">
            <w:rPr>
              <w:rFonts w:eastAsia="Aptos" w:cs="Times New Roman"/>
              <w:b/>
              <w:bCs/>
              <w:kern w:val="2"/>
              <w:sz w:val="72"/>
              <w:szCs w:val="72"/>
              <w14:ligatures w14:val="standardContextual"/>
            </w:rPr>
            <w:t>2025. – 2028. gadam</w:t>
          </w:r>
        </w:p>
        <w:p w14:paraId="52221631" w14:textId="77777777" w:rsidR="00EF14FD" w:rsidRPr="002869EC" w:rsidRDefault="00EF14FD" w:rsidP="006357B3">
          <w:pPr>
            <w:spacing w:line="240" w:lineRule="auto"/>
            <w:ind w:firstLine="0"/>
            <w:jc w:val="center"/>
            <w:rPr>
              <w:rFonts w:eastAsia="Aptos" w:cs="Times New Roman"/>
              <w:b/>
              <w:bCs/>
              <w:kern w:val="2"/>
              <w:sz w:val="72"/>
              <w:szCs w:val="72"/>
              <w14:ligatures w14:val="standardContextual"/>
            </w:rPr>
          </w:pPr>
        </w:p>
        <w:p w14:paraId="00EDC1D3" w14:textId="77777777" w:rsidR="00EF14FD" w:rsidRPr="002869EC" w:rsidRDefault="00EF14FD" w:rsidP="006357B3">
          <w:pPr>
            <w:spacing w:line="240" w:lineRule="auto"/>
            <w:ind w:firstLine="0"/>
            <w:jc w:val="center"/>
            <w:rPr>
              <w:rFonts w:eastAsia="Aptos" w:cs="Times New Roman"/>
              <w:b/>
              <w:bCs/>
              <w:kern w:val="2"/>
              <w:sz w:val="72"/>
              <w:szCs w:val="72"/>
              <w14:ligatures w14:val="standardContextual"/>
            </w:rPr>
          </w:pPr>
        </w:p>
        <w:p w14:paraId="4F25264C" w14:textId="30A152B4" w:rsidR="00EF14FD" w:rsidRPr="002869EC" w:rsidRDefault="00EF14FD" w:rsidP="006357B3">
          <w:pPr>
            <w:spacing w:line="240" w:lineRule="auto"/>
            <w:ind w:firstLine="0"/>
            <w:jc w:val="center"/>
            <w:rPr>
              <w:rFonts w:eastAsia="Aptos" w:cs="Times New Roman"/>
              <w:b/>
              <w:bCs/>
              <w:kern w:val="2"/>
              <w:sz w:val="72"/>
              <w:szCs w:val="72"/>
              <w14:ligatures w14:val="standardContextual"/>
            </w:rPr>
          </w:pPr>
        </w:p>
        <w:p w14:paraId="764F3FB0" w14:textId="50344504" w:rsidR="00EF14FD" w:rsidRDefault="00EF14FD" w:rsidP="006357B3">
          <w:pPr>
            <w:tabs>
              <w:tab w:val="left" w:pos="6828"/>
            </w:tabs>
            <w:spacing w:line="240" w:lineRule="auto"/>
            <w:ind w:firstLine="0"/>
            <w:jc w:val="left"/>
            <w:rPr>
              <w:rFonts w:eastAsia="Aptos" w:cs="Times New Roman"/>
              <w:b/>
              <w:bCs/>
              <w:kern w:val="2"/>
              <w:sz w:val="72"/>
              <w:szCs w:val="72"/>
              <w14:ligatures w14:val="standardContextual"/>
            </w:rPr>
          </w:pPr>
          <w:r w:rsidRPr="002869EC">
            <w:rPr>
              <w:rFonts w:eastAsia="Aptos" w:cs="Times New Roman"/>
              <w:b/>
              <w:bCs/>
              <w:kern w:val="2"/>
              <w:sz w:val="72"/>
              <w:szCs w:val="72"/>
              <w14:ligatures w14:val="standardContextual"/>
            </w:rPr>
            <w:tab/>
          </w:r>
        </w:p>
        <w:p w14:paraId="0EF7FCAA" w14:textId="77777777" w:rsidR="002201EA" w:rsidRDefault="002201EA" w:rsidP="006357B3">
          <w:pPr>
            <w:tabs>
              <w:tab w:val="left" w:pos="6361"/>
            </w:tabs>
            <w:spacing w:line="240" w:lineRule="auto"/>
            <w:ind w:firstLine="0"/>
            <w:jc w:val="left"/>
            <w:rPr>
              <w:rFonts w:eastAsia="Aptos" w:cs="Times New Roman"/>
              <w:b/>
              <w:bCs/>
              <w:kern w:val="2"/>
              <w:sz w:val="72"/>
              <w:szCs w:val="72"/>
              <w14:ligatures w14:val="standardContextual"/>
            </w:rPr>
          </w:pPr>
        </w:p>
        <w:p w14:paraId="7C7D5B15" w14:textId="315E6FE9" w:rsidR="001E75E4" w:rsidRPr="002869EC" w:rsidRDefault="001E75E4" w:rsidP="006357B3">
          <w:pPr>
            <w:tabs>
              <w:tab w:val="left" w:pos="6361"/>
            </w:tabs>
            <w:spacing w:line="240" w:lineRule="auto"/>
            <w:ind w:firstLine="0"/>
            <w:jc w:val="left"/>
            <w:rPr>
              <w:rFonts w:eastAsia="Aptos" w:cs="Times New Roman"/>
              <w:b/>
              <w:bCs/>
              <w:kern w:val="2"/>
              <w:sz w:val="72"/>
              <w:szCs w:val="72"/>
              <w14:ligatures w14:val="standardContextual"/>
            </w:rPr>
          </w:pPr>
          <w:r w:rsidRPr="00AA65A7">
            <w:rPr>
              <w:rFonts w:eastAsia="Aptos" w:cs="Times New Roman"/>
              <w:b/>
              <w:bCs/>
              <w:noProof/>
              <w:kern w:val="2"/>
              <w:sz w:val="52"/>
              <w:szCs w:val="52"/>
              <w14:ligatures w14:val="standardContextual"/>
            </w:rPr>
            <mc:AlternateContent>
              <mc:Choice Requires="wps">
                <w:drawing>
                  <wp:anchor distT="0" distB="0" distL="114300" distR="114300" simplePos="0" relativeHeight="251661312" behindDoc="1" locked="0" layoutInCell="1" allowOverlap="1" wp14:anchorId="6056FC1F" wp14:editId="0BBB11CD">
                    <wp:simplePos x="0" y="0"/>
                    <wp:positionH relativeFrom="page">
                      <wp:align>center</wp:align>
                    </wp:positionH>
                    <wp:positionV relativeFrom="page">
                      <wp:posOffset>9930765</wp:posOffset>
                    </wp:positionV>
                    <wp:extent cx="1001395" cy="776605"/>
                    <wp:effectExtent l="0" t="0" r="0" b="4445"/>
                    <wp:wrapTight wrapText="bothSides">
                      <wp:wrapPolygon edited="0">
                        <wp:start x="1233" y="0"/>
                        <wp:lineTo x="1233" y="21194"/>
                        <wp:lineTo x="20134" y="21194"/>
                        <wp:lineTo x="20134" y="0"/>
                        <wp:lineTo x="1233" y="0"/>
                      </wp:wrapPolygon>
                    </wp:wrapTight>
                    <wp:docPr id="1667954206" name="Text Box 3"/>
                    <wp:cNvGraphicFramePr/>
                    <a:graphic xmlns:a="http://schemas.openxmlformats.org/drawingml/2006/main">
                      <a:graphicData uri="http://schemas.microsoft.com/office/word/2010/wordprocessingShape">
                        <wps:wsp>
                          <wps:cNvSpPr txBox="1"/>
                          <wps:spPr>
                            <a:xfrm>
                              <a:off x="0" y="0"/>
                              <a:ext cx="1001395" cy="776605"/>
                            </a:xfrm>
                            <a:prstGeom prst="rect">
                              <a:avLst/>
                            </a:prstGeom>
                            <a:noFill/>
                            <a:ln w="6350">
                              <a:noFill/>
                            </a:ln>
                          </wps:spPr>
                          <wps:txbx>
                            <w:txbxContent>
                              <w:p w14:paraId="79BE5F13" w14:textId="77777777" w:rsidR="00EF14FD" w:rsidRPr="00EF14FD" w:rsidRDefault="00EF14FD" w:rsidP="00474239">
                                <w:pPr>
                                  <w:ind w:firstLine="0"/>
                                  <w:jc w:val="center"/>
                                  <w:rPr>
                                    <w:rFonts w:cs="Times New Roman"/>
                                    <w:b/>
                                    <w:bCs/>
                                    <w:color w:val="FFFFFF"/>
                                    <w:sz w:val="32"/>
                                    <w:szCs w:val="32"/>
                                  </w:rPr>
                                </w:pPr>
                                <w:r w:rsidRPr="00EF14FD">
                                  <w:rPr>
                                    <w:rFonts w:cs="Times New Roman"/>
                                    <w:b/>
                                    <w:bCs/>
                                    <w:color w:val="FFFFFF"/>
                                    <w:sz w:val="32"/>
                                    <w:szCs w:val="32"/>
                                  </w:rPr>
                                  <w:t>RĪGA</w:t>
                                </w:r>
                              </w:p>
                              <w:p w14:paraId="17524C39" w14:textId="77777777" w:rsidR="00EF14FD" w:rsidRPr="00EF14FD" w:rsidRDefault="00EF14FD" w:rsidP="00474239">
                                <w:pPr>
                                  <w:ind w:firstLine="0"/>
                                  <w:jc w:val="center"/>
                                  <w:rPr>
                                    <w:rFonts w:cs="Times New Roman"/>
                                    <w:b/>
                                    <w:bCs/>
                                    <w:color w:val="FFFFFF"/>
                                    <w:sz w:val="32"/>
                                    <w:szCs w:val="32"/>
                                  </w:rPr>
                                </w:pPr>
                                <w:r w:rsidRPr="00EF14FD">
                                  <w:rPr>
                                    <w:rFonts w:cs="Times New Roman"/>
                                    <w:b/>
                                    <w:bCs/>
                                    <w:color w:val="FFFFFF"/>
                                    <w:sz w:val="32"/>
                                    <w:szCs w:val="32"/>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6FC1F" id="_x0000_t202" coordsize="21600,21600" o:spt="202" path="m,l,21600r21600,l21600,xe">
                    <v:stroke joinstyle="miter"/>
                    <v:path gradientshapeok="t" o:connecttype="rect"/>
                  </v:shapetype>
                  <v:shape id="Text Box 3" o:spid="_x0000_s1026" type="#_x0000_t202" style="position:absolute;margin-left:0;margin-top:781.95pt;width:78.85pt;height:61.15pt;z-index:-2516551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" filled="f" stroked="f" strokeweight=".5pt">
                    <v:textbox>
                      <w:txbxContent>
                        <w:p w14:paraId="79BE5F13" w14:textId="77777777" w:rsidR="00EF14FD" w:rsidRPr="00EF14FD" w:rsidRDefault="00EF14FD" w:rsidP="00474239">
                          <w:pPr>
                            <w:ind w:firstLine="0"/>
                            <w:jc w:val="center"/>
                            <w:rPr>
                              <w:rFonts w:cs="Times New Roman"/>
                              <w:b/>
                              <w:bCs/>
                              <w:color w:val="FFFFFF"/>
                              <w:sz w:val="32"/>
                              <w:szCs w:val="32"/>
                            </w:rPr>
                          </w:pPr>
                          <w:r w:rsidRPr="00EF14FD">
                            <w:rPr>
                              <w:rFonts w:cs="Times New Roman"/>
                              <w:b/>
                              <w:bCs/>
                              <w:color w:val="FFFFFF"/>
                              <w:sz w:val="32"/>
                              <w:szCs w:val="32"/>
                            </w:rPr>
                            <w:t>RĪGA</w:t>
                          </w:r>
                        </w:p>
                        <w:p w14:paraId="17524C39" w14:textId="77777777" w:rsidR="00EF14FD" w:rsidRPr="00EF14FD" w:rsidRDefault="00EF14FD" w:rsidP="00474239">
                          <w:pPr>
                            <w:ind w:firstLine="0"/>
                            <w:jc w:val="center"/>
                            <w:rPr>
                              <w:rFonts w:cs="Times New Roman"/>
                              <w:b/>
                              <w:bCs/>
                              <w:color w:val="FFFFFF"/>
                              <w:sz w:val="32"/>
                              <w:szCs w:val="32"/>
                            </w:rPr>
                          </w:pPr>
                          <w:r w:rsidRPr="00EF14FD">
                            <w:rPr>
                              <w:rFonts w:cs="Times New Roman"/>
                              <w:b/>
                              <w:bCs/>
                              <w:color w:val="FFFFFF"/>
                              <w:sz w:val="32"/>
                              <w:szCs w:val="32"/>
                            </w:rPr>
                            <w:t>2024</w:t>
                          </w:r>
                        </w:p>
                      </w:txbxContent>
                    </v:textbox>
                    <w10:wrap type="tight" anchorx="page" anchory="page"/>
                  </v:shape>
                </w:pict>
              </mc:Fallback>
            </mc:AlternateContent>
          </w:r>
          <w:r w:rsidR="00474239">
            <w:rPr>
              <w:rFonts w:eastAsia="Aptos" w:cs="Times New Roman"/>
              <w:b/>
              <w:bCs/>
              <w:kern w:val="2"/>
              <w:sz w:val="72"/>
              <w:szCs w:val="72"/>
              <w14:ligatures w14:val="standardContextual"/>
            </w:rPr>
            <w:tab/>
          </w:r>
        </w:p>
        <w:p w14:paraId="3D40F56C" w14:textId="39E5DEB7" w:rsidR="00BF4753" w:rsidRPr="002869EC" w:rsidRDefault="008446DE" w:rsidP="006357B3">
          <w:pPr>
            <w:spacing w:line="240" w:lineRule="auto"/>
            <w:ind w:right="1134" w:firstLine="0"/>
            <w:rPr>
              <w:highlight w:val="yellow"/>
            </w:rPr>
          </w:pPr>
        </w:p>
      </w:sdtContent>
    </w:sdt>
    <w:sdt>
      <w:sdtPr>
        <w:rPr>
          <w:rFonts w:asciiTheme="minorHAnsi" w:eastAsiaTheme="minorEastAsia" w:hAnsiTheme="minorHAnsi" w:cstheme="minorBidi"/>
          <w:b w:val="0"/>
          <w:bCs w:val="0"/>
          <w:smallCaps w:val="0"/>
          <w:color w:val="auto"/>
          <w:sz w:val="24"/>
          <w:szCs w:val="24"/>
          <w:lang w:eastAsia="en-US"/>
          <w14:textOutline w14:w="0" w14:cap="rnd" w14:cmpd="sng" w14:algn="ctr">
            <w14:noFill/>
            <w14:prstDash w14:val="solid"/>
            <w14:bevel/>
          </w14:textOutline>
        </w:rPr>
        <w:id w:val="423391642"/>
        <w:docPartObj>
          <w:docPartGallery w:val="Table of Contents"/>
          <w:docPartUnique/>
        </w:docPartObj>
      </w:sdtPr>
      <w:sdtEndPr>
        <w:rPr>
          <w:rFonts w:ascii="Times New Roman" w:hAnsi="Times New Roman" w:cs="Times New Roman"/>
          <w:spacing w:val="-4"/>
        </w:rPr>
      </w:sdtEndPr>
      <w:sdtContent>
        <w:p w14:paraId="1B017604" w14:textId="60EFB2D3" w:rsidR="00BF4753" w:rsidRPr="001F2547" w:rsidRDefault="00BF4753" w:rsidP="001F2547">
          <w:pPr>
            <w:pStyle w:val="TOCHeading"/>
            <w:spacing w:before="0" w:after="0" w:line="240" w:lineRule="auto"/>
            <w:rPr>
              <w:sz w:val="24"/>
              <w:szCs w:val="24"/>
            </w:rPr>
          </w:pPr>
          <w:r w:rsidRPr="001F2547">
            <w:rPr>
              <w:sz w:val="24"/>
              <w:szCs w:val="24"/>
            </w:rPr>
            <w:t>SATURS</w:t>
          </w:r>
        </w:p>
        <w:p w14:paraId="636E9F23" w14:textId="5CC97FDD" w:rsidR="001C25F7" w:rsidRPr="001C25F7" w:rsidRDefault="00BF4753" w:rsidP="001C25F7">
          <w:pPr>
            <w:pStyle w:val="TOC1"/>
            <w:spacing w:after="0" w:line="240" w:lineRule="auto"/>
            <w:rPr>
              <w:rFonts w:eastAsiaTheme="minorEastAsia"/>
              <w:noProof/>
              <w:kern w:val="2"/>
              <w:szCs w:val="24"/>
              <w:lang w:eastAsia="lv-LV"/>
              <w14:ligatures w14:val="standardContextual"/>
            </w:rPr>
          </w:pPr>
          <w:r w:rsidRPr="001C25F7">
            <w:rPr>
              <w:spacing w:val="-4"/>
              <w:szCs w:val="24"/>
            </w:rPr>
            <w:fldChar w:fldCharType="begin"/>
          </w:r>
          <w:r w:rsidRPr="001C25F7">
            <w:rPr>
              <w:spacing w:val="-4"/>
              <w:szCs w:val="24"/>
            </w:rPr>
            <w:instrText xml:space="preserve"> TOC \o "1-3" \h \z \u </w:instrText>
          </w:r>
          <w:r w:rsidRPr="001C25F7">
            <w:rPr>
              <w:spacing w:val="-4"/>
              <w:szCs w:val="24"/>
            </w:rPr>
            <w:fldChar w:fldCharType="separate"/>
          </w:r>
          <w:hyperlink w:anchor="_Toc179540617" w:history="1">
            <w:r w:rsidR="001C25F7" w:rsidRPr="001C25F7">
              <w:rPr>
                <w:rStyle w:val="Hyperlink"/>
                <w:noProof/>
                <w:szCs w:val="24"/>
              </w:rPr>
              <w:t>1. Ievads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_Toc179540617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5</w:t>
            </w:r>
            <w:r w:rsidR="001C25F7" w:rsidRPr="001C25F7">
              <w:rPr>
                <w:noProof/>
                <w:webHidden/>
                <w:szCs w:val="24"/>
              </w:rPr>
              <w:fldChar w:fldCharType="end"/>
            </w:r>
          </w:hyperlink>
        </w:p>
        <w:p w14:paraId="25DBFCAD" w14:textId="0C28EE8C"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18" w:history="1">
            <w:r w:rsidR="001C25F7" w:rsidRPr="001C25F7">
              <w:rPr>
                <w:rStyle w:val="Hyperlink"/>
                <w:noProof/>
                <w:szCs w:val="24"/>
              </w:rPr>
              <w:t>2. Kopsavilkums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_Toc179540618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7</w:t>
            </w:r>
            <w:r w:rsidR="001C25F7" w:rsidRPr="001C25F7">
              <w:rPr>
                <w:noProof/>
                <w:webHidden/>
                <w:szCs w:val="24"/>
              </w:rPr>
              <w:fldChar w:fldCharType="end"/>
            </w:r>
          </w:hyperlink>
        </w:p>
        <w:p w14:paraId="03792F1A" w14:textId="4D2F8916"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19" w:history="1">
            <w:r w:rsidR="001C25F7" w:rsidRPr="001C25F7">
              <w:rPr>
                <w:rStyle w:val="Hyperlink"/>
                <w:noProof/>
                <w:szCs w:val="24"/>
              </w:rPr>
              <w:t>3. Ekonomiskā situācija</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_Toc179540619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8</w:t>
            </w:r>
            <w:r w:rsidR="001C25F7" w:rsidRPr="001C25F7">
              <w:rPr>
                <w:noProof/>
                <w:webHidden/>
                <w:szCs w:val="24"/>
              </w:rPr>
              <w:fldChar w:fldCharType="end"/>
            </w:r>
          </w:hyperlink>
        </w:p>
        <w:p w14:paraId="5B10990A" w14:textId="082FE381" w:rsidR="001C25F7" w:rsidRPr="001C25F7" w:rsidRDefault="008446DE" w:rsidP="001C25F7">
          <w:pPr>
            <w:pStyle w:val="TOC2"/>
            <w:rPr>
              <w:rFonts w:eastAsiaTheme="minorEastAsia"/>
              <w:b w:val="0"/>
              <w:bCs w:val="0"/>
              <w:kern w:val="2"/>
              <w:szCs w:val="24"/>
              <w14:ligatures w14:val="standardContextual"/>
            </w:rPr>
          </w:pPr>
          <w:hyperlink w:anchor="_Toc179540620" w:history="1">
            <w:r w:rsidR="001C25F7" w:rsidRPr="001C25F7">
              <w:rPr>
                <w:rStyle w:val="Hyperlink"/>
                <w:b w:val="0"/>
                <w:bCs w:val="0"/>
                <w:szCs w:val="24"/>
              </w:rPr>
              <w:t>3.1. Ārējā ekonomiskā vide</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_Toc179540620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8</w:t>
            </w:r>
            <w:r w:rsidR="001C25F7" w:rsidRPr="001C25F7">
              <w:rPr>
                <w:b w:val="0"/>
                <w:bCs w:val="0"/>
                <w:webHidden/>
                <w:szCs w:val="24"/>
              </w:rPr>
              <w:fldChar w:fldCharType="end"/>
            </w:r>
          </w:hyperlink>
        </w:p>
        <w:p w14:paraId="26CBEF00" w14:textId="0ADEF416" w:rsidR="001C25F7" w:rsidRPr="001C25F7" w:rsidRDefault="008446DE" w:rsidP="001C25F7">
          <w:pPr>
            <w:pStyle w:val="TOC2"/>
            <w:rPr>
              <w:rFonts w:eastAsiaTheme="minorEastAsia"/>
              <w:b w:val="0"/>
              <w:bCs w:val="0"/>
              <w:kern w:val="2"/>
              <w:szCs w:val="24"/>
              <w14:ligatures w14:val="standardContextual"/>
            </w:rPr>
          </w:pPr>
          <w:hyperlink w:anchor="_Toc179540621" w:history="1">
            <w:r w:rsidR="001C25F7" w:rsidRPr="001C25F7">
              <w:rPr>
                <w:rStyle w:val="Hyperlink"/>
                <w:b w:val="0"/>
                <w:bCs w:val="0"/>
                <w:szCs w:val="24"/>
              </w:rPr>
              <w:t>3.2. Makroekonomiskie rādītāji 2023. gadā un prognozes 2024. gadam</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_Toc179540621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8</w:t>
            </w:r>
            <w:r w:rsidR="001C25F7" w:rsidRPr="001C25F7">
              <w:rPr>
                <w:b w:val="0"/>
                <w:bCs w:val="0"/>
                <w:webHidden/>
                <w:szCs w:val="24"/>
              </w:rPr>
              <w:fldChar w:fldCharType="end"/>
            </w:r>
          </w:hyperlink>
        </w:p>
        <w:p w14:paraId="789C88B8" w14:textId="073FE597" w:rsidR="001C25F7" w:rsidRPr="001C25F7" w:rsidRDefault="008446DE" w:rsidP="001C25F7">
          <w:pPr>
            <w:pStyle w:val="TOC2"/>
            <w:rPr>
              <w:rFonts w:eastAsiaTheme="minorEastAsia"/>
              <w:b w:val="0"/>
              <w:bCs w:val="0"/>
              <w:kern w:val="2"/>
              <w:szCs w:val="24"/>
              <w14:ligatures w14:val="standardContextual"/>
            </w:rPr>
          </w:pPr>
          <w:hyperlink w:anchor="_Toc179540622" w:history="1">
            <w:r w:rsidR="001C25F7" w:rsidRPr="001C25F7">
              <w:rPr>
                <w:rStyle w:val="Hyperlink"/>
                <w:b w:val="0"/>
                <w:bCs w:val="0"/>
                <w:szCs w:val="24"/>
              </w:rPr>
              <w:t>3.3. Makroekonomiskās attīstības scenārijs 2025.-2028. gadu periodam</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_Toc179540622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12</w:t>
            </w:r>
            <w:r w:rsidR="001C25F7" w:rsidRPr="001C25F7">
              <w:rPr>
                <w:b w:val="0"/>
                <w:bCs w:val="0"/>
                <w:webHidden/>
                <w:szCs w:val="24"/>
              </w:rPr>
              <w:fldChar w:fldCharType="end"/>
            </w:r>
          </w:hyperlink>
        </w:p>
        <w:p w14:paraId="2836041D" w14:textId="2B427248"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23" w:history="1">
            <w:r w:rsidR="001C25F7" w:rsidRPr="001C25F7">
              <w:rPr>
                <w:rStyle w:val="Hyperlink"/>
                <w:noProof/>
                <w:szCs w:val="24"/>
              </w:rPr>
              <w:t>4. Fiskālā situācija</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_Toc179540623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15</w:t>
            </w:r>
            <w:r w:rsidR="001C25F7" w:rsidRPr="001C25F7">
              <w:rPr>
                <w:noProof/>
                <w:webHidden/>
                <w:szCs w:val="24"/>
              </w:rPr>
              <w:fldChar w:fldCharType="end"/>
            </w:r>
          </w:hyperlink>
        </w:p>
        <w:p w14:paraId="3B489D62" w14:textId="252CD1C6" w:rsidR="001C25F7" w:rsidRPr="001C25F7" w:rsidRDefault="008446DE" w:rsidP="001C25F7">
          <w:pPr>
            <w:pStyle w:val="TOC2"/>
            <w:rPr>
              <w:rFonts w:eastAsiaTheme="minorEastAsia"/>
              <w:b w:val="0"/>
              <w:bCs w:val="0"/>
              <w:kern w:val="2"/>
              <w:szCs w:val="24"/>
              <w14:ligatures w14:val="standardContextual"/>
            </w:rPr>
          </w:pPr>
          <w:hyperlink w:anchor="_Toc179540624" w:history="1">
            <w:r w:rsidR="001C25F7" w:rsidRPr="001C25F7">
              <w:rPr>
                <w:rStyle w:val="Hyperlink"/>
                <w:b w:val="0"/>
                <w:bCs w:val="0"/>
                <w:szCs w:val="24"/>
              </w:rPr>
              <w:t>4.1. Fiskālie rādītāji 2023. gadā un prognozes 2024. gadam</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_Toc179540624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15</w:t>
            </w:r>
            <w:r w:rsidR="001C25F7" w:rsidRPr="001C25F7">
              <w:rPr>
                <w:b w:val="0"/>
                <w:bCs w:val="0"/>
                <w:webHidden/>
                <w:szCs w:val="24"/>
              </w:rPr>
              <w:fldChar w:fldCharType="end"/>
            </w:r>
          </w:hyperlink>
        </w:p>
        <w:p w14:paraId="6BCA9210" w14:textId="26C6DCEF" w:rsidR="001C25F7" w:rsidRPr="001C25F7" w:rsidRDefault="008446DE" w:rsidP="001C25F7">
          <w:pPr>
            <w:pStyle w:val="TOC2"/>
            <w:rPr>
              <w:rFonts w:eastAsiaTheme="minorEastAsia"/>
              <w:b w:val="0"/>
              <w:bCs w:val="0"/>
              <w:kern w:val="2"/>
              <w:szCs w:val="24"/>
              <w14:ligatures w14:val="standardContextual"/>
            </w:rPr>
          </w:pPr>
          <w:hyperlink w:anchor="_Toc179540625" w:history="1">
            <w:r w:rsidR="001C25F7" w:rsidRPr="001C25F7">
              <w:rPr>
                <w:rStyle w:val="Hyperlink"/>
                <w:rFonts w:eastAsia="Calibri"/>
                <w:b w:val="0"/>
                <w:bCs w:val="0"/>
                <w:szCs w:val="24"/>
              </w:rPr>
              <w:t>4.2. Fiskālās prognozes pie nemainīgas politikas 2025.- 2028. gadu periodam</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_Toc179540625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17</w:t>
            </w:r>
            <w:r w:rsidR="001C25F7" w:rsidRPr="001C25F7">
              <w:rPr>
                <w:b w:val="0"/>
                <w:bCs w:val="0"/>
                <w:webHidden/>
                <w:szCs w:val="24"/>
              </w:rPr>
              <w:fldChar w:fldCharType="end"/>
            </w:r>
          </w:hyperlink>
        </w:p>
        <w:p w14:paraId="55526B5E" w14:textId="1A856D08"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26" w:history="1">
            <w:r w:rsidR="001C25F7" w:rsidRPr="001C25F7">
              <w:rPr>
                <w:rStyle w:val="Hyperlink"/>
                <w:noProof/>
                <w:szCs w:val="24"/>
              </w:rPr>
              <w:t>5. Fiskālā trajektorija</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_Toc179540626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20</w:t>
            </w:r>
            <w:r w:rsidR="001C25F7" w:rsidRPr="001C25F7">
              <w:rPr>
                <w:noProof/>
                <w:webHidden/>
                <w:szCs w:val="24"/>
              </w:rPr>
              <w:fldChar w:fldCharType="end"/>
            </w:r>
          </w:hyperlink>
        </w:p>
        <w:p w14:paraId="55EDE338" w14:textId="16FE8338"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27" w:history="1">
            <w:r w:rsidR="001C25F7" w:rsidRPr="001C25F7">
              <w:rPr>
                <w:rStyle w:val="Hyperlink"/>
                <w:noProof/>
                <w:szCs w:val="24"/>
              </w:rPr>
              <w:t>6. Fiskālās politikas noteicošie faktori</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_Toc179540627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27</w:t>
            </w:r>
            <w:r w:rsidR="001C25F7" w:rsidRPr="001C25F7">
              <w:rPr>
                <w:noProof/>
                <w:webHidden/>
                <w:szCs w:val="24"/>
              </w:rPr>
              <w:fldChar w:fldCharType="end"/>
            </w:r>
          </w:hyperlink>
        </w:p>
        <w:p w14:paraId="2232AEAB" w14:textId="3FEDEEAB" w:rsidR="001C25F7" w:rsidRPr="001C25F7" w:rsidRDefault="008446DE" w:rsidP="001C25F7">
          <w:pPr>
            <w:pStyle w:val="TOC2"/>
            <w:rPr>
              <w:rFonts w:eastAsiaTheme="minorEastAsia"/>
              <w:b w:val="0"/>
              <w:bCs w:val="0"/>
              <w:kern w:val="2"/>
              <w:szCs w:val="24"/>
              <w14:ligatures w14:val="standardContextual"/>
            </w:rPr>
          </w:pPr>
          <w:hyperlink w:anchor="_Toc179540628" w:history="1">
            <w:r w:rsidR="001C25F7" w:rsidRPr="001C25F7">
              <w:rPr>
                <w:rStyle w:val="Hyperlink"/>
                <w:b w:val="0"/>
                <w:bCs w:val="0"/>
                <w:szCs w:val="24"/>
              </w:rPr>
              <w:t>6.1. Vidēja termiņa budžeta prioritātes</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_Toc179540628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27</w:t>
            </w:r>
            <w:r w:rsidR="001C25F7" w:rsidRPr="001C25F7">
              <w:rPr>
                <w:b w:val="0"/>
                <w:bCs w:val="0"/>
                <w:webHidden/>
                <w:szCs w:val="24"/>
              </w:rPr>
              <w:fldChar w:fldCharType="end"/>
            </w:r>
          </w:hyperlink>
        </w:p>
        <w:p w14:paraId="0D638900" w14:textId="0F881683" w:rsidR="001C25F7" w:rsidRPr="001C25F7" w:rsidRDefault="008446DE" w:rsidP="001C25F7">
          <w:pPr>
            <w:pStyle w:val="TOC2"/>
            <w:rPr>
              <w:rFonts w:eastAsiaTheme="minorEastAsia"/>
              <w:b w:val="0"/>
              <w:bCs w:val="0"/>
              <w:kern w:val="2"/>
              <w:szCs w:val="24"/>
              <w14:ligatures w14:val="standardContextual"/>
            </w:rPr>
          </w:pPr>
          <w:hyperlink w:anchor="_Toc179540629" w:history="1">
            <w:r w:rsidR="001C25F7" w:rsidRPr="001C25F7">
              <w:rPr>
                <w:rStyle w:val="Hyperlink"/>
                <w:b w:val="0"/>
                <w:bCs w:val="0"/>
                <w:szCs w:val="24"/>
              </w:rPr>
              <w:t>6.2. Fiskālie nosacījumi</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_Toc179540629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29</w:t>
            </w:r>
            <w:r w:rsidR="001C25F7" w:rsidRPr="001C25F7">
              <w:rPr>
                <w:b w:val="0"/>
                <w:bCs w:val="0"/>
                <w:webHidden/>
                <w:szCs w:val="24"/>
              </w:rPr>
              <w:fldChar w:fldCharType="end"/>
            </w:r>
          </w:hyperlink>
        </w:p>
        <w:p w14:paraId="3E8B854A" w14:textId="538BC6BE"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30" w:history="1">
            <w:r w:rsidR="001C25F7" w:rsidRPr="001C25F7">
              <w:rPr>
                <w:rStyle w:val="Hyperlink"/>
                <w:noProof/>
                <w:szCs w:val="24"/>
              </w:rPr>
              <w:t>6.2.1. Strukturālās bilances fiskālais nosacījums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_Toc179540630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29</w:t>
            </w:r>
            <w:r w:rsidR="001C25F7" w:rsidRPr="001C25F7">
              <w:rPr>
                <w:noProof/>
                <w:webHidden/>
                <w:szCs w:val="24"/>
              </w:rPr>
              <w:fldChar w:fldCharType="end"/>
            </w:r>
          </w:hyperlink>
        </w:p>
        <w:p w14:paraId="09853BE2" w14:textId="161983E5"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31" w:history="1">
            <w:r w:rsidR="001C25F7" w:rsidRPr="001C25F7">
              <w:rPr>
                <w:rStyle w:val="Hyperlink"/>
                <w:noProof/>
                <w:szCs w:val="24"/>
              </w:rPr>
              <w:t>6.2.2. Strukturālās primārās bilances nosacījums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_Toc179540631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29</w:t>
            </w:r>
            <w:r w:rsidR="001C25F7" w:rsidRPr="001C25F7">
              <w:rPr>
                <w:noProof/>
                <w:webHidden/>
                <w:szCs w:val="24"/>
              </w:rPr>
              <w:fldChar w:fldCharType="end"/>
            </w:r>
          </w:hyperlink>
        </w:p>
        <w:p w14:paraId="5756F1F7" w14:textId="6337F2A9"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32" w:history="1">
            <w:r w:rsidR="001C25F7" w:rsidRPr="001C25F7">
              <w:rPr>
                <w:rStyle w:val="Hyperlink"/>
                <w:noProof/>
                <w:szCs w:val="24"/>
              </w:rPr>
              <w:t>6.2.3. Neto izdevumu pieauguma nosacījums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_Toc179540632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31</w:t>
            </w:r>
            <w:r w:rsidR="001C25F7" w:rsidRPr="001C25F7">
              <w:rPr>
                <w:noProof/>
                <w:webHidden/>
                <w:szCs w:val="24"/>
              </w:rPr>
              <w:fldChar w:fldCharType="end"/>
            </w:r>
          </w:hyperlink>
        </w:p>
        <w:p w14:paraId="3D8D78A8" w14:textId="68A78C8C"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33" w:history="1">
            <w:r w:rsidR="001C25F7" w:rsidRPr="001C25F7">
              <w:rPr>
                <w:rStyle w:val="Hyperlink"/>
                <w:noProof/>
                <w:szCs w:val="24"/>
              </w:rPr>
              <w:t>6.2.4. Noteicošais fiskālais nosacījums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_Toc179540633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31</w:t>
            </w:r>
            <w:r w:rsidR="001C25F7" w:rsidRPr="001C25F7">
              <w:rPr>
                <w:noProof/>
                <w:webHidden/>
                <w:szCs w:val="24"/>
              </w:rPr>
              <w:fldChar w:fldCharType="end"/>
            </w:r>
          </w:hyperlink>
        </w:p>
        <w:p w14:paraId="775A9C65" w14:textId="1A684EB4" w:rsidR="001C25F7" w:rsidRPr="001C25F7" w:rsidRDefault="008446DE" w:rsidP="001C25F7">
          <w:pPr>
            <w:pStyle w:val="TOC2"/>
            <w:rPr>
              <w:rFonts w:eastAsiaTheme="minorEastAsia"/>
              <w:b w:val="0"/>
              <w:bCs w:val="0"/>
              <w:kern w:val="2"/>
              <w:szCs w:val="24"/>
              <w14:ligatures w14:val="standardContextual"/>
            </w:rPr>
          </w:pPr>
          <w:hyperlink w:anchor="_Toc179540634" w:history="1">
            <w:r w:rsidR="001C25F7" w:rsidRPr="001C25F7">
              <w:rPr>
                <w:rStyle w:val="Hyperlink"/>
                <w:b w:val="0"/>
                <w:bCs w:val="0"/>
                <w:szCs w:val="24"/>
              </w:rPr>
              <w:t>6.3. Fiskālie mērķi un prognozes pie mainīgas politikas 2025. - 2028. gadu periodam</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_Toc179540634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33</w:t>
            </w:r>
            <w:r w:rsidR="001C25F7" w:rsidRPr="001C25F7">
              <w:rPr>
                <w:b w:val="0"/>
                <w:bCs w:val="0"/>
                <w:webHidden/>
                <w:szCs w:val="24"/>
              </w:rPr>
              <w:fldChar w:fldCharType="end"/>
            </w:r>
          </w:hyperlink>
        </w:p>
        <w:p w14:paraId="6A2EC6F3" w14:textId="22419CFD"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35" w:history="1">
            <w:r w:rsidR="001C25F7" w:rsidRPr="001C25F7">
              <w:rPr>
                <w:rStyle w:val="Hyperlink"/>
                <w:noProof/>
                <w:szCs w:val="24"/>
              </w:rPr>
              <w:t>7. Politikas pasākumi</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_Toc179540635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35</w:t>
            </w:r>
            <w:r w:rsidR="001C25F7" w:rsidRPr="001C25F7">
              <w:rPr>
                <w:noProof/>
                <w:webHidden/>
                <w:szCs w:val="24"/>
              </w:rPr>
              <w:fldChar w:fldCharType="end"/>
            </w:r>
          </w:hyperlink>
        </w:p>
        <w:p w14:paraId="1F9346A6" w14:textId="76B6268F" w:rsidR="001C25F7" w:rsidRPr="001C25F7" w:rsidRDefault="008446DE" w:rsidP="001C25F7">
          <w:pPr>
            <w:pStyle w:val="TOC2"/>
            <w:rPr>
              <w:rFonts w:eastAsiaTheme="minorEastAsia"/>
              <w:b w:val="0"/>
              <w:bCs w:val="0"/>
              <w:kern w:val="2"/>
              <w:szCs w:val="24"/>
              <w14:ligatures w14:val="standardContextual"/>
            </w:rPr>
          </w:pPr>
          <w:hyperlink w:anchor="_Toc179540636" w:history="1">
            <w:r w:rsidR="001C25F7" w:rsidRPr="001C25F7">
              <w:rPr>
                <w:rStyle w:val="Hyperlink"/>
                <w:b w:val="0"/>
                <w:bCs w:val="0"/>
                <w:szCs w:val="24"/>
              </w:rPr>
              <w:t>7.1. Nemainīgas politikas scenārijā iekļautie diskrecionārie ieņēmumu pasākumi</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_Toc179540636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35</w:t>
            </w:r>
            <w:r w:rsidR="001C25F7" w:rsidRPr="001C25F7">
              <w:rPr>
                <w:b w:val="0"/>
                <w:bCs w:val="0"/>
                <w:webHidden/>
                <w:szCs w:val="24"/>
              </w:rPr>
              <w:fldChar w:fldCharType="end"/>
            </w:r>
          </w:hyperlink>
        </w:p>
        <w:p w14:paraId="700A1722" w14:textId="24630120" w:rsidR="001C25F7" w:rsidRPr="001C25F7" w:rsidRDefault="008446DE" w:rsidP="001C25F7">
          <w:pPr>
            <w:pStyle w:val="TOC2"/>
            <w:rPr>
              <w:rFonts w:eastAsiaTheme="minorEastAsia"/>
              <w:b w:val="0"/>
              <w:bCs w:val="0"/>
              <w:kern w:val="2"/>
              <w:szCs w:val="24"/>
              <w14:ligatures w14:val="standardContextual"/>
            </w:rPr>
          </w:pPr>
          <w:hyperlink w:anchor="_Toc179540637" w:history="1">
            <w:r w:rsidR="001C25F7" w:rsidRPr="001C25F7">
              <w:rPr>
                <w:rStyle w:val="Hyperlink"/>
                <w:b w:val="0"/>
                <w:bCs w:val="0"/>
                <w:szCs w:val="24"/>
              </w:rPr>
              <w:t>7.2. Jaunie pasākumi</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_Toc179540637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38</w:t>
            </w:r>
            <w:r w:rsidR="001C25F7" w:rsidRPr="001C25F7">
              <w:rPr>
                <w:b w:val="0"/>
                <w:bCs w:val="0"/>
                <w:webHidden/>
                <w:szCs w:val="24"/>
              </w:rPr>
              <w:fldChar w:fldCharType="end"/>
            </w:r>
          </w:hyperlink>
        </w:p>
        <w:p w14:paraId="4E266278" w14:textId="217ABB74"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38" w:history="1">
            <w:r w:rsidR="001C25F7" w:rsidRPr="001C25F7">
              <w:rPr>
                <w:rStyle w:val="Hyperlink"/>
                <w:noProof/>
                <w:szCs w:val="24"/>
              </w:rPr>
              <w:t>7.2.1. Jaunie diskrecionārie ieņēmumu pasākumi</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_Toc179540638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38</w:t>
            </w:r>
            <w:r w:rsidR="001C25F7" w:rsidRPr="001C25F7">
              <w:rPr>
                <w:noProof/>
                <w:webHidden/>
                <w:szCs w:val="24"/>
              </w:rPr>
              <w:fldChar w:fldCharType="end"/>
            </w:r>
          </w:hyperlink>
        </w:p>
        <w:p w14:paraId="319C7DD2" w14:textId="5C6834B8"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39" w:history="1">
            <w:r w:rsidR="001C25F7" w:rsidRPr="001C25F7">
              <w:rPr>
                <w:rStyle w:val="Hyperlink"/>
                <w:noProof/>
                <w:szCs w:val="24"/>
              </w:rPr>
              <w:t>7.2.2. Jaunie nediskrecionārie ieņēmumu pasākumi</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_Toc179540639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40</w:t>
            </w:r>
            <w:r w:rsidR="001C25F7" w:rsidRPr="001C25F7">
              <w:rPr>
                <w:noProof/>
                <w:webHidden/>
                <w:szCs w:val="24"/>
              </w:rPr>
              <w:fldChar w:fldCharType="end"/>
            </w:r>
          </w:hyperlink>
        </w:p>
        <w:p w14:paraId="5B93AE2A" w14:textId="735DB403"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40" w:history="1">
            <w:r w:rsidR="001C25F7" w:rsidRPr="001C25F7">
              <w:rPr>
                <w:rStyle w:val="Hyperlink"/>
                <w:noProof/>
                <w:szCs w:val="24"/>
              </w:rPr>
              <w:t>7.2.3. Jaunie izdevumu pasākumi</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_Toc179540640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41</w:t>
            </w:r>
            <w:r w:rsidR="001C25F7" w:rsidRPr="001C25F7">
              <w:rPr>
                <w:noProof/>
                <w:webHidden/>
                <w:szCs w:val="24"/>
              </w:rPr>
              <w:fldChar w:fldCharType="end"/>
            </w:r>
          </w:hyperlink>
        </w:p>
        <w:p w14:paraId="4B8D6908" w14:textId="551FF653"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41" w:history="1">
            <w:r w:rsidR="001C25F7" w:rsidRPr="001C25F7">
              <w:rPr>
                <w:rStyle w:val="Hyperlink"/>
                <w:noProof/>
                <w:szCs w:val="24"/>
              </w:rPr>
              <w:t>7.2.4. Nodokļu pārskatīšanas pakotne</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_Toc179540641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44</w:t>
            </w:r>
            <w:r w:rsidR="001C25F7" w:rsidRPr="001C25F7">
              <w:rPr>
                <w:noProof/>
                <w:webHidden/>
                <w:szCs w:val="24"/>
              </w:rPr>
              <w:fldChar w:fldCharType="end"/>
            </w:r>
          </w:hyperlink>
        </w:p>
        <w:p w14:paraId="0B0347B4" w14:textId="17573120" w:rsidR="001C25F7" w:rsidRPr="001C25F7" w:rsidRDefault="008446DE" w:rsidP="001C25F7">
          <w:pPr>
            <w:pStyle w:val="TOC3"/>
            <w:spacing w:after="0" w:line="240" w:lineRule="auto"/>
            <w:rPr>
              <w:rFonts w:eastAsiaTheme="minorEastAsia"/>
              <w:noProof/>
              <w:kern w:val="2"/>
              <w:szCs w:val="24"/>
              <w:lang w:eastAsia="lv-LV"/>
              <w14:ligatures w14:val="standardContextual"/>
            </w:rPr>
          </w:pPr>
          <w:hyperlink w:anchor="_Toc179540642" w:history="1">
            <w:r w:rsidR="001C25F7" w:rsidRPr="001C25F7">
              <w:rPr>
                <w:rStyle w:val="Hyperlink"/>
                <w:noProof/>
                <w:szCs w:val="24"/>
              </w:rPr>
              <w:t>7.2.5. Jauno pasākumu kopējā ietekme</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_Toc179540642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46</w:t>
            </w:r>
            <w:r w:rsidR="001C25F7" w:rsidRPr="001C25F7">
              <w:rPr>
                <w:noProof/>
                <w:webHidden/>
                <w:szCs w:val="24"/>
              </w:rPr>
              <w:fldChar w:fldCharType="end"/>
            </w:r>
          </w:hyperlink>
        </w:p>
        <w:p w14:paraId="17E2782B" w14:textId="3FDDB14E"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43" w:history="1">
            <w:r w:rsidR="001C25F7" w:rsidRPr="001C25F7">
              <w:rPr>
                <w:rStyle w:val="Hyperlink"/>
                <w:noProof/>
                <w:szCs w:val="24"/>
              </w:rPr>
              <w:t>8. Valsts parāda ilgtermiņa prognozes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_Toc179540643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47</w:t>
            </w:r>
            <w:r w:rsidR="001C25F7" w:rsidRPr="001C25F7">
              <w:rPr>
                <w:noProof/>
                <w:webHidden/>
                <w:szCs w:val="24"/>
              </w:rPr>
              <w:fldChar w:fldCharType="end"/>
            </w:r>
          </w:hyperlink>
        </w:p>
        <w:p w14:paraId="6628D0CD" w14:textId="7D0E953E"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44" w:history="1">
            <w:r w:rsidR="001C25F7" w:rsidRPr="001C25F7">
              <w:rPr>
                <w:rStyle w:val="Hyperlink"/>
                <w:noProof/>
                <w:szCs w:val="24"/>
              </w:rPr>
              <w:t>9. Reformas un investīcijas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_Toc179540644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48</w:t>
            </w:r>
            <w:r w:rsidR="001C25F7" w:rsidRPr="001C25F7">
              <w:rPr>
                <w:noProof/>
                <w:webHidden/>
                <w:szCs w:val="24"/>
              </w:rPr>
              <w:fldChar w:fldCharType="end"/>
            </w:r>
          </w:hyperlink>
        </w:p>
        <w:p w14:paraId="46DF37BE" w14:textId="73C561C7" w:rsidR="001C25F7" w:rsidRPr="001C25F7" w:rsidRDefault="008446DE" w:rsidP="001C25F7">
          <w:pPr>
            <w:pStyle w:val="TOC2"/>
            <w:rPr>
              <w:rFonts w:eastAsiaTheme="minorEastAsia"/>
              <w:b w:val="0"/>
              <w:bCs w:val="0"/>
              <w:kern w:val="2"/>
              <w:szCs w:val="24"/>
              <w14:ligatures w14:val="standardContextual"/>
            </w:rPr>
          </w:pPr>
          <w:hyperlink w:anchor="_Toc179540645" w:history="1">
            <w:r w:rsidR="001C25F7" w:rsidRPr="001C25F7">
              <w:rPr>
                <w:rStyle w:val="Hyperlink"/>
                <w:b w:val="0"/>
                <w:bCs w:val="0"/>
                <w:szCs w:val="24"/>
              </w:rPr>
              <w:t>9.1. Reformu un investīciju pasākumi</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_Toc179540645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48</w:t>
            </w:r>
            <w:r w:rsidR="001C25F7" w:rsidRPr="001C25F7">
              <w:rPr>
                <w:b w:val="0"/>
                <w:bCs w:val="0"/>
                <w:webHidden/>
                <w:szCs w:val="24"/>
              </w:rPr>
              <w:fldChar w:fldCharType="end"/>
            </w:r>
          </w:hyperlink>
        </w:p>
        <w:p w14:paraId="7C6A43BE" w14:textId="204A8B7E" w:rsidR="001C25F7" w:rsidRPr="001C25F7" w:rsidRDefault="008446DE" w:rsidP="001C25F7">
          <w:pPr>
            <w:pStyle w:val="TOC2"/>
            <w:rPr>
              <w:rFonts w:eastAsiaTheme="minorEastAsia"/>
              <w:b w:val="0"/>
              <w:bCs w:val="0"/>
              <w:kern w:val="2"/>
              <w:szCs w:val="24"/>
              <w14:ligatures w14:val="standardContextual"/>
            </w:rPr>
          </w:pPr>
          <w:hyperlink w:anchor="_Toc179540646" w:history="1">
            <w:r w:rsidR="001C25F7" w:rsidRPr="001C25F7">
              <w:rPr>
                <w:rStyle w:val="Hyperlink"/>
                <w:b w:val="0"/>
                <w:bCs w:val="0"/>
                <w:szCs w:val="24"/>
              </w:rPr>
              <w:t>9.2. Prognozes par investīciju vajadzībām</w:t>
            </w:r>
            <w:r w:rsidR="001C25F7" w:rsidRPr="001C25F7">
              <w:rPr>
                <w:b w:val="0"/>
                <w:bCs w:val="0"/>
                <w:webHidden/>
                <w:szCs w:val="24"/>
              </w:rPr>
              <w:tab/>
            </w:r>
            <w:r w:rsidR="001C25F7" w:rsidRPr="001C25F7">
              <w:rPr>
                <w:b w:val="0"/>
                <w:bCs w:val="0"/>
                <w:webHidden/>
                <w:szCs w:val="24"/>
              </w:rPr>
              <w:fldChar w:fldCharType="begin"/>
            </w:r>
            <w:r w:rsidR="001C25F7" w:rsidRPr="001C25F7">
              <w:rPr>
                <w:b w:val="0"/>
                <w:bCs w:val="0"/>
                <w:webHidden/>
                <w:szCs w:val="24"/>
              </w:rPr>
              <w:instrText xml:space="preserve"> PAGEREF _Toc179540646 \h </w:instrText>
            </w:r>
            <w:r w:rsidR="001C25F7" w:rsidRPr="001C25F7">
              <w:rPr>
                <w:b w:val="0"/>
                <w:bCs w:val="0"/>
                <w:webHidden/>
                <w:szCs w:val="24"/>
              </w:rPr>
            </w:r>
            <w:r w:rsidR="001C25F7" w:rsidRPr="001C25F7">
              <w:rPr>
                <w:b w:val="0"/>
                <w:bCs w:val="0"/>
                <w:webHidden/>
                <w:szCs w:val="24"/>
              </w:rPr>
              <w:fldChar w:fldCharType="separate"/>
            </w:r>
            <w:r w:rsidR="001C25F7" w:rsidRPr="001C25F7">
              <w:rPr>
                <w:b w:val="0"/>
                <w:bCs w:val="0"/>
                <w:webHidden/>
                <w:szCs w:val="24"/>
              </w:rPr>
              <w:t>174</w:t>
            </w:r>
            <w:r w:rsidR="001C25F7" w:rsidRPr="001C25F7">
              <w:rPr>
                <w:b w:val="0"/>
                <w:bCs w:val="0"/>
                <w:webHidden/>
                <w:szCs w:val="24"/>
              </w:rPr>
              <w:fldChar w:fldCharType="end"/>
            </w:r>
          </w:hyperlink>
        </w:p>
        <w:p w14:paraId="13B5DA6B" w14:textId="4CE762C6"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47" w:history="1">
            <w:r w:rsidR="001C25F7" w:rsidRPr="001C25F7">
              <w:rPr>
                <w:rStyle w:val="Hyperlink"/>
                <w:noProof/>
                <w:szCs w:val="24"/>
              </w:rPr>
              <w:t>10. Fiskālie riski</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_Toc179540647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181</w:t>
            </w:r>
            <w:r w:rsidR="001C25F7" w:rsidRPr="001C25F7">
              <w:rPr>
                <w:noProof/>
                <w:webHidden/>
                <w:szCs w:val="24"/>
              </w:rPr>
              <w:fldChar w:fldCharType="end"/>
            </w:r>
          </w:hyperlink>
        </w:p>
        <w:p w14:paraId="4289013B" w14:textId="7430B0B4"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48" w:history="1">
            <w:r w:rsidR="001C25F7" w:rsidRPr="001C25F7">
              <w:rPr>
                <w:rStyle w:val="Hyperlink"/>
                <w:noProof/>
                <w:szCs w:val="24"/>
              </w:rPr>
              <w:t>1. Pielikums – EK tehniskā informācija</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_Toc179540648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185</w:t>
            </w:r>
            <w:r w:rsidR="001C25F7" w:rsidRPr="001C25F7">
              <w:rPr>
                <w:noProof/>
                <w:webHidden/>
                <w:szCs w:val="24"/>
              </w:rPr>
              <w:fldChar w:fldCharType="end"/>
            </w:r>
          </w:hyperlink>
        </w:p>
        <w:p w14:paraId="1D00FD6B" w14:textId="757D95B0" w:rsidR="001C25F7" w:rsidRPr="001C25F7" w:rsidRDefault="008446DE" w:rsidP="001C25F7">
          <w:pPr>
            <w:pStyle w:val="TOC1"/>
            <w:spacing w:after="0" w:line="240" w:lineRule="auto"/>
            <w:rPr>
              <w:rFonts w:eastAsiaTheme="minorEastAsia"/>
              <w:noProof/>
              <w:kern w:val="2"/>
              <w:szCs w:val="24"/>
              <w:lang w:eastAsia="lv-LV"/>
              <w14:ligatures w14:val="standardContextual"/>
            </w:rPr>
          </w:pPr>
          <w:hyperlink w:anchor="_Toc179540649" w:history="1">
            <w:r w:rsidR="001C25F7" w:rsidRPr="001C25F7">
              <w:rPr>
                <w:rStyle w:val="Hyperlink"/>
                <w:noProof/>
                <w:szCs w:val="24"/>
              </w:rPr>
              <w:t>2. Pielikums – FDP atzinums</w:t>
            </w:r>
            <w:r w:rsidR="001C25F7" w:rsidRPr="001C25F7">
              <w:rPr>
                <w:noProof/>
                <w:webHidden/>
                <w:szCs w:val="24"/>
              </w:rPr>
              <w:tab/>
            </w:r>
            <w:r w:rsidR="001C25F7" w:rsidRPr="001C25F7">
              <w:rPr>
                <w:noProof/>
                <w:webHidden/>
                <w:szCs w:val="24"/>
              </w:rPr>
              <w:fldChar w:fldCharType="begin"/>
            </w:r>
            <w:r w:rsidR="001C25F7" w:rsidRPr="001C25F7">
              <w:rPr>
                <w:noProof/>
                <w:webHidden/>
                <w:szCs w:val="24"/>
              </w:rPr>
              <w:instrText xml:space="preserve"> PAGEREF _Toc179540649 \h </w:instrText>
            </w:r>
            <w:r w:rsidR="001C25F7" w:rsidRPr="001C25F7">
              <w:rPr>
                <w:noProof/>
                <w:webHidden/>
                <w:szCs w:val="24"/>
              </w:rPr>
            </w:r>
            <w:r w:rsidR="001C25F7" w:rsidRPr="001C25F7">
              <w:rPr>
                <w:noProof/>
                <w:webHidden/>
                <w:szCs w:val="24"/>
              </w:rPr>
              <w:fldChar w:fldCharType="separate"/>
            </w:r>
            <w:r w:rsidR="001C25F7" w:rsidRPr="001C25F7">
              <w:rPr>
                <w:noProof/>
                <w:webHidden/>
                <w:szCs w:val="24"/>
              </w:rPr>
              <w:t>187</w:t>
            </w:r>
            <w:r w:rsidR="001C25F7" w:rsidRPr="001C25F7">
              <w:rPr>
                <w:noProof/>
                <w:webHidden/>
                <w:szCs w:val="24"/>
              </w:rPr>
              <w:fldChar w:fldCharType="end"/>
            </w:r>
          </w:hyperlink>
        </w:p>
        <w:p w14:paraId="34578FFC" w14:textId="4A06A233" w:rsidR="00CE7515" w:rsidRPr="001C25F7" w:rsidRDefault="00BF4753" w:rsidP="001C25F7">
          <w:pPr>
            <w:spacing w:after="0" w:line="240" w:lineRule="auto"/>
            <w:rPr>
              <w:rFonts w:cs="Times New Roman"/>
              <w:spacing w:val="-4"/>
              <w:szCs w:val="24"/>
            </w:rPr>
          </w:pPr>
          <w:r w:rsidRPr="001C25F7">
            <w:rPr>
              <w:rFonts w:cs="Times New Roman"/>
              <w:spacing w:val="-4"/>
              <w:szCs w:val="24"/>
            </w:rPr>
            <w:fldChar w:fldCharType="end"/>
          </w:r>
        </w:p>
      </w:sdtContent>
    </w:sdt>
    <w:p w14:paraId="3FA9FDAE" w14:textId="742FA673" w:rsidR="00CE7515" w:rsidRPr="002869EC" w:rsidRDefault="00CB1C78" w:rsidP="006357B3">
      <w:pPr>
        <w:spacing w:after="0" w:line="240" w:lineRule="auto"/>
        <w:ind w:firstLine="0"/>
        <w:jc w:val="center"/>
        <w:rPr>
          <w:rFonts w:eastAsia="Times New Roman" w:cs="Times New Roman"/>
          <w:b/>
          <w:szCs w:val="20"/>
          <w:highlight w:val="lightGray"/>
        </w:rPr>
      </w:pPr>
      <w:r>
        <w:rPr>
          <w:rFonts w:eastAsia="Times New Roman" w:cs="Times New Roman"/>
          <w:noProof/>
          <w:sz w:val="20"/>
          <w:szCs w:val="16"/>
        </w:rPr>
        <w:drawing>
          <wp:anchor distT="0" distB="0" distL="114300" distR="114300" simplePos="0" relativeHeight="251673600" behindDoc="0" locked="0" layoutInCell="1" allowOverlap="1" wp14:anchorId="293DB9D1" wp14:editId="13692E86">
            <wp:simplePos x="0" y="0"/>
            <wp:positionH relativeFrom="page">
              <wp:align>left</wp:align>
            </wp:positionH>
            <wp:positionV relativeFrom="page">
              <wp:posOffset>7763726</wp:posOffset>
            </wp:positionV>
            <wp:extent cx="4645660" cy="2944495"/>
            <wp:effectExtent l="0" t="0" r="2540" b="8255"/>
            <wp:wrapNone/>
            <wp:docPr id="783534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5660" cy="2944495"/>
                    </a:xfrm>
                    <a:prstGeom prst="rect">
                      <a:avLst/>
                    </a:prstGeom>
                    <a:noFill/>
                  </pic:spPr>
                </pic:pic>
              </a:graphicData>
            </a:graphic>
            <wp14:sizeRelH relativeFrom="page">
              <wp14:pctWidth>0</wp14:pctWidth>
            </wp14:sizeRelH>
            <wp14:sizeRelV relativeFrom="page">
              <wp14:pctHeight>0</wp14:pctHeight>
            </wp14:sizeRelV>
          </wp:anchor>
        </w:drawing>
      </w:r>
      <w:r w:rsidR="00427004" w:rsidRPr="009B1486">
        <w:rPr>
          <w:rFonts w:eastAsia="Times New Roman" w:cs="Times New Roman"/>
          <w:sz w:val="20"/>
          <w:szCs w:val="16"/>
        </w:rPr>
        <w:br w:type="page"/>
      </w:r>
      <w:r w:rsidR="00AA4192" w:rsidRPr="00AA65A7">
        <w:rPr>
          <w:rFonts w:eastAsia="Times New Roman" w:cs="Times New Roman"/>
          <w:b/>
          <w:noProof/>
          <w:szCs w:val="20"/>
        </w:rPr>
        <w:lastRenderedPageBreak/>
        <w:drawing>
          <wp:anchor distT="0" distB="0" distL="114300" distR="114300" simplePos="0" relativeHeight="251666432" behindDoc="1" locked="0" layoutInCell="1" allowOverlap="1" wp14:anchorId="2B781075" wp14:editId="5AD66716">
            <wp:simplePos x="0" y="0"/>
            <wp:positionH relativeFrom="page">
              <wp:align>right</wp:align>
            </wp:positionH>
            <wp:positionV relativeFrom="page">
              <wp:posOffset>-71755</wp:posOffset>
            </wp:positionV>
            <wp:extent cx="2499995" cy="1057275"/>
            <wp:effectExtent l="0" t="0" r="0" b="0"/>
            <wp:wrapNone/>
            <wp:docPr id="25373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l="29722" b="70278"/>
                    <a:stretch/>
                  </pic:blipFill>
                  <pic:spPr bwMode="auto">
                    <a:xfrm>
                      <a:off x="0" y="0"/>
                      <a:ext cx="2499995"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E7515" w:rsidRPr="002869EC">
        <w:rPr>
          <w:rFonts w:eastAsia="Times New Roman" w:cs="Times New Roman"/>
          <w:b/>
          <w:szCs w:val="20"/>
        </w:rPr>
        <w:t>VISBIEŽĀK LIETOTIE SAĪSINĀJUMI</w:t>
      </w:r>
    </w:p>
    <w:p w14:paraId="7775CB8F" w14:textId="77777777" w:rsidR="00CE7515" w:rsidRPr="002869EC" w:rsidRDefault="00CE7515" w:rsidP="006357B3">
      <w:pPr>
        <w:widowControl w:val="0"/>
        <w:tabs>
          <w:tab w:val="left" w:pos="5880"/>
        </w:tabs>
        <w:spacing w:line="240" w:lineRule="auto"/>
        <w:ind w:firstLine="0"/>
        <w:rPr>
          <w:rFonts w:eastAsia="Times New Roman" w:cs="Times New Roman"/>
          <w:szCs w:val="20"/>
          <w:highlight w:val="lightGray"/>
        </w:rPr>
      </w:pPr>
    </w:p>
    <w:tbl>
      <w:tblPr>
        <w:tblW w:w="9214" w:type="dxa"/>
        <w:tblLook w:val="04A0" w:firstRow="1" w:lastRow="0" w:firstColumn="1" w:lastColumn="0" w:noHBand="0" w:noVBand="1"/>
      </w:tblPr>
      <w:tblGrid>
        <w:gridCol w:w="1276"/>
        <w:gridCol w:w="7938"/>
      </w:tblGrid>
      <w:tr w:rsidR="00CE7515" w:rsidRPr="002869EC" w14:paraId="663B2892" w14:textId="77777777" w:rsidTr="00085AFE">
        <w:trPr>
          <w:trHeight w:val="269"/>
        </w:trPr>
        <w:tc>
          <w:tcPr>
            <w:tcW w:w="1276" w:type="dxa"/>
            <w:shd w:val="clear" w:color="auto" w:fill="auto"/>
          </w:tcPr>
          <w:p w14:paraId="4D61364E" w14:textId="0F79C374" w:rsidR="00CE7515" w:rsidRPr="00FC3DA6" w:rsidRDefault="00F52171" w:rsidP="006357B3">
            <w:pPr>
              <w:tabs>
                <w:tab w:val="left" w:pos="1494"/>
              </w:tabs>
              <w:spacing w:after="0" w:line="240" w:lineRule="auto"/>
              <w:ind w:firstLine="0"/>
              <w:rPr>
                <w:rFonts w:eastAsia="Calibri" w:cs="Times New Roman"/>
                <w:szCs w:val="24"/>
              </w:rPr>
            </w:pPr>
            <w:proofErr w:type="spellStart"/>
            <w:r w:rsidRPr="00FC3DA6">
              <w:rPr>
                <w:rFonts w:eastAsia="Calibri" w:cs="Times New Roman"/>
                <w:szCs w:val="24"/>
              </w:rPr>
              <w:t>AiM</w:t>
            </w:r>
            <w:proofErr w:type="spellEnd"/>
          </w:p>
        </w:tc>
        <w:tc>
          <w:tcPr>
            <w:tcW w:w="7938" w:type="dxa"/>
            <w:shd w:val="clear" w:color="auto" w:fill="auto"/>
          </w:tcPr>
          <w:p w14:paraId="256D1E96" w14:textId="30203A91" w:rsidR="00CE7515" w:rsidRPr="00FC3DA6" w:rsidRDefault="00F52171" w:rsidP="006357B3">
            <w:pPr>
              <w:tabs>
                <w:tab w:val="left" w:pos="1494"/>
              </w:tabs>
              <w:spacing w:after="0" w:line="240" w:lineRule="auto"/>
              <w:ind w:firstLine="0"/>
              <w:rPr>
                <w:rFonts w:eastAsia="Calibri" w:cs="Times New Roman"/>
                <w:szCs w:val="24"/>
              </w:rPr>
            </w:pPr>
            <w:r w:rsidRPr="00FC3DA6">
              <w:rPr>
                <w:rFonts w:eastAsia="Calibri" w:cs="Times New Roman"/>
                <w:szCs w:val="24"/>
              </w:rPr>
              <w:t>Aizsardzības ministrija</w:t>
            </w:r>
          </w:p>
        </w:tc>
      </w:tr>
      <w:tr w:rsidR="00F52171" w:rsidRPr="002869EC" w14:paraId="2D201014" w14:textId="77777777" w:rsidTr="00085AFE">
        <w:trPr>
          <w:trHeight w:val="269"/>
        </w:trPr>
        <w:tc>
          <w:tcPr>
            <w:tcW w:w="1276" w:type="dxa"/>
            <w:shd w:val="clear" w:color="auto" w:fill="auto"/>
          </w:tcPr>
          <w:p w14:paraId="10FBD482" w14:textId="47B0E800" w:rsidR="00F52171" w:rsidRPr="00FC3DA6" w:rsidRDefault="00F52171" w:rsidP="006357B3">
            <w:pPr>
              <w:tabs>
                <w:tab w:val="left" w:pos="1494"/>
              </w:tabs>
              <w:spacing w:after="0" w:line="240" w:lineRule="auto"/>
              <w:ind w:firstLine="0"/>
              <w:rPr>
                <w:rFonts w:eastAsia="Calibri" w:cs="Times New Roman"/>
                <w:szCs w:val="24"/>
              </w:rPr>
            </w:pPr>
            <w:proofErr w:type="spellStart"/>
            <w:r w:rsidRPr="00FC3DA6">
              <w:rPr>
                <w:rFonts w:eastAsia="Calibri" w:cs="Times New Roman"/>
                <w:szCs w:val="24"/>
              </w:rPr>
              <w:t>Altum</w:t>
            </w:r>
            <w:proofErr w:type="spellEnd"/>
          </w:p>
        </w:tc>
        <w:tc>
          <w:tcPr>
            <w:tcW w:w="7938" w:type="dxa"/>
            <w:shd w:val="clear" w:color="auto" w:fill="auto"/>
          </w:tcPr>
          <w:p w14:paraId="28144822" w14:textId="00804775" w:rsidR="00F52171" w:rsidRPr="00FC3DA6" w:rsidRDefault="007C1EEE" w:rsidP="006357B3">
            <w:pPr>
              <w:tabs>
                <w:tab w:val="left" w:pos="1494"/>
              </w:tabs>
              <w:spacing w:after="0" w:line="240" w:lineRule="auto"/>
              <w:ind w:firstLine="0"/>
              <w:rPr>
                <w:rFonts w:eastAsia="Calibri" w:cs="Times New Roman"/>
                <w:szCs w:val="24"/>
              </w:rPr>
            </w:pPr>
            <w:r w:rsidRPr="00FC3DA6">
              <w:rPr>
                <w:rFonts w:eastAsia="Calibri" w:cs="Times New Roman"/>
                <w:szCs w:val="24"/>
              </w:rPr>
              <w:t>Akciju sabiedrība</w:t>
            </w:r>
            <w:r w:rsidR="00F52171" w:rsidRPr="00FC3DA6">
              <w:rPr>
                <w:rFonts w:eastAsia="Calibri" w:cs="Times New Roman"/>
                <w:szCs w:val="24"/>
              </w:rPr>
              <w:t xml:space="preserve"> “Attīstības finanšu institūcija </w:t>
            </w:r>
            <w:proofErr w:type="spellStart"/>
            <w:r w:rsidR="00F52171" w:rsidRPr="00FC3DA6">
              <w:rPr>
                <w:rFonts w:eastAsia="Calibri" w:cs="Times New Roman"/>
                <w:szCs w:val="24"/>
              </w:rPr>
              <w:t>Altum</w:t>
            </w:r>
            <w:proofErr w:type="spellEnd"/>
            <w:r w:rsidR="00F52171" w:rsidRPr="00FC3DA6">
              <w:rPr>
                <w:rFonts w:eastAsia="Calibri" w:cs="Times New Roman"/>
                <w:szCs w:val="24"/>
              </w:rPr>
              <w:t>”</w:t>
            </w:r>
          </w:p>
        </w:tc>
      </w:tr>
      <w:tr w:rsidR="0029545C" w:rsidRPr="002869EC" w14:paraId="7F1BE326" w14:textId="77777777" w:rsidTr="00085AFE">
        <w:trPr>
          <w:trHeight w:val="269"/>
        </w:trPr>
        <w:tc>
          <w:tcPr>
            <w:tcW w:w="1276" w:type="dxa"/>
            <w:shd w:val="clear" w:color="auto" w:fill="auto"/>
          </w:tcPr>
          <w:p w14:paraId="1C300C1B" w14:textId="76501406" w:rsidR="0029545C" w:rsidRPr="00FC3DA6" w:rsidRDefault="0029545C" w:rsidP="006357B3">
            <w:pPr>
              <w:tabs>
                <w:tab w:val="left" w:pos="1494"/>
              </w:tabs>
              <w:spacing w:after="0" w:line="240" w:lineRule="auto"/>
              <w:ind w:firstLine="0"/>
              <w:rPr>
                <w:rFonts w:eastAsia="Calibri" w:cs="Times New Roman"/>
                <w:szCs w:val="24"/>
              </w:rPr>
            </w:pPr>
            <w:r>
              <w:rPr>
                <w:rFonts w:eastAsia="Calibri" w:cs="Times New Roman"/>
                <w:szCs w:val="24"/>
              </w:rPr>
              <w:t>AN</w:t>
            </w:r>
          </w:p>
        </w:tc>
        <w:tc>
          <w:tcPr>
            <w:tcW w:w="7938" w:type="dxa"/>
            <w:shd w:val="clear" w:color="auto" w:fill="auto"/>
          </w:tcPr>
          <w:p w14:paraId="7A4D35F5" w14:textId="61A7451F" w:rsidR="0029545C" w:rsidRPr="00FC3DA6" w:rsidRDefault="0029545C" w:rsidP="006357B3">
            <w:pPr>
              <w:tabs>
                <w:tab w:val="left" w:pos="1494"/>
              </w:tabs>
              <w:spacing w:after="0" w:line="240" w:lineRule="auto"/>
              <w:ind w:firstLine="0"/>
              <w:rPr>
                <w:rFonts w:eastAsia="Calibri" w:cs="Times New Roman"/>
                <w:szCs w:val="24"/>
              </w:rPr>
            </w:pPr>
            <w:r w:rsidRPr="0029545C">
              <w:rPr>
                <w:rFonts w:eastAsia="Calibri" w:cs="Times New Roman"/>
                <w:szCs w:val="24"/>
              </w:rPr>
              <w:t>Akcīzes nodoklis</w:t>
            </w:r>
          </w:p>
        </w:tc>
      </w:tr>
      <w:tr w:rsidR="00F52171" w:rsidRPr="002869EC" w14:paraId="48A13FCE" w14:textId="77777777" w:rsidTr="00085AFE">
        <w:trPr>
          <w:trHeight w:val="269"/>
        </w:trPr>
        <w:tc>
          <w:tcPr>
            <w:tcW w:w="1276" w:type="dxa"/>
            <w:shd w:val="clear" w:color="auto" w:fill="auto"/>
          </w:tcPr>
          <w:p w14:paraId="40ED3324" w14:textId="42D0AA19" w:rsidR="00F52171" w:rsidRPr="00FC3DA6" w:rsidRDefault="00F52171" w:rsidP="006357B3">
            <w:pPr>
              <w:tabs>
                <w:tab w:val="left" w:pos="1494"/>
              </w:tabs>
              <w:spacing w:after="0" w:line="240" w:lineRule="auto"/>
              <w:ind w:firstLine="0"/>
              <w:rPr>
                <w:rFonts w:eastAsia="Calibri" w:cs="Times New Roman"/>
                <w:szCs w:val="24"/>
              </w:rPr>
            </w:pPr>
            <w:r w:rsidRPr="00FC3DA6">
              <w:rPr>
                <w:rFonts w:eastAsia="Calibri" w:cs="Times New Roman"/>
                <w:szCs w:val="24"/>
              </w:rPr>
              <w:t>ANM</w:t>
            </w:r>
          </w:p>
        </w:tc>
        <w:tc>
          <w:tcPr>
            <w:tcW w:w="7938" w:type="dxa"/>
            <w:shd w:val="clear" w:color="auto" w:fill="auto"/>
          </w:tcPr>
          <w:p w14:paraId="66CFB009" w14:textId="1433C548" w:rsidR="00F52171" w:rsidRPr="00FC3DA6" w:rsidRDefault="00F52171" w:rsidP="006357B3">
            <w:pPr>
              <w:tabs>
                <w:tab w:val="left" w:pos="1494"/>
              </w:tabs>
              <w:spacing w:after="0" w:line="240" w:lineRule="auto"/>
              <w:ind w:firstLine="0"/>
              <w:rPr>
                <w:rFonts w:eastAsia="Calibri" w:cs="Times New Roman"/>
                <w:szCs w:val="24"/>
              </w:rPr>
            </w:pPr>
            <w:r w:rsidRPr="00FC3DA6">
              <w:rPr>
                <w:rFonts w:eastAsia="Calibri" w:cs="Times New Roman"/>
                <w:szCs w:val="24"/>
              </w:rPr>
              <w:t>Atveseļošanās un noturības mehānisma</w:t>
            </w:r>
          </w:p>
        </w:tc>
      </w:tr>
      <w:tr w:rsidR="006027B9" w:rsidRPr="002869EC" w14:paraId="266211CA" w14:textId="77777777" w:rsidTr="00085AFE">
        <w:trPr>
          <w:trHeight w:val="269"/>
        </w:trPr>
        <w:tc>
          <w:tcPr>
            <w:tcW w:w="1276" w:type="dxa"/>
            <w:shd w:val="clear" w:color="auto" w:fill="auto"/>
          </w:tcPr>
          <w:p w14:paraId="132FC15A" w14:textId="5F39AE92" w:rsidR="006027B9" w:rsidRPr="00FC3DA6" w:rsidRDefault="006027B9" w:rsidP="006357B3">
            <w:pPr>
              <w:tabs>
                <w:tab w:val="left" w:pos="1494"/>
              </w:tabs>
              <w:spacing w:after="0" w:line="240" w:lineRule="auto"/>
              <w:ind w:firstLine="0"/>
              <w:rPr>
                <w:rFonts w:eastAsia="Calibri" w:cs="Times New Roman"/>
                <w:szCs w:val="24"/>
              </w:rPr>
            </w:pPr>
            <w:r w:rsidRPr="00FC3DA6">
              <w:rPr>
                <w:rFonts w:eastAsia="Calibri" w:cs="Times New Roman"/>
                <w:szCs w:val="24"/>
              </w:rPr>
              <w:t>ANO</w:t>
            </w:r>
          </w:p>
        </w:tc>
        <w:tc>
          <w:tcPr>
            <w:tcW w:w="7938" w:type="dxa"/>
            <w:shd w:val="clear" w:color="auto" w:fill="auto"/>
          </w:tcPr>
          <w:p w14:paraId="2A194468" w14:textId="4B302DC9" w:rsidR="006027B9" w:rsidRPr="00FC3DA6" w:rsidRDefault="006027B9" w:rsidP="006357B3">
            <w:pPr>
              <w:tabs>
                <w:tab w:val="left" w:pos="1494"/>
              </w:tabs>
              <w:spacing w:after="0" w:line="240" w:lineRule="auto"/>
              <w:ind w:firstLine="0"/>
              <w:rPr>
                <w:rFonts w:eastAsia="Calibri" w:cs="Times New Roman"/>
                <w:szCs w:val="24"/>
              </w:rPr>
            </w:pPr>
            <w:r w:rsidRPr="00FC3DA6">
              <w:rPr>
                <w:rFonts w:eastAsia="Calibri" w:cs="Times New Roman"/>
                <w:szCs w:val="24"/>
              </w:rPr>
              <w:t>Apvienoto Nāciju Organizācija</w:t>
            </w:r>
          </w:p>
        </w:tc>
      </w:tr>
      <w:tr w:rsidR="00D248D4" w:rsidRPr="002869EC" w14:paraId="24E2A89B" w14:textId="77777777" w:rsidTr="00085AFE">
        <w:trPr>
          <w:trHeight w:val="269"/>
        </w:trPr>
        <w:tc>
          <w:tcPr>
            <w:tcW w:w="1276" w:type="dxa"/>
            <w:shd w:val="clear" w:color="auto" w:fill="auto"/>
          </w:tcPr>
          <w:p w14:paraId="052C024F" w14:textId="35F73160" w:rsidR="00D248D4" w:rsidRPr="00FC3DA6" w:rsidRDefault="00D248D4" w:rsidP="006357B3">
            <w:pPr>
              <w:tabs>
                <w:tab w:val="left" w:pos="1494"/>
              </w:tabs>
              <w:spacing w:after="0" w:line="240" w:lineRule="auto"/>
              <w:ind w:firstLine="0"/>
              <w:rPr>
                <w:rFonts w:eastAsia="Calibri" w:cs="Times New Roman"/>
                <w:szCs w:val="24"/>
              </w:rPr>
            </w:pPr>
            <w:r w:rsidRPr="00FC3DA6">
              <w:rPr>
                <w:rFonts w:eastAsia="Calibri" w:cs="Times New Roman"/>
                <w:szCs w:val="24"/>
              </w:rPr>
              <w:t>ASV</w:t>
            </w:r>
          </w:p>
        </w:tc>
        <w:tc>
          <w:tcPr>
            <w:tcW w:w="7938" w:type="dxa"/>
            <w:shd w:val="clear" w:color="auto" w:fill="auto"/>
          </w:tcPr>
          <w:p w14:paraId="04615410" w14:textId="61093822" w:rsidR="00D248D4" w:rsidRPr="00FC3DA6" w:rsidRDefault="00D248D4" w:rsidP="006357B3">
            <w:pPr>
              <w:tabs>
                <w:tab w:val="left" w:pos="1494"/>
              </w:tabs>
              <w:spacing w:after="0" w:line="240" w:lineRule="auto"/>
              <w:ind w:firstLine="0"/>
              <w:rPr>
                <w:rFonts w:eastAsia="Calibri" w:cs="Times New Roman"/>
                <w:szCs w:val="24"/>
              </w:rPr>
            </w:pPr>
            <w:r w:rsidRPr="00FC3DA6">
              <w:rPr>
                <w:rFonts w:eastAsia="Calibri" w:cs="Times New Roman"/>
                <w:szCs w:val="24"/>
              </w:rPr>
              <w:t>Amerikas Savienotās Valstis</w:t>
            </w:r>
          </w:p>
        </w:tc>
      </w:tr>
      <w:tr w:rsidR="00163B62" w:rsidRPr="002869EC" w14:paraId="1AEAEDBC" w14:textId="77777777" w:rsidTr="00085AFE">
        <w:trPr>
          <w:trHeight w:val="269"/>
        </w:trPr>
        <w:tc>
          <w:tcPr>
            <w:tcW w:w="1276" w:type="dxa"/>
            <w:shd w:val="clear" w:color="auto" w:fill="auto"/>
          </w:tcPr>
          <w:p w14:paraId="09FE0508" w14:textId="19AAC0FC" w:rsidR="00163B62" w:rsidRPr="00FC3DA6" w:rsidRDefault="00163B62" w:rsidP="006357B3">
            <w:pPr>
              <w:tabs>
                <w:tab w:val="left" w:pos="1494"/>
              </w:tabs>
              <w:spacing w:after="0" w:line="240" w:lineRule="auto"/>
              <w:ind w:firstLine="0"/>
              <w:rPr>
                <w:rFonts w:eastAsia="Calibri" w:cs="Times New Roman"/>
                <w:szCs w:val="24"/>
              </w:rPr>
            </w:pPr>
            <w:r w:rsidRPr="00FC3DA6">
              <w:rPr>
                <w:rFonts w:eastAsia="Calibri" w:cs="Times New Roman"/>
                <w:szCs w:val="24"/>
              </w:rPr>
              <w:t>ĀFP</w:t>
            </w:r>
          </w:p>
        </w:tc>
        <w:tc>
          <w:tcPr>
            <w:tcW w:w="7938" w:type="dxa"/>
            <w:shd w:val="clear" w:color="auto" w:fill="auto"/>
          </w:tcPr>
          <w:p w14:paraId="7113AD44" w14:textId="465BA792" w:rsidR="00163B62" w:rsidRPr="00FC3DA6" w:rsidRDefault="00163B62" w:rsidP="006357B3">
            <w:pPr>
              <w:tabs>
                <w:tab w:val="left" w:pos="1494"/>
              </w:tabs>
              <w:spacing w:after="0" w:line="240" w:lineRule="auto"/>
              <w:ind w:firstLine="0"/>
              <w:rPr>
                <w:rFonts w:eastAsia="Calibri" w:cs="Times New Roman"/>
                <w:szCs w:val="24"/>
              </w:rPr>
            </w:pPr>
            <w:r w:rsidRPr="00FC3DA6">
              <w:rPr>
                <w:rFonts w:eastAsia="Calibri" w:cs="Times New Roman"/>
                <w:szCs w:val="24"/>
              </w:rPr>
              <w:t>Ārvalstu finanšu palīdzība</w:t>
            </w:r>
          </w:p>
        </w:tc>
      </w:tr>
      <w:tr w:rsidR="00963B1F" w:rsidRPr="002869EC" w14:paraId="0B396EC8" w14:textId="77777777" w:rsidTr="00085AFE">
        <w:trPr>
          <w:trHeight w:val="269"/>
        </w:trPr>
        <w:tc>
          <w:tcPr>
            <w:tcW w:w="1276" w:type="dxa"/>
            <w:shd w:val="clear" w:color="auto" w:fill="auto"/>
          </w:tcPr>
          <w:p w14:paraId="47C86CA9" w14:textId="723291D6" w:rsidR="00963B1F" w:rsidRPr="00FC3DA6" w:rsidRDefault="00963B1F" w:rsidP="006357B3">
            <w:pPr>
              <w:tabs>
                <w:tab w:val="left" w:pos="1494"/>
              </w:tabs>
              <w:spacing w:after="0" w:line="240" w:lineRule="auto"/>
              <w:ind w:firstLine="0"/>
              <w:rPr>
                <w:rFonts w:eastAsia="Calibri" w:cs="Times New Roman"/>
                <w:szCs w:val="24"/>
              </w:rPr>
            </w:pPr>
            <w:r>
              <w:rPr>
                <w:rFonts w:eastAsia="Calibri" w:cs="Times New Roman"/>
                <w:szCs w:val="24"/>
              </w:rPr>
              <w:t>BVKB</w:t>
            </w:r>
          </w:p>
        </w:tc>
        <w:tc>
          <w:tcPr>
            <w:tcW w:w="7938" w:type="dxa"/>
            <w:shd w:val="clear" w:color="auto" w:fill="auto"/>
          </w:tcPr>
          <w:p w14:paraId="6EFD6C87" w14:textId="610D9B91" w:rsidR="00963B1F" w:rsidRPr="00FC3DA6" w:rsidRDefault="00963B1F" w:rsidP="006357B3">
            <w:pPr>
              <w:tabs>
                <w:tab w:val="left" w:pos="1494"/>
              </w:tabs>
              <w:spacing w:after="0" w:line="240" w:lineRule="auto"/>
              <w:ind w:firstLine="0"/>
              <w:rPr>
                <w:rFonts w:eastAsia="Calibri" w:cs="Times New Roman"/>
                <w:szCs w:val="24"/>
              </w:rPr>
            </w:pPr>
            <w:r w:rsidRPr="00963B1F">
              <w:rPr>
                <w:rFonts w:eastAsia="Calibri" w:cs="Times New Roman"/>
                <w:szCs w:val="24"/>
              </w:rPr>
              <w:t>Būvniecības valsts kontroles birojs</w:t>
            </w:r>
          </w:p>
        </w:tc>
      </w:tr>
      <w:tr w:rsidR="00963B1F" w:rsidRPr="002869EC" w14:paraId="67E4936B" w14:textId="77777777" w:rsidTr="00085AFE">
        <w:trPr>
          <w:trHeight w:val="269"/>
        </w:trPr>
        <w:tc>
          <w:tcPr>
            <w:tcW w:w="1276" w:type="dxa"/>
            <w:shd w:val="clear" w:color="auto" w:fill="auto"/>
          </w:tcPr>
          <w:p w14:paraId="32C6EF86" w14:textId="55B19C08" w:rsidR="00963B1F" w:rsidRPr="00FC3DA6" w:rsidRDefault="00963B1F" w:rsidP="006357B3">
            <w:pPr>
              <w:tabs>
                <w:tab w:val="left" w:pos="1494"/>
              </w:tabs>
              <w:spacing w:after="0" w:line="240" w:lineRule="auto"/>
              <w:ind w:firstLine="0"/>
              <w:rPr>
                <w:rFonts w:eastAsia="Calibri" w:cs="Times New Roman"/>
                <w:szCs w:val="24"/>
              </w:rPr>
            </w:pPr>
            <w:r>
              <w:rPr>
                <w:rFonts w:eastAsia="Calibri" w:cs="Times New Roman"/>
                <w:szCs w:val="24"/>
              </w:rPr>
              <w:t>CID</w:t>
            </w:r>
          </w:p>
        </w:tc>
        <w:tc>
          <w:tcPr>
            <w:tcW w:w="7938" w:type="dxa"/>
            <w:shd w:val="clear" w:color="auto" w:fill="auto"/>
          </w:tcPr>
          <w:p w14:paraId="14DFC711" w14:textId="079C5C0E" w:rsidR="00963B1F" w:rsidRPr="00FC3DA6" w:rsidRDefault="00963B1F" w:rsidP="006357B3">
            <w:pPr>
              <w:tabs>
                <w:tab w:val="left" w:pos="1494"/>
              </w:tabs>
              <w:spacing w:after="0" w:line="240" w:lineRule="auto"/>
              <w:ind w:firstLine="0"/>
              <w:rPr>
                <w:rFonts w:eastAsia="Calibri" w:cs="Times New Roman"/>
                <w:szCs w:val="24"/>
              </w:rPr>
            </w:pPr>
            <w:r w:rsidRPr="00963B1F">
              <w:rPr>
                <w:rFonts w:eastAsia="Calibri" w:cs="Times New Roman"/>
                <w:szCs w:val="24"/>
              </w:rPr>
              <w:t>Padomes Īstenošanas lēmum</w:t>
            </w:r>
            <w:r>
              <w:rPr>
                <w:rFonts w:eastAsia="Calibri" w:cs="Times New Roman"/>
                <w:szCs w:val="24"/>
              </w:rPr>
              <w:t>s</w:t>
            </w:r>
          </w:p>
        </w:tc>
      </w:tr>
      <w:tr w:rsidR="00CE7515" w:rsidRPr="002869EC" w14:paraId="07FD3E6B" w14:textId="77777777" w:rsidTr="00085AFE">
        <w:trPr>
          <w:trHeight w:val="269"/>
        </w:trPr>
        <w:tc>
          <w:tcPr>
            <w:tcW w:w="1276" w:type="dxa"/>
            <w:shd w:val="clear" w:color="auto" w:fill="auto"/>
          </w:tcPr>
          <w:p w14:paraId="51156ACE" w14:textId="4F710933" w:rsidR="00CE7515" w:rsidRPr="00FC3DA6" w:rsidRDefault="00963B1F" w:rsidP="006357B3">
            <w:pPr>
              <w:tabs>
                <w:tab w:val="left" w:pos="1494"/>
              </w:tabs>
              <w:spacing w:after="0" w:line="240" w:lineRule="auto"/>
              <w:ind w:firstLine="0"/>
              <w:rPr>
                <w:rFonts w:eastAsia="Calibri" w:cs="Times New Roman"/>
                <w:szCs w:val="24"/>
              </w:rPr>
            </w:pPr>
            <w:r w:rsidRPr="00FC3DA6">
              <w:rPr>
                <w:rFonts w:eastAsia="Calibri" w:cs="Times New Roman"/>
                <w:szCs w:val="24"/>
              </w:rPr>
              <w:t>CFLA</w:t>
            </w:r>
          </w:p>
        </w:tc>
        <w:tc>
          <w:tcPr>
            <w:tcW w:w="7938" w:type="dxa"/>
            <w:shd w:val="clear" w:color="auto" w:fill="auto"/>
          </w:tcPr>
          <w:p w14:paraId="3DAF452A" w14:textId="2D42D1A2" w:rsidR="00CE7515" w:rsidRPr="00FC3DA6" w:rsidRDefault="00963B1F" w:rsidP="006357B3">
            <w:pPr>
              <w:tabs>
                <w:tab w:val="left" w:pos="1494"/>
              </w:tabs>
              <w:spacing w:after="0" w:line="240" w:lineRule="auto"/>
              <w:ind w:firstLine="0"/>
              <w:rPr>
                <w:rFonts w:eastAsia="Calibri" w:cs="Times New Roman"/>
                <w:szCs w:val="24"/>
              </w:rPr>
            </w:pPr>
            <w:r w:rsidRPr="00FC3DA6">
              <w:rPr>
                <w:rFonts w:eastAsia="Calibri" w:cs="Times New Roman"/>
                <w:szCs w:val="24"/>
              </w:rPr>
              <w:t>Centrālās finanšu un līgumu aģentūra</w:t>
            </w:r>
          </w:p>
        </w:tc>
      </w:tr>
      <w:tr w:rsidR="00AA2636" w:rsidRPr="002869EC" w14:paraId="54D6D83A" w14:textId="77777777" w:rsidTr="00085AFE">
        <w:trPr>
          <w:trHeight w:val="269"/>
        </w:trPr>
        <w:tc>
          <w:tcPr>
            <w:tcW w:w="1276" w:type="dxa"/>
            <w:shd w:val="clear" w:color="auto" w:fill="auto"/>
          </w:tcPr>
          <w:p w14:paraId="220474C7" w14:textId="3E7ACD2F" w:rsidR="00AA2636" w:rsidRPr="00FC3DA6" w:rsidRDefault="00963B1F" w:rsidP="006357B3">
            <w:pPr>
              <w:tabs>
                <w:tab w:val="left" w:pos="1494"/>
              </w:tabs>
              <w:spacing w:after="0" w:line="240" w:lineRule="auto"/>
              <w:ind w:firstLine="0"/>
              <w:rPr>
                <w:rFonts w:eastAsia="Calibri" w:cs="Times New Roman"/>
                <w:szCs w:val="24"/>
              </w:rPr>
            </w:pPr>
            <w:r w:rsidRPr="00FC3DA6">
              <w:rPr>
                <w:rFonts w:eastAsia="Calibri" w:cs="Times New Roman"/>
                <w:szCs w:val="24"/>
              </w:rPr>
              <w:t>CSP</w:t>
            </w:r>
          </w:p>
        </w:tc>
        <w:tc>
          <w:tcPr>
            <w:tcW w:w="7938" w:type="dxa"/>
            <w:shd w:val="clear" w:color="auto" w:fill="auto"/>
          </w:tcPr>
          <w:p w14:paraId="2000AC18" w14:textId="5056CEA8" w:rsidR="00AA2636" w:rsidRPr="00FC3DA6" w:rsidRDefault="00963B1F" w:rsidP="006357B3">
            <w:pPr>
              <w:tabs>
                <w:tab w:val="left" w:pos="1494"/>
              </w:tabs>
              <w:spacing w:after="0" w:line="240" w:lineRule="auto"/>
              <w:ind w:firstLine="0"/>
              <w:rPr>
                <w:rFonts w:eastAsia="Calibri" w:cs="Times New Roman"/>
                <w:szCs w:val="24"/>
              </w:rPr>
            </w:pPr>
            <w:r w:rsidRPr="00FC3DA6">
              <w:rPr>
                <w:rFonts w:eastAsia="Calibri" w:cs="Times New Roman"/>
                <w:szCs w:val="24"/>
              </w:rPr>
              <w:t xml:space="preserve">Centrālā statistikas pārvalde </w:t>
            </w:r>
          </w:p>
        </w:tc>
      </w:tr>
      <w:tr w:rsidR="00A72EB1" w:rsidRPr="002869EC" w14:paraId="549F5AF4" w14:textId="77777777" w:rsidTr="00085AFE">
        <w:trPr>
          <w:trHeight w:val="269"/>
        </w:trPr>
        <w:tc>
          <w:tcPr>
            <w:tcW w:w="1276" w:type="dxa"/>
            <w:shd w:val="clear" w:color="auto" w:fill="auto"/>
          </w:tcPr>
          <w:p w14:paraId="3FEBDD66" w14:textId="6F3B5211" w:rsidR="00A72EB1" w:rsidRPr="00FC3DA6" w:rsidRDefault="00A72EB1" w:rsidP="006357B3">
            <w:pPr>
              <w:tabs>
                <w:tab w:val="left" w:pos="1494"/>
              </w:tabs>
              <w:spacing w:after="0" w:line="240" w:lineRule="auto"/>
              <w:ind w:firstLine="0"/>
              <w:rPr>
                <w:rFonts w:eastAsia="Calibri" w:cs="Times New Roman"/>
                <w:szCs w:val="24"/>
              </w:rPr>
            </w:pPr>
            <w:r w:rsidRPr="00FC3DA6">
              <w:rPr>
                <w:rFonts w:eastAsia="Calibri" w:cs="Times New Roman"/>
                <w:szCs w:val="24"/>
              </w:rPr>
              <w:t>DRM</w:t>
            </w:r>
          </w:p>
        </w:tc>
        <w:tc>
          <w:tcPr>
            <w:tcW w:w="7938" w:type="dxa"/>
            <w:shd w:val="clear" w:color="auto" w:fill="auto"/>
          </w:tcPr>
          <w:p w14:paraId="56995D5B" w14:textId="29C7ADEF" w:rsidR="00A72EB1" w:rsidRPr="00FC3DA6" w:rsidRDefault="00DC0FB1" w:rsidP="006357B3">
            <w:pPr>
              <w:tabs>
                <w:tab w:val="left" w:pos="1494"/>
              </w:tabs>
              <w:spacing w:after="0" w:line="240" w:lineRule="auto"/>
              <w:ind w:firstLine="0"/>
              <w:rPr>
                <w:rFonts w:eastAsia="Calibri" w:cs="Times New Roman"/>
                <w:szCs w:val="24"/>
              </w:rPr>
            </w:pPr>
            <w:proofErr w:type="spellStart"/>
            <w:r w:rsidRPr="00FC3DA6">
              <w:rPr>
                <w:rFonts w:eastAsia="Calibri" w:cs="Times New Roman"/>
                <w:szCs w:val="24"/>
              </w:rPr>
              <w:t>Diskrecionārie</w:t>
            </w:r>
            <w:proofErr w:type="spellEnd"/>
            <w:r w:rsidRPr="00FC3DA6">
              <w:rPr>
                <w:rFonts w:eastAsia="Calibri" w:cs="Times New Roman"/>
                <w:szCs w:val="24"/>
              </w:rPr>
              <w:t xml:space="preserve"> ieņēmumu pasākumi</w:t>
            </w:r>
          </w:p>
        </w:tc>
      </w:tr>
      <w:tr w:rsidR="0029545C" w:rsidRPr="002869EC" w14:paraId="3C4B4703" w14:textId="77777777" w:rsidTr="00085AFE">
        <w:trPr>
          <w:trHeight w:val="269"/>
        </w:trPr>
        <w:tc>
          <w:tcPr>
            <w:tcW w:w="1276" w:type="dxa"/>
            <w:shd w:val="clear" w:color="auto" w:fill="auto"/>
          </w:tcPr>
          <w:p w14:paraId="0352DB0B" w14:textId="7E5ABC71" w:rsidR="0029545C" w:rsidRPr="00FC3DA6" w:rsidRDefault="0029545C" w:rsidP="006357B3">
            <w:pPr>
              <w:tabs>
                <w:tab w:val="left" w:pos="1494"/>
              </w:tabs>
              <w:spacing w:after="0" w:line="240" w:lineRule="auto"/>
              <w:ind w:firstLine="0"/>
              <w:rPr>
                <w:rFonts w:eastAsia="Calibri" w:cs="Times New Roman"/>
                <w:szCs w:val="24"/>
              </w:rPr>
            </w:pPr>
            <w:r>
              <w:rPr>
                <w:rFonts w:eastAsia="Calibri" w:cs="Times New Roman"/>
                <w:szCs w:val="24"/>
              </w:rPr>
              <w:t>DRN</w:t>
            </w:r>
          </w:p>
        </w:tc>
        <w:tc>
          <w:tcPr>
            <w:tcW w:w="7938" w:type="dxa"/>
            <w:shd w:val="clear" w:color="auto" w:fill="auto"/>
          </w:tcPr>
          <w:p w14:paraId="1CA9E1E1" w14:textId="636CA5EF" w:rsidR="0029545C" w:rsidRPr="00FC3DA6" w:rsidRDefault="0029545C" w:rsidP="006357B3">
            <w:pPr>
              <w:tabs>
                <w:tab w:val="left" w:pos="1494"/>
              </w:tabs>
              <w:spacing w:after="0" w:line="240" w:lineRule="auto"/>
              <w:ind w:firstLine="0"/>
              <w:rPr>
                <w:rFonts w:eastAsia="Calibri" w:cs="Times New Roman"/>
                <w:szCs w:val="24"/>
              </w:rPr>
            </w:pPr>
            <w:r w:rsidRPr="0029545C">
              <w:rPr>
                <w:rFonts w:eastAsia="Calibri" w:cs="Times New Roman"/>
                <w:szCs w:val="24"/>
              </w:rPr>
              <w:t>Dabas resursu nodoklis</w:t>
            </w:r>
          </w:p>
        </w:tc>
      </w:tr>
      <w:tr w:rsidR="00CC4328" w:rsidRPr="002869EC" w14:paraId="5E639789" w14:textId="77777777" w:rsidTr="00085AFE">
        <w:trPr>
          <w:trHeight w:val="269"/>
        </w:trPr>
        <w:tc>
          <w:tcPr>
            <w:tcW w:w="1276" w:type="dxa"/>
            <w:shd w:val="clear" w:color="auto" w:fill="auto"/>
          </w:tcPr>
          <w:p w14:paraId="66A6F326" w14:textId="1A251FC8"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ECB</w:t>
            </w:r>
          </w:p>
        </w:tc>
        <w:tc>
          <w:tcPr>
            <w:tcW w:w="7938" w:type="dxa"/>
            <w:shd w:val="clear" w:color="auto" w:fill="auto"/>
          </w:tcPr>
          <w:p w14:paraId="2DCAF69C" w14:textId="5F87587F"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Eiropas Centrālā banka</w:t>
            </w:r>
          </w:p>
        </w:tc>
      </w:tr>
      <w:tr w:rsidR="00FC6D27" w:rsidRPr="002869EC" w14:paraId="0F879E9C" w14:textId="77777777" w:rsidTr="00085AFE">
        <w:trPr>
          <w:trHeight w:val="269"/>
        </w:trPr>
        <w:tc>
          <w:tcPr>
            <w:tcW w:w="1276" w:type="dxa"/>
            <w:shd w:val="clear" w:color="auto" w:fill="auto"/>
          </w:tcPr>
          <w:p w14:paraId="430734C7" w14:textId="6BBA02AE" w:rsidR="00FC6D27" w:rsidRPr="00FC3DA6" w:rsidRDefault="00FC6D27" w:rsidP="006357B3">
            <w:pPr>
              <w:tabs>
                <w:tab w:val="left" w:pos="1494"/>
              </w:tabs>
              <w:spacing w:after="0" w:line="240" w:lineRule="auto"/>
              <w:ind w:firstLine="0"/>
              <w:rPr>
                <w:rFonts w:eastAsia="Calibri" w:cs="Times New Roman"/>
                <w:szCs w:val="24"/>
              </w:rPr>
            </w:pPr>
            <w:r>
              <w:rPr>
                <w:rFonts w:eastAsia="Calibri" w:cs="Times New Roman"/>
                <w:szCs w:val="24"/>
              </w:rPr>
              <w:t>EEZ</w:t>
            </w:r>
          </w:p>
        </w:tc>
        <w:tc>
          <w:tcPr>
            <w:tcW w:w="7938" w:type="dxa"/>
            <w:shd w:val="clear" w:color="auto" w:fill="auto"/>
          </w:tcPr>
          <w:p w14:paraId="0680A005" w14:textId="3BCABD30" w:rsidR="00FC6D27" w:rsidRPr="00FC3DA6" w:rsidRDefault="00FC6D27" w:rsidP="006357B3">
            <w:pPr>
              <w:tabs>
                <w:tab w:val="left" w:pos="1494"/>
              </w:tabs>
              <w:spacing w:after="0" w:line="240" w:lineRule="auto"/>
              <w:ind w:firstLine="0"/>
              <w:rPr>
                <w:rFonts w:eastAsia="Calibri" w:cs="Times New Roman"/>
                <w:szCs w:val="24"/>
              </w:rPr>
            </w:pPr>
            <w:r w:rsidRPr="00FC6D27">
              <w:rPr>
                <w:rFonts w:eastAsia="Calibri" w:cs="Times New Roman"/>
                <w:szCs w:val="24"/>
              </w:rPr>
              <w:t>Eiropas Ekonomikas zona</w:t>
            </w:r>
          </w:p>
        </w:tc>
      </w:tr>
      <w:tr w:rsidR="00CC4328" w:rsidRPr="002869EC" w14:paraId="6AFDA917" w14:textId="77777777" w:rsidTr="00085AFE">
        <w:trPr>
          <w:trHeight w:val="269"/>
        </w:trPr>
        <w:tc>
          <w:tcPr>
            <w:tcW w:w="1276" w:type="dxa"/>
            <w:shd w:val="clear" w:color="auto" w:fill="auto"/>
          </w:tcPr>
          <w:p w14:paraId="32BEC8D0" w14:textId="47B96E5C"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EK</w:t>
            </w:r>
          </w:p>
        </w:tc>
        <w:tc>
          <w:tcPr>
            <w:tcW w:w="7938" w:type="dxa"/>
            <w:shd w:val="clear" w:color="auto" w:fill="auto"/>
          </w:tcPr>
          <w:p w14:paraId="5C2AA4B5" w14:textId="039DE2B1"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Eiropas Komisija</w:t>
            </w:r>
          </w:p>
        </w:tc>
      </w:tr>
      <w:tr w:rsidR="00CC4328" w:rsidRPr="002869EC" w14:paraId="170117F5" w14:textId="77777777" w:rsidTr="00085AFE">
        <w:trPr>
          <w:trHeight w:val="269"/>
        </w:trPr>
        <w:tc>
          <w:tcPr>
            <w:tcW w:w="1276" w:type="dxa"/>
            <w:shd w:val="clear" w:color="auto" w:fill="auto"/>
          </w:tcPr>
          <w:p w14:paraId="427659A9" w14:textId="1033ED82"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 xml:space="preserve">EKS </w:t>
            </w:r>
          </w:p>
        </w:tc>
        <w:tc>
          <w:tcPr>
            <w:tcW w:w="7938" w:type="dxa"/>
            <w:shd w:val="clear" w:color="auto" w:fill="auto"/>
          </w:tcPr>
          <w:p w14:paraId="515A79D7" w14:textId="0822C079"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Eiropas nacionālo un reģionālo kontu sistēma</w:t>
            </w:r>
          </w:p>
        </w:tc>
      </w:tr>
      <w:tr w:rsidR="00AA2636" w:rsidRPr="002869EC" w14:paraId="4F0FA1EF" w14:textId="77777777" w:rsidTr="00085AFE">
        <w:trPr>
          <w:trHeight w:val="269"/>
        </w:trPr>
        <w:tc>
          <w:tcPr>
            <w:tcW w:w="1276" w:type="dxa"/>
            <w:shd w:val="clear" w:color="auto" w:fill="auto"/>
          </w:tcPr>
          <w:p w14:paraId="4B8605C8" w14:textId="74DB8C44"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EM</w:t>
            </w:r>
          </w:p>
        </w:tc>
        <w:tc>
          <w:tcPr>
            <w:tcW w:w="7938" w:type="dxa"/>
            <w:shd w:val="clear" w:color="auto" w:fill="auto"/>
          </w:tcPr>
          <w:p w14:paraId="6F98AC1C" w14:textId="49AD00D7"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Ekonomikas ministrija</w:t>
            </w:r>
          </w:p>
        </w:tc>
      </w:tr>
      <w:tr w:rsidR="009F63CB" w:rsidRPr="002869EC" w14:paraId="394EE474" w14:textId="77777777" w:rsidTr="00085AFE">
        <w:trPr>
          <w:trHeight w:val="269"/>
        </w:trPr>
        <w:tc>
          <w:tcPr>
            <w:tcW w:w="1276" w:type="dxa"/>
            <w:shd w:val="clear" w:color="auto" w:fill="auto"/>
          </w:tcPr>
          <w:p w14:paraId="495F78BE" w14:textId="6D554F83" w:rsidR="009F63CB" w:rsidRPr="00FC3DA6" w:rsidRDefault="009F63CB" w:rsidP="006357B3">
            <w:pPr>
              <w:tabs>
                <w:tab w:val="left" w:pos="1494"/>
              </w:tabs>
              <w:spacing w:after="0" w:line="240" w:lineRule="auto"/>
              <w:ind w:firstLine="0"/>
              <w:rPr>
                <w:rFonts w:eastAsia="Calibri" w:cs="Times New Roman"/>
                <w:szCs w:val="24"/>
              </w:rPr>
            </w:pPr>
            <w:r>
              <w:rPr>
                <w:rFonts w:eastAsia="Calibri" w:cs="Times New Roman"/>
                <w:szCs w:val="24"/>
              </w:rPr>
              <w:t>ERAF</w:t>
            </w:r>
          </w:p>
        </w:tc>
        <w:tc>
          <w:tcPr>
            <w:tcW w:w="7938" w:type="dxa"/>
            <w:shd w:val="clear" w:color="auto" w:fill="auto"/>
          </w:tcPr>
          <w:p w14:paraId="6EA7E025" w14:textId="3A6174DB" w:rsidR="009F63CB" w:rsidRPr="00FC3DA6" w:rsidRDefault="009F63CB" w:rsidP="006357B3">
            <w:pPr>
              <w:tabs>
                <w:tab w:val="left" w:pos="1494"/>
              </w:tabs>
              <w:spacing w:after="0" w:line="240" w:lineRule="auto"/>
              <w:ind w:firstLine="0"/>
              <w:rPr>
                <w:rFonts w:eastAsia="Calibri" w:cs="Times New Roman"/>
                <w:szCs w:val="24"/>
              </w:rPr>
            </w:pPr>
            <w:r w:rsidRPr="009F63CB">
              <w:rPr>
                <w:rFonts w:eastAsia="Calibri" w:cs="Times New Roman"/>
                <w:szCs w:val="24"/>
              </w:rPr>
              <w:t>Eiropas Reģionālās attīstības fonds</w:t>
            </w:r>
          </w:p>
        </w:tc>
      </w:tr>
      <w:tr w:rsidR="00CC4328" w:rsidRPr="002869EC" w14:paraId="225CB0FA" w14:textId="77777777" w:rsidTr="00085AFE">
        <w:trPr>
          <w:trHeight w:val="269"/>
        </w:trPr>
        <w:tc>
          <w:tcPr>
            <w:tcW w:w="1276" w:type="dxa"/>
            <w:shd w:val="clear" w:color="auto" w:fill="auto"/>
          </w:tcPr>
          <w:p w14:paraId="0836CB9A" w14:textId="566E7B2B"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ES</w:t>
            </w:r>
          </w:p>
        </w:tc>
        <w:tc>
          <w:tcPr>
            <w:tcW w:w="7938" w:type="dxa"/>
            <w:shd w:val="clear" w:color="auto" w:fill="auto"/>
          </w:tcPr>
          <w:p w14:paraId="392D8539" w14:textId="03E9AED9"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Eiropas Savienība</w:t>
            </w:r>
          </w:p>
        </w:tc>
      </w:tr>
      <w:tr w:rsidR="00A4204D" w:rsidRPr="002869EC" w14:paraId="1D67AB31" w14:textId="77777777" w:rsidTr="00085AFE">
        <w:trPr>
          <w:trHeight w:val="269"/>
        </w:trPr>
        <w:tc>
          <w:tcPr>
            <w:tcW w:w="1276" w:type="dxa"/>
            <w:shd w:val="clear" w:color="auto" w:fill="auto"/>
          </w:tcPr>
          <w:p w14:paraId="0BFD145E" w14:textId="7B08D19A" w:rsidR="00A4204D" w:rsidRPr="00FC3DA6" w:rsidRDefault="00A4204D" w:rsidP="006357B3">
            <w:pPr>
              <w:tabs>
                <w:tab w:val="left" w:pos="1494"/>
              </w:tabs>
              <w:spacing w:after="0" w:line="240" w:lineRule="auto"/>
              <w:ind w:firstLine="0"/>
              <w:rPr>
                <w:rFonts w:eastAsia="Calibri" w:cs="Times New Roman"/>
                <w:szCs w:val="24"/>
              </w:rPr>
            </w:pPr>
            <w:r>
              <w:rPr>
                <w:rFonts w:eastAsia="Calibri" w:cs="Times New Roman"/>
                <w:szCs w:val="24"/>
              </w:rPr>
              <w:t>ESF+</w:t>
            </w:r>
          </w:p>
        </w:tc>
        <w:tc>
          <w:tcPr>
            <w:tcW w:w="7938" w:type="dxa"/>
            <w:shd w:val="clear" w:color="auto" w:fill="auto"/>
          </w:tcPr>
          <w:p w14:paraId="07031C77" w14:textId="0B8EE104" w:rsidR="00A4204D" w:rsidRPr="00FC3DA6" w:rsidRDefault="00A4204D" w:rsidP="006357B3">
            <w:pPr>
              <w:tabs>
                <w:tab w:val="left" w:pos="1494"/>
              </w:tabs>
              <w:spacing w:after="0" w:line="240" w:lineRule="auto"/>
              <w:ind w:firstLine="0"/>
              <w:rPr>
                <w:rFonts w:eastAsia="Calibri" w:cs="Times New Roman"/>
                <w:szCs w:val="24"/>
              </w:rPr>
            </w:pPr>
            <w:r w:rsidRPr="00A4204D">
              <w:rPr>
                <w:rFonts w:eastAsia="Calibri" w:cs="Times New Roman"/>
                <w:szCs w:val="24"/>
              </w:rPr>
              <w:t>Eiropas Sociālais fonds Plus</w:t>
            </w:r>
          </w:p>
        </w:tc>
      </w:tr>
      <w:tr w:rsidR="00AA2636" w:rsidRPr="002869EC" w14:paraId="5A18222A" w14:textId="77777777" w:rsidTr="00085AFE">
        <w:trPr>
          <w:trHeight w:val="269"/>
        </w:trPr>
        <w:tc>
          <w:tcPr>
            <w:tcW w:w="1276" w:type="dxa"/>
            <w:shd w:val="clear" w:color="auto" w:fill="auto"/>
          </w:tcPr>
          <w:p w14:paraId="2E785165" w14:textId="03A5901A"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ESI</w:t>
            </w:r>
          </w:p>
        </w:tc>
        <w:tc>
          <w:tcPr>
            <w:tcW w:w="7938" w:type="dxa"/>
            <w:shd w:val="clear" w:color="auto" w:fill="auto"/>
          </w:tcPr>
          <w:p w14:paraId="58D763AF" w14:textId="5B3CDB60"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Ekonomikas sentimenta indekss</w:t>
            </w:r>
          </w:p>
        </w:tc>
      </w:tr>
      <w:tr w:rsidR="00CC4328" w:rsidRPr="002869EC" w14:paraId="50E977C5" w14:textId="77777777" w:rsidTr="00085AFE">
        <w:trPr>
          <w:trHeight w:val="269"/>
        </w:trPr>
        <w:tc>
          <w:tcPr>
            <w:tcW w:w="1276" w:type="dxa"/>
            <w:shd w:val="clear" w:color="auto" w:fill="auto"/>
          </w:tcPr>
          <w:p w14:paraId="35E8C2E2" w14:textId="1CB9C7DF"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Times New Roman" w:cs="Times New Roman"/>
                <w:szCs w:val="24"/>
              </w:rPr>
              <w:t>FDL</w:t>
            </w:r>
          </w:p>
        </w:tc>
        <w:tc>
          <w:tcPr>
            <w:tcW w:w="7938" w:type="dxa"/>
            <w:shd w:val="clear" w:color="auto" w:fill="auto"/>
          </w:tcPr>
          <w:p w14:paraId="3D8921FB" w14:textId="03D19E6E"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Fiskālās disciplīnas likums</w:t>
            </w:r>
          </w:p>
        </w:tc>
      </w:tr>
      <w:tr w:rsidR="00AA2636" w:rsidRPr="002869EC" w14:paraId="0F216BF0" w14:textId="77777777" w:rsidTr="00085AFE">
        <w:trPr>
          <w:trHeight w:val="269"/>
        </w:trPr>
        <w:tc>
          <w:tcPr>
            <w:tcW w:w="1276" w:type="dxa"/>
            <w:shd w:val="clear" w:color="auto" w:fill="auto"/>
          </w:tcPr>
          <w:p w14:paraId="285F8DEB" w14:textId="2A62D3D5" w:rsidR="00AA2636" w:rsidRPr="00FC3DA6" w:rsidRDefault="00AA2636" w:rsidP="006357B3">
            <w:pPr>
              <w:tabs>
                <w:tab w:val="left" w:pos="1494"/>
              </w:tabs>
              <w:spacing w:after="0" w:line="240" w:lineRule="auto"/>
              <w:ind w:firstLine="0"/>
              <w:rPr>
                <w:rFonts w:eastAsia="Times New Roman" w:cs="Times New Roman"/>
                <w:szCs w:val="24"/>
              </w:rPr>
            </w:pPr>
            <w:r w:rsidRPr="00FC3DA6">
              <w:rPr>
                <w:rFonts w:eastAsia="Times New Roman" w:cs="Times New Roman"/>
                <w:szCs w:val="24"/>
              </w:rPr>
              <w:t>FDP</w:t>
            </w:r>
          </w:p>
        </w:tc>
        <w:tc>
          <w:tcPr>
            <w:tcW w:w="7938" w:type="dxa"/>
            <w:shd w:val="clear" w:color="auto" w:fill="auto"/>
          </w:tcPr>
          <w:p w14:paraId="74D449D5" w14:textId="2E4674BA"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Fiskālās disciplīnas padome</w:t>
            </w:r>
          </w:p>
        </w:tc>
      </w:tr>
      <w:tr w:rsidR="00CC4328" w:rsidRPr="002869EC" w14:paraId="5B3AD9DB" w14:textId="77777777" w:rsidTr="00085AFE">
        <w:trPr>
          <w:trHeight w:val="269"/>
        </w:trPr>
        <w:tc>
          <w:tcPr>
            <w:tcW w:w="1276" w:type="dxa"/>
            <w:shd w:val="clear" w:color="auto" w:fill="auto"/>
          </w:tcPr>
          <w:p w14:paraId="27A49563" w14:textId="6AF891DC"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Times New Roman" w:cs="Times New Roman"/>
                <w:szCs w:val="24"/>
              </w:rPr>
              <w:t>FM</w:t>
            </w:r>
          </w:p>
        </w:tc>
        <w:tc>
          <w:tcPr>
            <w:tcW w:w="7938" w:type="dxa"/>
            <w:shd w:val="clear" w:color="auto" w:fill="auto"/>
          </w:tcPr>
          <w:p w14:paraId="7003C21E" w14:textId="7AF42394"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Finanšu ministrija</w:t>
            </w:r>
          </w:p>
        </w:tc>
      </w:tr>
      <w:tr w:rsidR="00AA2636" w:rsidRPr="002869EC" w14:paraId="4AFD8B90" w14:textId="77777777" w:rsidTr="00085AFE">
        <w:trPr>
          <w:trHeight w:val="269"/>
        </w:trPr>
        <w:tc>
          <w:tcPr>
            <w:tcW w:w="1276" w:type="dxa"/>
            <w:shd w:val="clear" w:color="auto" w:fill="auto"/>
          </w:tcPr>
          <w:p w14:paraId="0F11663C" w14:textId="77777777" w:rsidR="00AA2636" w:rsidRPr="00FC3DA6" w:rsidRDefault="00AA2636" w:rsidP="006357B3">
            <w:pPr>
              <w:tabs>
                <w:tab w:val="left" w:pos="1494"/>
              </w:tabs>
              <w:spacing w:after="0" w:line="240" w:lineRule="auto"/>
              <w:ind w:firstLine="0"/>
              <w:rPr>
                <w:rFonts w:eastAsia="Times New Roman" w:cs="Times New Roman"/>
                <w:szCs w:val="24"/>
              </w:rPr>
            </w:pPr>
            <w:r w:rsidRPr="00FC3DA6">
              <w:rPr>
                <w:rFonts w:eastAsia="Times New Roman" w:cs="Times New Roman"/>
                <w:szCs w:val="24"/>
              </w:rPr>
              <w:t>FRD</w:t>
            </w:r>
          </w:p>
          <w:p w14:paraId="59353BE2" w14:textId="53628F02" w:rsidR="00237E97" w:rsidRPr="00FC3DA6" w:rsidRDefault="00237E97" w:rsidP="006357B3">
            <w:pPr>
              <w:tabs>
                <w:tab w:val="left" w:pos="1494"/>
              </w:tabs>
              <w:spacing w:after="0" w:line="240" w:lineRule="auto"/>
              <w:ind w:firstLine="0"/>
              <w:rPr>
                <w:rFonts w:eastAsia="Times New Roman" w:cs="Times New Roman"/>
                <w:szCs w:val="24"/>
              </w:rPr>
            </w:pPr>
            <w:r w:rsidRPr="00FC3DA6">
              <w:rPr>
                <w:rFonts w:eastAsia="Times New Roman" w:cs="Times New Roman"/>
                <w:szCs w:val="24"/>
              </w:rPr>
              <w:t>FSP</w:t>
            </w:r>
          </w:p>
        </w:tc>
        <w:tc>
          <w:tcPr>
            <w:tcW w:w="7938" w:type="dxa"/>
            <w:shd w:val="clear" w:color="auto" w:fill="auto"/>
          </w:tcPr>
          <w:p w14:paraId="08626F6E" w14:textId="77777777"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Fiskālo risku deklarācija</w:t>
            </w:r>
          </w:p>
          <w:p w14:paraId="6A4743B6" w14:textId="5187F3C3" w:rsidR="00237E97" w:rsidRPr="00FC3DA6" w:rsidRDefault="00237E97" w:rsidP="006357B3">
            <w:pPr>
              <w:tabs>
                <w:tab w:val="left" w:pos="1494"/>
              </w:tabs>
              <w:spacing w:after="0" w:line="240" w:lineRule="auto"/>
              <w:ind w:firstLine="0"/>
              <w:rPr>
                <w:rFonts w:eastAsia="Calibri" w:cs="Times New Roman"/>
                <w:szCs w:val="24"/>
              </w:rPr>
            </w:pPr>
            <w:r w:rsidRPr="00FC3DA6">
              <w:rPr>
                <w:rFonts w:eastAsia="Calibri" w:cs="Times New Roman"/>
                <w:szCs w:val="24"/>
              </w:rPr>
              <w:t>Fiskāli strukturālais plāns</w:t>
            </w:r>
          </w:p>
        </w:tc>
      </w:tr>
      <w:tr w:rsidR="00E05440" w:rsidRPr="002869EC" w14:paraId="62FA72B7" w14:textId="77777777" w:rsidTr="00085AFE">
        <w:trPr>
          <w:trHeight w:val="269"/>
        </w:trPr>
        <w:tc>
          <w:tcPr>
            <w:tcW w:w="1276" w:type="dxa"/>
            <w:shd w:val="clear" w:color="auto" w:fill="auto"/>
          </w:tcPr>
          <w:p w14:paraId="7DCCBB47" w14:textId="2F04C675" w:rsidR="00E05440" w:rsidRPr="00FC3DA6" w:rsidRDefault="00E05440" w:rsidP="006357B3">
            <w:pPr>
              <w:tabs>
                <w:tab w:val="left" w:pos="1494"/>
              </w:tabs>
              <w:spacing w:after="0" w:line="240" w:lineRule="auto"/>
              <w:ind w:firstLine="0"/>
              <w:rPr>
                <w:rFonts w:eastAsia="Times New Roman" w:cs="Times New Roman"/>
                <w:szCs w:val="24"/>
              </w:rPr>
            </w:pPr>
            <w:r w:rsidRPr="00E05440">
              <w:rPr>
                <w:rFonts w:eastAsia="Times New Roman" w:cs="Times New Roman"/>
                <w:szCs w:val="24"/>
              </w:rPr>
              <w:t>GJ</w:t>
            </w:r>
          </w:p>
        </w:tc>
        <w:tc>
          <w:tcPr>
            <w:tcW w:w="7938" w:type="dxa"/>
            <w:shd w:val="clear" w:color="auto" w:fill="auto"/>
          </w:tcPr>
          <w:p w14:paraId="32398044" w14:textId="53FA598B" w:rsidR="00E05440" w:rsidRPr="00FC3DA6" w:rsidRDefault="00E05440" w:rsidP="006357B3">
            <w:pPr>
              <w:tabs>
                <w:tab w:val="left" w:pos="1494"/>
              </w:tabs>
              <w:spacing w:after="0" w:line="240" w:lineRule="auto"/>
              <w:ind w:firstLine="0"/>
              <w:rPr>
                <w:rFonts w:eastAsia="Calibri" w:cs="Times New Roman"/>
                <w:szCs w:val="24"/>
              </w:rPr>
            </w:pPr>
            <w:r w:rsidRPr="00E05440">
              <w:rPr>
                <w:rFonts w:eastAsia="Calibri" w:cs="Times New Roman"/>
                <w:szCs w:val="24"/>
              </w:rPr>
              <w:t>Dabasgāzes patēriņš gadā</w:t>
            </w:r>
          </w:p>
        </w:tc>
      </w:tr>
      <w:tr w:rsidR="00AC0D9A" w:rsidRPr="002869EC" w14:paraId="1CB7D4A9" w14:textId="77777777" w:rsidTr="00085AFE">
        <w:trPr>
          <w:trHeight w:val="269"/>
        </w:trPr>
        <w:tc>
          <w:tcPr>
            <w:tcW w:w="1276" w:type="dxa"/>
            <w:shd w:val="clear" w:color="auto" w:fill="auto"/>
          </w:tcPr>
          <w:p w14:paraId="32DA95AA" w14:textId="49A7AFA7" w:rsidR="00AC0D9A" w:rsidRPr="00FC3DA6" w:rsidRDefault="00AC0D9A" w:rsidP="006357B3">
            <w:pPr>
              <w:tabs>
                <w:tab w:val="left" w:pos="1494"/>
              </w:tabs>
              <w:spacing w:after="0" w:line="240" w:lineRule="auto"/>
              <w:ind w:firstLine="0"/>
              <w:rPr>
                <w:rFonts w:eastAsia="Times New Roman" w:cs="Times New Roman"/>
                <w:szCs w:val="24"/>
              </w:rPr>
            </w:pPr>
            <w:r>
              <w:rPr>
                <w:rFonts w:eastAsia="Times New Roman" w:cs="Times New Roman"/>
                <w:szCs w:val="24"/>
              </w:rPr>
              <w:t>IeM</w:t>
            </w:r>
          </w:p>
        </w:tc>
        <w:tc>
          <w:tcPr>
            <w:tcW w:w="7938" w:type="dxa"/>
            <w:shd w:val="clear" w:color="auto" w:fill="auto"/>
          </w:tcPr>
          <w:p w14:paraId="06AC57FA" w14:textId="033BF79E" w:rsidR="00AC0D9A" w:rsidRPr="00FC3DA6" w:rsidRDefault="00AC0D9A" w:rsidP="006357B3">
            <w:pPr>
              <w:tabs>
                <w:tab w:val="left" w:pos="1494"/>
              </w:tabs>
              <w:spacing w:after="0" w:line="240" w:lineRule="auto"/>
              <w:ind w:firstLine="0"/>
              <w:rPr>
                <w:rFonts w:eastAsia="Calibri" w:cs="Times New Roman"/>
                <w:szCs w:val="24"/>
              </w:rPr>
            </w:pPr>
            <w:proofErr w:type="spellStart"/>
            <w:r>
              <w:rPr>
                <w:rFonts w:eastAsia="Calibri" w:cs="Times New Roman"/>
                <w:szCs w:val="24"/>
              </w:rPr>
              <w:t>Iekšlietu</w:t>
            </w:r>
            <w:proofErr w:type="spellEnd"/>
            <w:r>
              <w:rPr>
                <w:rFonts w:eastAsia="Calibri" w:cs="Times New Roman"/>
                <w:szCs w:val="24"/>
              </w:rPr>
              <w:t xml:space="preserve"> ministrija</w:t>
            </w:r>
          </w:p>
        </w:tc>
      </w:tr>
      <w:tr w:rsidR="000E6E94" w:rsidRPr="002869EC" w14:paraId="10809D2D" w14:textId="77777777" w:rsidTr="00085AFE">
        <w:trPr>
          <w:trHeight w:val="269"/>
        </w:trPr>
        <w:tc>
          <w:tcPr>
            <w:tcW w:w="1276" w:type="dxa"/>
            <w:shd w:val="clear" w:color="auto" w:fill="auto"/>
          </w:tcPr>
          <w:p w14:paraId="3682CE77" w14:textId="424E3B60" w:rsidR="000E6E94" w:rsidRDefault="000E6E94" w:rsidP="006357B3">
            <w:pPr>
              <w:tabs>
                <w:tab w:val="left" w:pos="1494"/>
              </w:tabs>
              <w:spacing w:after="0" w:line="240" w:lineRule="auto"/>
              <w:ind w:firstLine="0"/>
              <w:rPr>
                <w:rFonts w:eastAsia="Times New Roman" w:cs="Times New Roman"/>
                <w:szCs w:val="24"/>
              </w:rPr>
            </w:pPr>
            <w:r>
              <w:rPr>
                <w:rFonts w:eastAsia="Times New Roman" w:cs="Times New Roman"/>
                <w:szCs w:val="24"/>
              </w:rPr>
              <w:t>IAM</w:t>
            </w:r>
          </w:p>
        </w:tc>
        <w:tc>
          <w:tcPr>
            <w:tcW w:w="7938" w:type="dxa"/>
            <w:shd w:val="clear" w:color="auto" w:fill="auto"/>
          </w:tcPr>
          <w:p w14:paraId="53376DEA" w14:textId="5F956A4C" w:rsidR="000E6E94" w:rsidRDefault="000E6E94" w:rsidP="006357B3">
            <w:pPr>
              <w:tabs>
                <w:tab w:val="left" w:pos="1494"/>
              </w:tabs>
              <w:spacing w:after="0" w:line="240" w:lineRule="auto"/>
              <w:ind w:firstLine="0"/>
              <w:rPr>
                <w:rFonts w:eastAsia="Calibri" w:cs="Times New Roman"/>
                <w:szCs w:val="24"/>
              </w:rPr>
            </w:pPr>
            <w:r>
              <w:rPr>
                <w:rFonts w:eastAsia="Calibri" w:cs="Times New Roman"/>
                <w:szCs w:val="24"/>
              </w:rPr>
              <w:t>I</w:t>
            </w:r>
            <w:r w:rsidRPr="000E6E94">
              <w:rPr>
                <w:rFonts w:eastAsia="Calibri" w:cs="Times New Roman"/>
                <w:szCs w:val="24"/>
              </w:rPr>
              <w:t>lgtspējīgas attīstības mērķi</w:t>
            </w:r>
          </w:p>
        </w:tc>
      </w:tr>
      <w:tr w:rsidR="0029545C" w:rsidRPr="002869EC" w14:paraId="31CFF79B" w14:textId="77777777" w:rsidTr="00085AFE">
        <w:trPr>
          <w:trHeight w:val="269"/>
        </w:trPr>
        <w:tc>
          <w:tcPr>
            <w:tcW w:w="1276" w:type="dxa"/>
            <w:shd w:val="clear" w:color="auto" w:fill="auto"/>
          </w:tcPr>
          <w:p w14:paraId="75E1E160" w14:textId="34D16997" w:rsidR="0029545C" w:rsidRDefault="0029545C" w:rsidP="006357B3">
            <w:pPr>
              <w:tabs>
                <w:tab w:val="left" w:pos="1494"/>
              </w:tabs>
              <w:spacing w:after="0" w:line="240" w:lineRule="auto"/>
              <w:ind w:firstLine="0"/>
              <w:rPr>
                <w:rFonts w:eastAsia="Times New Roman" w:cs="Times New Roman"/>
                <w:szCs w:val="24"/>
              </w:rPr>
            </w:pPr>
            <w:r>
              <w:rPr>
                <w:rFonts w:eastAsia="Times New Roman" w:cs="Times New Roman"/>
                <w:szCs w:val="24"/>
              </w:rPr>
              <w:t>IAN</w:t>
            </w:r>
          </w:p>
        </w:tc>
        <w:tc>
          <w:tcPr>
            <w:tcW w:w="7938" w:type="dxa"/>
            <w:shd w:val="clear" w:color="auto" w:fill="auto"/>
          </w:tcPr>
          <w:p w14:paraId="759009AC" w14:textId="030632D0" w:rsidR="0029545C" w:rsidRDefault="0029545C" w:rsidP="006357B3">
            <w:pPr>
              <w:tabs>
                <w:tab w:val="left" w:pos="1494"/>
              </w:tabs>
              <w:spacing w:after="0" w:line="240" w:lineRule="auto"/>
              <w:ind w:firstLine="0"/>
              <w:rPr>
                <w:rFonts w:eastAsia="Calibri" w:cs="Times New Roman"/>
                <w:szCs w:val="24"/>
              </w:rPr>
            </w:pPr>
            <w:r w:rsidRPr="0029545C">
              <w:rPr>
                <w:rFonts w:eastAsia="Calibri" w:cs="Times New Roman"/>
                <w:szCs w:val="24"/>
              </w:rPr>
              <w:t>Izložu un azartspēļu nodoklis</w:t>
            </w:r>
          </w:p>
        </w:tc>
      </w:tr>
      <w:tr w:rsidR="00CC4328" w:rsidRPr="002869EC" w14:paraId="3C14A198" w14:textId="77777777" w:rsidTr="00085AFE">
        <w:trPr>
          <w:trHeight w:val="269"/>
        </w:trPr>
        <w:tc>
          <w:tcPr>
            <w:tcW w:w="1276" w:type="dxa"/>
            <w:shd w:val="clear" w:color="auto" w:fill="auto"/>
          </w:tcPr>
          <w:p w14:paraId="3092B234" w14:textId="0EAF3CF9" w:rsidR="00CC4328" w:rsidRPr="00FC3DA6" w:rsidRDefault="00CC4328" w:rsidP="006357B3">
            <w:pPr>
              <w:tabs>
                <w:tab w:val="left" w:pos="1494"/>
              </w:tabs>
              <w:spacing w:after="0" w:line="240" w:lineRule="auto"/>
              <w:ind w:firstLine="0"/>
              <w:rPr>
                <w:rFonts w:eastAsia="Times New Roman" w:cs="Times New Roman"/>
                <w:szCs w:val="24"/>
              </w:rPr>
            </w:pPr>
            <w:r w:rsidRPr="00FC3DA6">
              <w:rPr>
                <w:rFonts w:eastAsia="Times New Roman" w:cs="Times New Roman"/>
                <w:szCs w:val="24"/>
              </w:rPr>
              <w:t>IIN</w:t>
            </w:r>
          </w:p>
        </w:tc>
        <w:tc>
          <w:tcPr>
            <w:tcW w:w="7938" w:type="dxa"/>
            <w:shd w:val="clear" w:color="auto" w:fill="auto"/>
          </w:tcPr>
          <w:p w14:paraId="06CB309D" w14:textId="1273A3BA"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Iedzīvotāju ienākuma nodoklis</w:t>
            </w:r>
          </w:p>
        </w:tc>
      </w:tr>
      <w:tr w:rsidR="00CC4328" w:rsidRPr="002869EC" w14:paraId="1E646D11" w14:textId="77777777" w:rsidTr="00085AFE">
        <w:trPr>
          <w:trHeight w:val="269"/>
        </w:trPr>
        <w:tc>
          <w:tcPr>
            <w:tcW w:w="1276" w:type="dxa"/>
            <w:shd w:val="clear" w:color="auto" w:fill="auto"/>
          </w:tcPr>
          <w:p w14:paraId="42EFDB7A" w14:textId="76A08CF6" w:rsidR="00CC4328" w:rsidRPr="00FC3DA6" w:rsidRDefault="00CC4328" w:rsidP="006357B3">
            <w:pPr>
              <w:tabs>
                <w:tab w:val="left" w:pos="1494"/>
              </w:tabs>
              <w:spacing w:after="0" w:line="240" w:lineRule="auto"/>
              <w:ind w:firstLine="0"/>
              <w:rPr>
                <w:rFonts w:eastAsia="Times New Roman" w:cs="Times New Roman"/>
                <w:szCs w:val="24"/>
              </w:rPr>
            </w:pPr>
            <w:r w:rsidRPr="00FC3DA6">
              <w:rPr>
                <w:rFonts w:eastAsia="Calibri" w:cs="Times New Roman"/>
                <w:szCs w:val="24"/>
              </w:rPr>
              <w:t>IKP</w:t>
            </w:r>
          </w:p>
        </w:tc>
        <w:tc>
          <w:tcPr>
            <w:tcW w:w="7938" w:type="dxa"/>
            <w:shd w:val="clear" w:color="auto" w:fill="auto"/>
          </w:tcPr>
          <w:p w14:paraId="06C3BE33" w14:textId="00F0F961"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Iekšzemes kopprodukts</w:t>
            </w:r>
          </w:p>
        </w:tc>
      </w:tr>
      <w:tr w:rsidR="009F63CB" w:rsidRPr="002869EC" w14:paraId="18A4BE18" w14:textId="77777777" w:rsidTr="00085AFE">
        <w:trPr>
          <w:trHeight w:val="269"/>
        </w:trPr>
        <w:tc>
          <w:tcPr>
            <w:tcW w:w="1276" w:type="dxa"/>
            <w:shd w:val="clear" w:color="auto" w:fill="auto"/>
          </w:tcPr>
          <w:p w14:paraId="26BE72BB" w14:textId="540D0964" w:rsidR="009F63CB" w:rsidRPr="00FC3DA6" w:rsidRDefault="009F63CB" w:rsidP="006357B3">
            <w:pPr>
              <w:tabs>
                <w:tab w:val="left" w:pos="1494"/>
              </w:tabs>
              <w:spacing w:after="0" w:line="240" w:lineRule="auto"/>
              <w:ind w:firstLine="0"/>
              <w:rPr>
                <w:rFonts w:eastAsia="Calibri" w:cs="Times New Roman"/>
                <w:szCs w:val="24"/>
              </w:rPr>
            </w:pPr>
            <w:r>
              <w:rPr>
                <w:rFonts w:eastAsia="Calibri" w:cs="Times New Roman"/>
                <w:szCs w:val="24"/>
              </w:rPr>
              <w:t>IZM</w:t>
            </w:r>
          </w:p>
        </w:tc>
        <w:tc>
          <w:tcPr>
            <w:tcW w:w="7938" w:type="dxa"/>
            <w:shd w:val="clear" w:color="auto" w:fill="auto"/>
          </w:tcPr>
          <w:p w14:paraId="7344274E" w14:textId="4EBC6C2A" w:rsidR="009F63CB" w:rsidRPr="00FC3DA6" w:rsidRDefault="009F63CB" w:rsidP="006357B3">
            <w:pPr>
              <w:tabs>
                <w:tab w:val="left" w:pos="1494"/>
              </w:tabs>
              <w:spacing w:after="0" w:line="240" w:lineRule="auto"/>
              <w:ind w:firstLine="0"/>
              <w:rPr>
                <w:rFonts w:eastAsia="Calibri" w:cs="Times New Roman"/>
                <w:szCs w:val="24"/>
              </w:rPr>
            </w:pPr>
            <w:r>
              <w:rPr>
                <w:rFonts w:eastAsia="Calibri" w:cs="Times New Roman"/>
                <w:szCs w:val="24"/>
              </w:rPr>
              <w:t>Izglītības un zinātnes ministrija</w:t>
            </w:r>
          </w:p>
        </w:tc>
      </w:tr>
      <w:tr w:rsidR="009F63CB" w:rsidRPr="002869EC" w14:paraId="50AF4402" w14:textId="77777777" w:rsidTr="00085AFE">
        <w:trPr>
          <w:trHeight w:val="269"/>
        </w:trPr>
        <w:tc>
          <w:tcPr>
            <w:tcW w:w="1276" w:type="dxa"/>
            <w:shd w:val="clear" w:color="auto" w:fill="auto"/>
          </w:tcPr>
          <w:p w14:paraId="12985438" w14:textId="2AE04D12" w:rsidR="009F63CB" w:rsidRPr="00FC3DA6" w:rsidRDefault="009F63CB" w:rsidP="006357B3">
            <w:pPr>
              <w:tabs>
                <w:tab w:val="left" w:pos="1494"/>
              </w:tabs>
              <w:spacing w:after="0" w:line="240" w:lineRule="auto"/>
              <w:ind w:firstLine="0"/>
              <w:rPr>
                <w:rFonts w:eastAsia="Calibri" w:cs="Times New Roman"/>
                <w:szCs w:val="24"/>
              </w:rPr>
            </w:pPr>
            <w:r>
              <w:rPr>
                <w:rFonts w:eastAsia="Calibri" w:cs="Times New Roman"/>
                <w:szCs w:val="24"/>
              </w:rPr>
              <w:t>KEM</w:t>
            </w:r>
          </w:p>
        </w:tc>
        <w:tc>
          <w:tcPr>
            <w:tcW w:w="7938" w:type="dxa"/>
            <w:shd w:val="clear" w:color="auto" w:fill="auto"/>
          </w:tcPr>
          <w:p w14:paraId="78E3A7F4" w14:textId="24791446" w:rsidR="009F63CB" w:rsidRPr="00FC3DA6" w:rsidRDefault="009F63CB" w:rsidP="006357B3">
            <w:pPr>
              <w:tabs>
                <w:tab w:val="left" w:pos="1494"/>
              </w:tabs>
              <w:spacing w:after="0" w:line="240" w:lineRule="auto"/>
              <w:ind w:firstLine="0"/>
              <w:rPr>
                <w:rFonts w:eastAsia="Calibri" w:cs="Times New Roman"/>
                <w:szCs w:val="24"/>
              </w:rPr>
            </w:pPr>
            <w:r w:rsidRPr="009F63CB">
              <w:rPr>
                <w:rFonts w:eastAsia="Calibri" w:cs="Times New Roman"/>
                <w:szCs w:val="24"/>
              </w:rPr>
              <w:t>Klimata un enerģētikas ministrija</w:t>
            </w:r>
          </w:p>
        </w:tc>
      </w:tr>
      <w:tr w:rsidR="00FC6D27" w:rsidRPr="002869EC" w14:paraId="0E140A07" w14:textId="77777777" w:rsidTr="00085AFE">
        <w:trPr>
          <w:trHeight w:val="269"/>
        </w:trPr>
        <w:tc>
          <w:tcPr>
            <w:tcW w:w="1276" w:type="dxa"/>
            <w:shd w:val="clear" w:color="auto" w:fill="auto"/>
          </w:tcPr>
          <w:p w14:paraId="47834CAF" w14:textId="0C7C6ACC" w:rsidR="00FC6D27" w:rsidRDefault="00FC6D27" w:rsidP="006357B3">
            <w:pPr>
              <w:tabs>
                <w:tab w:val="left" w:pos="1494"/>
              </w:tabs>
              <w:spacing w:after="0" w:line="240" w:lineRule="auto"/>
              <w:ind w:firstLine="0"/>
              <w:rPr>
                <w:rFonts w:eastAsia="Calibri" w:cs="Times New Roman"/>
                <w:szCs w:val="24"/>
              </w:rPr>
            </w:pPr>
            <w:r>
              <w:rPr>
                <w:rFonts w:eastAsia="Calibri" w:cs="Times New Roman"/>
                <w:szCs w:val="24"/>
              </w:rPr>
              <w:t>KF</w:t>
            </w:r>
          </w:p>
        </w:tc>
        <w:tc>
          <w:tcPr>
            <w:tcW w:w="7938" w:type="dxa"/>
            <w:shd w:val="clear" w:color="auto" w:fill="auto"/>
          </w:tcPr>
          <w:p w14:paraId="1321ADC5" w14:textId="7CF11A83" w:rsidR="00FC6D27" w:rsidRPr="009F63CB" w:rsidRDefault="00FC6D27" w:rsidP="006357B3">
            <w:pPr>
              <w:tabs>
                <w:tab w:val="left" w:pos="1494"/>
              </w:tabs>
              <w:spacing w:after="0" w:line="240" w:lineRule="auto"/>
              <w:ind w:firstLine="0"/>
              <w:rPr>
                <w:rFonts w:eastAsia="Calibri" w:cs="Times New Roman"/>
                <w:szCs w:val="24"/>
              </w:rPr>
            </w:pPr>
            <w:r w:rsidRPr="00FC6D27">
              <w:rPr>
                <w:rFonts w:eastAsia="Calibri" w:cs="Times New Roman"/>
                <w:szCs w:val="24"/>
              </w:rPr>
              <w:t>Eiropas Savienības Kohēzijas fonds</w:t>
            </w:r>
          </w:p>
        </w:tc>
      </w:tr>
      <w:tr w:rsidR="00AC0D9A" w:rsidRPr="002869EC" w14:paraId="5E3802A0" w14:textId="77777777" w:rsidTr="00085AFE">
        <w:trPr>
          <w:trHeight w:val="269"/>
        </w:trPr>
        <w:tc>
          <w:tcPr>
            <w:tcW w:w="1276" w:type="dxa"/>
            <w:shd w:val="clear" w:color="auto" w:fill="auto"/>
          </w:tcPr>
          <w:p w14:paraId="2DC7FD1E" w14:textId="40B40A44" w:rsidR="00AC0D9A" w:rsidRDefault="00AC0D9A" w:rsidP="006357B3">
            <w:pPr>
              <w:tabs>
                <w:tab w:val="left" w:pos="1494"/>
              </w:tabs>
              <w:spacing w:after="0" w:line="240" w:lineRule="auto"/>
              <w:ind w:firstLine="0"/>
              <w:rPr>
                <w:rFonts w:eastAsia="Calibri" w:cs="Times New Roman"/>
                <w:szCs w:val="24"/>
              </w:rPr>
            </w:pPr>
            <w:r>
              <w:rPr>
                <w:rFonts w:eastAsia="Calibri" w:cs="Times New Roman"/>
                <w:szCs w:val="24"/>
              </w:rPr>
              <w:t>KM</w:t>
            </w:r>
          </w:p>
        </w:tc>
        <w:tc>
          <w:tcPr>
            <w:tcW w:w="7938" w:type="dxa"/>
            <w:shd w:val="clear" w:color="auto" w:fill="auto"/>
          </w:tcPr>
          <w:p w14:paraId="6C4640FC" w14:textId="7C36824E" w:rsidR="00AC0D9A" w:rsidRPr="00FC6D27" w:rsidRDefault="00AC0D9A" w:rsidP="006357B3">
            <w:pPr>
              <w:tabs>
                <w:tab w:val="left" w:pos="1494"/>
              </w:tabs>
              <w:spacing w:after="0" w:line="240" w:lineRule="auto"/>
              <w:ind w:firstLine="0"/>
              <w:rPr>
                <w:rFonts w:eastAsia="Calibri" w:cs="Times New Roman"/>
                <w:szCs w:val="24"/>
              </w:rPr>
            </w:pPr>
            <w:r>
              <w:rPr>
                <w:rFonts w:eastAsia="Calibri" w:cs="Times New Roman"/>
                <w:szCs w:val="24"/>
              </w:rPr>
              <w:t>Kultūras ministrija</w:t>
            </w:r>
          </w:p>
        </w:tc>
      </w:tr>
      <w:tr w:rsidR="00FC6D27" w:rsidRPr="002869EC" w14:paraId="232178DE" w14:textId="77777777" w:rsidTr="00085AFE">
        <w:trPr>
          <w:trHeight w:val="269"/>
        </w:trPr>
        <w:tc>
          <w:tcPr>
            <w:tcW w:w="1276" w:type="dxa"/>
            <w:shd w:val="clear" w:color="auto" w:fill="auto"/>
          </w:tcPr>
          <w:p w14:paraId="32520A38" w14:textId="3416A178" w:rsidR="00FC6D27" w:rsidRDefault="00FC6D27" w:rsidP="006357B3">
            <w:pPr>
              <w:tabs>
                <w:tab w:val="left" w:pos="1494"/>
              </w:tabs>
              <w:spacing w:after="0" w:line="240" w:lineRule="auto"/>
              <w:ind w:firstLine="0"/>
              <w:rPr>
                <w:rFonts w:eastAsia="Calibri" w:cs="Times New Roman"/>
                <w:szCs w:val="24"/>
              </w:rPr>
            </w:pPr>
            <w:r>
              <w:rPr>
                <w:rFonts w:eastAsia="Calibri" w:cs="Times New Roman"/>
                <w:szCs w:val="24"/>
              </w:rPr>
              <w:t>LAD</w:t>
            </w:r>
          </w:p>
        </w:tc>
        <w:tc>
          <w:tcPr>
            <w:tcW w:w="7938" w:type="dxa"/>
            <w:shd w:val="clear" w:color="auto" w:fill="auto"/>
          </w:tcPr>
          <w:p w14:paraId="105EE26F" w14:textId="31BE14A0" w:rsidR="00FC6D27" w:rsidRPr="009F63CB" w:rsidRDefault="00FC6D27" w:rsidP="006357B3">
            <w:pPr>
              <w:tabs>
                <w:tab w:val="left" w:pos="1494"/>
              </w:tabs>
              <w:spacing w:after="0" w:line="240" w:lineRule="auto"/>
              <w:ind w:firstLine="0"/>
              <w:rPr>
                <w:rFonts w:eastAsia="Calibri" w:cs="Times New Roman"/>
                <w:szCs w:val="24"/>
              </w:rPr>
            </w:pPr>
            <w:r w:rsidRPr="00FC6D27">
              <w:rPr>
                <w:rFonts w:eastAsia="Calibri" w:cs="Times New Roman"/>
                <w:szCs w:val="24"/>
              </w:rPr>
              <w:t>Lauku atbalsta dienests</w:t>
            </w:r>
          </w:p>
        </w:tc>
      </w:tr>
      <w:tr w:rsidR="00AA2636" w:rsidRPr="002869EC" w14:paraId="04C966D7" w14:textId="77777777" w:rsidTr="00085AFE">
        <w:trPr>
          <w:trHeight w:val="269"/>
        </w:trPr>
        <w:tc>
          <w:tcPr>
            <w:tcW w:w="1276" w:type="dxa"/>
            <w:shd w:val="clear" w:color="auto" w:fill="auto"/>
          </w:tcPr>
          <w:p w14:paraId="0A4268E0" w14:textId="2F69F5F6"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LB</w:t>
            </w:r>
          </w:p>
        </w:tc>
        <w:tc>
          <w:tcPr>
            <w:tcW w:w="7938" w:type="dxa"/>
            <w:shd w:val="clear" w:color="auto" w:fill="auto"/>
          </w:tcPr>
          <w:p w14:paraId="30BE04C2" w14:textId="22070C87"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Latvijas Banka</w:t>
            </w:r>
          </w:p>
        </w:tc>
      </w:tr>
      <w:tr w:rsidR="00CC4328" w:rsidRPr="002869EC" w14:paraId="7E093814" w14:textId="77777777" w:rsidTr="00085AFE">
        <w:trPr>
          <w:trHeight w:val="269"/>
        </w:trPr>
        <w:tc>
          <w:tcPr>
            <w:tcW w:w="1276" w:type="dxa"/>
            <w:shd w:val="clear" w:color="auto" w:fill="auto"/>
          </w:tcPr>
          <w:p w14:paraId="5638185F" w14:textId="7AA74411"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LBFV</w:t>
            </w:r>
          </w:p>
        </w:tc>
        <w:tc>
          <w:tcPr>
            <w:tcW w:w="7938" w:type="dxa"/>
            <w:shd w:val="clear" w:color="auto" w:fill="auto"/>
          </w:tcPr>
          <w:p w14:paraId="410BD578" w14:textId="46F48542"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Likums par budžeta un finanšu vadību</w:t>
            </w:r>
          </w:p>
        </w:tc>
      </w:tr>
      <w:tr w:rsidR="00AA2636" w:rsidRPr="002869EC" w14:paraId="5B403D8D" w14:textId="77777777" w:rsidTr="00085AFE">
        <w:trPr>
          <w:trHeight w:val="269"/>
        </w:trPr>
        <w:tc>
          <w:tcPr>
            <w:tcW w:w="1276" w:type="dxa"/>
            <w:shd w:val="clear" w:color="auto" w:fill="auto"/>
          </w:tcPr>
          <w:p w14:paraId="5C28DD47" w14:textId="3ADF9C2A"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LM</w:t>
            </w:r>
          </w:p>
        </w:tc>
        <w:tc>
          <w:tcPr>
            <w:tcW w:w="7938" w:type="dxa"/>
            <w:shd w:val="clear" w:color="auto" w:fill="auto"/>
          </w:tcPr>
          <w:p w14:paraId="26BDD279" w14:textId="7D876D90" w:rsidR="00AA2636"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Labklājības ministrija</w:t>
            </w:r>
          </w:p>
        </w:tc>
      </w:tr>
      <w:tr w:rsidR="00CC4328" w:rsidRPr="002869EC" w14:paraId="58EDE83A" w14:textId="77777777" w:rsidTr="00085AFE">
        <w:trPr>
          <w:trHeight w:val="269"/>
        </w:trPr>
        <w:tc>
          <w:tcPr>
            <w:tcW w:w="1276" w:type="dxa"/>
            <w:shd w:val="clear" w:color="auto" w:fill="auto"/>
          </w:tcPr>
          <w:p w14:paraId="42B94F27" w14:textId="4A623152"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LPS</w:t>
            </w:r>
          </w:p>
        </w:tc>
        <w:tc>
          <w:tcPr>
            <w:tcW w:w="7938" w:type="dxa"/>
            <w:shd w:val="clear" w:color="auto" w:fill="auto"/>
          </w:tcPr>
          <w:p w14:paraId="5A1E569F" w14:textId="2364DAA9"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Latvijas Pašvaldību savienība</w:t>
            </w:r>
          </w:p>
        </w:tc>
      </w:tr>
      <w:tr w:rsidR="005A608F" w:rsidRPr="002869EC" w14:paraId="5D4E7C4E" w14:textId="77777777" w:rsidTr="00085AFE">
        <w:trPr>
          <w:trHeight w:val="269"/>
        </w:trPr>
        <w:tc>
          <w:tcPr>
            <w:tcW w:w="1276" w:type="dxa"/>
            <w:shd w:val="clear" w:color="auto" w:fill="auto"/>
          </w:tcPr>
          <w:p w14:paraId="1DF7D03D" w14:textId="67EFD584" w:rsidR="005A608F" w:rsidRPr="00FC3DA6" w:rsidRDefault="005A608F" w:rsidP="006357B3">
            <w:pPr>
              <w:tabs>
                <w:tab w:val="left" w:pos="1494"/>
              </w:tabs>
              <w:spacing w:after="0" w:line="240" w:lineRule="auto"/>
              <w:ind w:firstLine="0"/>
              <w:rPr>
                <w:rFonts w:eastAsia="Calibri" w:cs="Times New Roman"/>
                <w:szCs w:val="24"/>
              </w:rPr>
            </w:pPr>
            <w:r>
              <w:rPr>
                <w:rFonts w:eastAsia="Calibri" w:cs="Times New Roman"/>
                <w:szCs w:val="24"/>
              </w:rPr>
              <w:t>LZP</w:t>
            </w:r>
          </w:p>
        </w:tc>
        <w:tc>
          <w:tcPr>
            <w:tcW w:w="7938" w:type="dxa"/>
            <w:shd w:val="clear" w:color="auto" w:fill="auto"/>
          </w:tcPr>
          <w:p w14:paraId="46FC6F81" w14:textId="3C7A8F67" w:rsidR="005A608F" w:rsidRPr="00FC3DA6" w:rsidRDefault="005A608F" w:rsidP="006357B3">
            <w:pPr>
              <w:tabs>
                <w:tab w:val="left" w:pos="1494"/>
              </w:tabs>
              <w:spacing w:after="0" w:line="240" w:lineRule="auto"/>
              <w:ind w:firstLine="0"/>
              <w:rPr>
                <w:rFonts w:eastAsia="Calibri" w:cs="Times New Roman"/>
                <w:szCs w:val="24"/>
              </w:rPr>
            </w:pPr>
            <w:r w:rsidRPr="005A608F">
              <w:rPr>
                <w:rFonts w:eastAsia="Calibri" w:cs="Times New Roman"/>
                <w:szCs w:val="24"/>
              </w:rPr>
              <w:t>Latvijas zinātnes padome</w:t>
            </w:r>
          </w:p>
        </w:tc>
      </w:tr>
      <w:tr w:rsidR="00AC0D9A" w:rsidRPr="002869EC" w14:paraId="1871079B" w14:textId="77777777" w:rsidTr="00085AFE">
        <w:trPr>
          <w:trHeight w:val="269"/>
        </w:trPr>
        <w:tc>
          <w:tcPr>
            <w:tcW w:w="1276" w:type="dxa"/>
            <w:shd w:val="clear" w:color="auto" w:fill="auto"/>
          </w:tcPr>
          <w:p w14:paraId="04FBED02" w14:textId="252D9591" w:rsidR="00AC0D9A" w:rsidRPr="00FC3DA6" w:rsidRDefault="00AC0D9A" w:rsidP="006357B3">
            <w:pPr>
              <w:tabs>
                <w:tab w:val="left" w:pos="1494"/>
              </w:tabs>
              <w:spacing w:after="0" w:line="240" w:lineRule="auto"/>
              <w:ind w:firstLine="0"/>
              <w:rPr>
                <w:rFonts w:eastAsia="Calibri" w:cs="Times New Roman"/>
                <w:szCs w:val="24"/>
              </w:rPr>
            </w:pPr>
            <w:r>
              <w:rPr>
                <w:rFonts w:eastAsia="Calibri" w:cs="Times New Roman"/>
                <w:szCs w:val="24"/>
              </w:rPr>
              <w:t>MFF</w:t>
            </w:r>
          </w:p>
        </w:tc>
        <w:tc>
          <w:tcPr>
            <w:tcW w:w="7938" w:type="dxa"/>
            <w:shd w:val="clear" w:color="auto" w:fill="auto"/>
          </w:tcPr>
          <w:p w14:paraId="4FC01EF9" w14:textId="7ED90240" w:rsidR="00AC0D9A" w:rsidRPr="00FC3DA6" w:rsidRDefault="00AC0D9A" w:rsidP="006357B3">
            <w:pPr>
              <w:tabs>
                <w:tab w:val="left" w:pos="1494"/>
              </w:tabs>
              <w:spacing w:after="0" w:line="240" w:lineRule="auto"/>
              <w:ind w:firstLine="0"/>
              <w:rPr>
                <w:rFonts w:eastAsia="Calibri" w:cs="Times New Roman"/>
                <w:szCs w:val="24"/>
              </w:rPr>
            </w:pPr>
            <w:r w:rsidRPr="00AC0D9A">
              <w:rPr>
                <w:rFonts w:eastAsia="Calibri" w:cs="Times New Roman"/>
                <w:szCs w:val="24"/>
              </w:rPr>
              <w:t>Daudzgadu finanšu shēma</w:t>
            </w:r>
          </w:p>
        </w:tc>
      </w:tr>
      <w:tr w:rsidR="00CC4328" w:rsidRPr="002869EC" w14:paraId="46670C7C" w14:textId="77777777" w:rsidTr="00085AFE">
        <w:trPr>
          <w:trHeight w:val="269"/>
        </w:trPr>
        <w:tc>
          <w:tcPr>
            <w:tcW w:w="1276" w:type="dxa"/>
            <w:shd w:val="clear" w:color="auto" w:fill="auto"/>
          </w:tcPr>
          <w:p w14:paraId="39F2EA70" w14:textId="065EE282"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MK</w:t>
            </w:r>
          </w:p>
        </w:tc>
        <w:tc>
          <w:tcPr>
            <w:tcW w:w="7938" w:type="dxa"/>
            <w:shd w:val="clear" w:color="auto" w:fill="auto"/>
          </w:tcPr>
          <w:p w14:paraId="37189DB5" w14:textId="69D1DE5E"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Ministru kabinets</w:t>
            </w:r>
          </w:p>
        </w:tc>
      </w:tr>
      <w:tr w:rsidR="009F63CB" w:rsidRPr="002869EC" w14:paraId="3C223C00" w14:textId="77777777" w:rsidTr="00085AFE">
        <w:trPr>
          <w:trHeight w:val="269"/>
        </w:trPr>
        <w:tc>
          <w:tcPr>
            <w:tcW w:w="1276" w:type="dxa"/>
            <w:shd w:val="clear" w:color="auto" w:fill="auto"/>
          </w:tcPr>
          <w:p w14:paraId="2677E29F" w14:textId="66679F7A" w:rsidR="009F63CB" w:rsidRPr="00FC3DA6" w:rsidRDefault="009F63CB" w:rsidP="006357B3">
            <w:pPr>
              <w:tabs>
                <w:tab w:val="left" w:pos="1494"/>
              </w:tabs>
              <w:spacing w:after="0" w:line="240" w:lineRule="auto"/>
              <w:ind w:firstLine="0"/>
              <w:rPr>
                <w:rFonts w:eastAsia="Calibri" w:cs="Times New Roman"/>
                <w:szCs w:val="24"/>
              </w:rPr>
            </w:pPr>
            <w:r w:rsidRPr="009F63CB">
              <w:rPr>
                <w:rFonts w:eastAsia="Calibri" w:cs="Times New Roman"/>
                <w:szCs w:val="24"/>
              </w:rPr>
              <w:t>NNFPI</w:t>
            </w:r>
          </w:p>
        </w:tc>
        <w:tc>
          <w:tcPr>
            <w:tcW w:w="7938" w:type="dxa"/>
            <w:shd w:val="clear" w:color="auto" w:fill="auto"/>
          </w:tcPr>
          <w:p w14:paraId="603DC101" w14:textId="5743B669" w:rsidR="009F63CB" w:rsidRPr="00FC3DA6" w:rsidRDefault="009F63CB" w:rsidP="006357B3">
            <w:pPr>
              <w:tabs>
                <w:tab w:val="left" w:pos="1494"/>
              </w:tabs>
              <w:spacing w:after="0" w:line="240" w:lineRule="auto"/>
              <w:ind w:firstLine="0"/>
              <w:rPr>
                <w:rFonts w:eastAsia="Calibri" w:cs="Times New Roman"/>
                <w:szCs w:val="24"/>
              </w:rPr>
            </w:pPr>
            <w:r>
              <w:rPr>
                <w:rFonts w:eastAsia="Calibri" w:cs="Times New Roman"/>
                <w:szCs w:val="24"/>
              </w:rPr>
              <w:t>N</w:t>
            </w:r>
            <w:r w:rsidRPr="009F63CB">
              <w:rPr>
                <w:rFonts w:eastAsia="Calibri" w:cs="Times New Roman"/>
                <w:szCs w:val="24"/>
              </w:rPr>
              <w:t>eto nacionāli finansēti primār</w:t>
            </w:r>
            <w:r>
              <w:rPr>
                <w:rFonts w:eastAsia="Calibri" w:cs="Times New Roman"/>
                <w:szCs w:val="24"/>
              </w:rPr>
              <w:t>ie</w:t>
            </w:r>
            <w:r w:rsidRPr="009F63CB">
              <w:rPr>
                <w:rFonts w:eastAsia="Calibri" w:cs="Times New Roman"/>
                <w:szCs w:val="24"/>
              </w:rPr>
              <w:t xml:space="preserve"> izdevumi</w:t>
            </w:r>
          </w:p>
        </w:tc>
      </w:tr>
      <w:tr w:rsidR="00963B1F" w:rsidRPr="002869EC" w14:paraId="1F636961" w14:textId="77777777" w:rsidTr="00085AFE">
        <w:trPr>
          <w:trHeight w:val="269"/>
        </w:trPr>
        <w:tc>
          <w:tcPr>
            <w:tcW w:w="1276" w:type="dxa"/>
            <w:shd w:val="clear" w:color="auto" w:fill="auto"/>
          </w:tcPr>
          <w:p w14:paraId="061FC59F" w14:textId="1BF271E8" w:rsidR="00963B1F" w:rsidRPr="00FC3DA6" w:rsidRDefault="00963B1F" w:rsidP="006357B3">
            <w:pPr>
              <w:tabs>
                <w:tab w:val="left" w:pos="1494"/>
              </w:tabs>
              <w:spacing w:after="0" w:line="240" w:lineRule="auto"/>
              <w:ind w:firstLine="0"/>
              <w:rPr>
                <w:rFonts w:eastAsia="Calibri" w:cs="Times New Roman"/>
                <w:szCs w:val="24"/>
              </w:rPr>
            </w:pPr>
            <w:r>
              <w:rPr>
                <w:rFonts w:eastAsia="Calibri" w:cs="Times New Roman"/>
                <w:szCs w:val="24"/>
              </w:rPr>
              <w:t>NVD</w:t>
            </w:r>
          </w:p>
        </w:tc>
        <w:tc>
          <w:tcPr>
            <w:tcW w:w="7938" w:type="dxa"/>
            <w:shd w:val="clear" w:color="auto" w:fill="auto"/>
          </w:tcPr>
          <w:p w14:paraId="0BED0848" w14:textId="54BC71B5" w:rsidR="00963B1F" w:rsidRPr="00FC3DA6" w:rsidRDefault="00963B1F" w:rsidP="006357B3">
            <w:pPr>
              <w:tabs>
                <w:tab w:val="left" w:pos="1494"/>
              </w:tabs>
              <w:spacing w:after="0" w:line="240" w:lineRule="auto"/>
              <w:ind w:firstLine="0"/>
              <w:rPr>
                <w:rFonts w:eastAsia="Calibri" w:cs="Times New Roman"/>
                <w:szCs w:val="24"/>
              </w:rPr>
            </w:pPr>
            <w:r w:rsidRPr="00963B1F">
              <w:rPr>
                <w:rFonts w:eastAsia="Calibri" w:cs="Times New Roman"/>
                <w:szCs w:val="24"/>
              </w:rPr>
              <w:t>Nacionālais veselības dienests</w:t>
            </w:r>
          </w:p>
        </w:tc>
      </w:tr>
      <w:tr w:rsidR="00DD30EB" w:rsidRPr="002869EC" w14:paraId="3F663A63" w14:textId="77777777" w:rsidTr="00085AFE">
        <w:trPr>
          <w:trHeight w:val="269"/>
        </w:trPr>
        <w:tc>
          <w:tcPr>
            <w:tcW w:w="1276" w:type="dxa"/>
            <w:shd w:val="clear" w:color="auto" w:fill="auto"/>
          </w:tcPr>
          <w:p w14:paraId="5EF25EEB" w14:textId="35B57E90" w:rsidR="00DD30EB" w:rsidRPr="00FC3DA6" w:rsidRDefault="00DD30EB" w:rsidP="006357B3">
            <w:pPr>
              <w:tabs>
                <w:tab w:val="left" w:pos="1494"/>
              </w:tabs>
              <w:spacing w:after="0" w:line="240" w:lineRule="auto"/>
              <w:ind w:firstLine="0"/>
              <w:rPr>
                <w:rFonts w:eastAsia="Calibri" w:cs="Times New Roman"/>
                <w:szCs w:val="24"/>
              </w:rPr>
            </w:pPr>
            <w:r w:rsidRPr="00FC3DA6">
              <w:rPr>
                <w:rFonts w:eastAsia="Calibri" w:cs="Times New Roman"/>
                <w:szCs w:val="24"/>
              </w:rPr>
              <w:lastRenderedPageBreak/>
              <w:t>PCI</w:t>
            </w:r>
          </w:p>
        </w:tc>
        <w:tc>
          <w:tcPr>
            <w:tcW w:w="7938" w:type="dxa"/>
            <w:shd w:val="clear" w:color="auto" w:fill="auto"/>
          </w:tcPr>
          <w:p w14:paraId="13304F7D" w14:textId="54D96FE9" w:rsidR="00DD30EB" w:rsidRPr="00FC3DA6" w:rsidRDefault="00DD30EB" w:rsidP="006357B3">
            <w:pPr>
              <w:tabs>
                <w:tab w:val="left" w:pos="1494"/>
              </w:tabs>
              <w:spacing w:after="0" w:line="240" w:lineRule="auto"/>
              <w:ind w:firstLine="0"/>
              <w:rPr>
                <w:rFonts w:eastAsia="Calibri" w:cs="Times New Roman"/>
                <w:szCs w:val="24"/>
              </w:rPr>
            </w:pPr>
            <w:r w:rsidRPr="00FC3DA6">
              <w:rPr>
                <w:rFonts w:eastAsia="Calibri" w:cs="Times New Roman"/>
                <w:szCs w:val="24"/>
              </w:rPr>
              <w:t>Patēriņa cenu indekss</w:t>
            </w:r>
          </w:p>
        </w:tc>
      </w:tr>
      <w:tr w:rsidR="00CC4328" w:rsidRPr="002869EC" w14:paraId="5F4D4AB5" w14:textId="77777777" w:rsidTr="00085AFE">
        <w:trPr>
          <w:trHeight w:val="269"/>
        </w:trPr>
        <w:tc>
          <w:tcPr>
            <w:tcW w:w="1276" w:type="dxa"/>
            <w:shd w:val="clear" w:color="auto" w:fill="auto"/>
          </w:tcPr>
          <w:p w14:paraId="4C329D4C" w14:textId="6736F311"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PMI</w:t>
            </w:r>
          </w:p>
        </w:tc>
        <w:tc>
          <w:tcPr>
            <w:tcW w:w="7938" w:type="dxa"/>
            <w:shd w:val="clear" w:color="auto" w:fill="auto"/>
          </w:tcPr>
          <w:p w14:paraId="4CC93D9B" w14:textId="255775F5"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Times New Roman" w:cs="Times New Roman"/>
                <w:szCs w:val="24"/>
              </w:rPr>
              <w:t xml:space="preserve">Iepirkumu vadītāju indekss </w:t>
            </w:r>
          </w:p>
        </w:tc>
      </w:tr>
      <w:tr w:rsidR="00CC4328" w:rsidRPr="002869EC" w14:paraId="0020A6CE" w14:textId="77777777" w:rsidTr="00085AFE">
        <w:trPr>
          <w:trHeight w:val="269"/>
        </w:trPr>
        <w:tc>
          <w:tcPr>
            <w:tcW w:w="1276" w:type="dxa"/>
            <w:shd w:val="clear" w:color="auto" w:fill="auto"/>
          </w:tcPr>
          <w:p w14:paraId="5F45BBAB" w14:textId="03869512"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PVN</w:t>
            </w:r>
          </w:p>
        </w:tc>
        <w:tc>
          <w:tcPr>
            <w:tcW w:w="7938" w:type="dxa"/>
            <w:shd w:val="clear" w:color="auto" w:fill="auto"/>
          </w:tcPr>
          <w:p w14:paraId="113D84E9" w14:textId="03A95F50"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Pievienotās vērtības nodoklis</w:t>
            </w:r>
          </w:p>
        </w:tc>
      </w:tr>
      <w:tr w:rsidR="009A6598" w:rsidRPr="002869EC" w14:paraId="5676123E" w14:textId="77777777" w:rsidTr="00085AFE">
        <w:trPr>
          <w:trHeight w:val="269"/>
        </w:trPr>
        <w:tc>
          <w:tcPr>
            <w:tcW w:w="1276" w:type="dxa"/>
            <w:shd w:val="clear" w:color="auto" w:fill="auto"/>
          </w:tcPr>
          <w:p w14:paraId="74727791" w14:textId="71507ED2" w:rsidR="009A6598" w:rsidRPr="00FC3DA6" w:rsidRDefault="009A6598" w:rsidP="006357B3">
            <w:pPr>
              <w:tabs>
                <w:tab w:val="left" w:pos="1494"/>
              </w:tabs>
              <w:spacing w:after="0" w:line="240" w:lineRule="auto"/>
              <w:ind w:firstLine="0"/>
              <w:rPr>
                <w:rFonts w:eastAsia="Calibri" w:cs="Times New Roman"/>
                <w:szCs w:val="24"/>
              </w:rPr>
            </w:pPr>
            <w:r>
              <w:rPr>
                <w:rFonts w:eastAsia="Calibri" w:cs="Times New Roman"/>
                <w:szCs w:val="24"/>
              </w:rPr>
              <w:t>Regula</w:t>
            </w:r>
          </w:p>
        </w:tc>
        <w:tc>
          <w:tcPr>
            <w:tcW w:w="7938" w:type="dxa"/>
            <w:shd w:val="clear" w:color="auto" w:fill="auto"/>
          </w:tcPr>
          <w:p w14:paraId="6661F161" w14:textId="7C4D2E23" w:rsidR="009A6598" w:rsidRPr="00FC3DA6" w:rsidRDefault="009A6598" w:rsidP="006357B3">
            <w:pPr>
              <w:tabs>
                <w:tab w:val="left" w:pos="1494"/>
              </w:tabs>
              <w:spacing w:after="0" w:line="240" w:lineRule="auto"/>
              <w:ind w:firstLine="0"/>
              <w:rPr>
                <w:rFonts w:eastAsia="Calibri" w:cs="Times New Roman"/>
                <w:szCs w:val="24"/>
              </w:rPr>
            </w:pPr>
            <w:r w:rsidRPr="009A6598">
              <w:rPr>
                <w:rFonts w:eastAsia="Calibri" w:cs="Times New Roman"/>
                <w:szCs w:val="24"/>
              </w:rPr>
              <w:t>Eiropas Parlamenta un Padomes 2024. gada 29. aprīļa Regula (ES) 2024/1263 par ekonomikas politikas efektīvu koordināciju un budžeta daudzpusēju uzraudzību un ar ko atceļ Padomes Regulu (EK) Nr. 1466/97</w:t>
            </w:r>
          </w:p>
        </w:tc>
      </w:tr>
      <w:tr w:rsidR="00FC6D27" w:rsidRPr="002869EC" w14:paraId="5AD5546F" w14:textId="77777777" w:rsidTr="00085AFE">
        <w:trPr>
          <w:trHeight w:val="269"/>
        </w:trPr>
        <w:tc>
          <w:tcPr>
            <w:tcW w:w="1276" w:type="dxa"/>
            <w:shd w:val="clear" w:color="auto" w:fill="auto"/>
          </w:tcPr>
          <w:p w14:paraId="2EE9DA6A" w14:textId="2C752E18" w:rsidR="00FC6D27" w:rsidRDefault="00FC6D27" w:rsidP="006357B3">
            <w:pPr>
              <w:tabs>
                <w:tab w:val="left" w:pos="1494"/>
              </w:tabs>
              <w:spacing w:after="0" w:line="240" w:lineRule="auto"/>
              <w:ind w:firstLine="0"/>
              <w:rPr>
                <w:rFonts w:eastAsia="Calibri" w:cs="Times New Roman"/>
                <w:szCs w:val="24"/>
              </w:rPr>
            </w:pPr>
            <w:r>
              <w:rPr>
                <w:rFonts w:eastAsia="Calibri" w:cs="Times New Roman"/>
                <w:szCs w:val="24"/>
              </w:rPr>
              <w:t>SM</w:t>
            </w:r>
          </w:p>
        </w:tc>
        <w:tc>
          <w:tcPr>
            <w:tcW w:w="7938" w:type="dxa"/>
            <w:shd w:val="clear" w:color="auto" w:fill="auto"/>
          </w:tcPr>
          <w:p w14:paraId="5C6CF3E4" w14:textId="60D6C5D7" w:rsidR="00FC6D27" w:rsidRPr="009A6598" w:rsidRDefault="00FC6D27" w:rsidP="006357B3">
            <w:pPr>
              <w:tabs>
                <w:tab w:val="left" w:pos="1494"/>
              </w:tabs>
              <w:spacing w:after="0" w:line="240" w:lineRule="auto"/>
              <w:ind w:firstLine="0"/>
              <w:rPr>
                <w:rFonts w:eastAsia="Calibri" w:cs="Times New Roman"/>
                <w:szCs w:val="24"/>
              </w:rPr>
            </w:pPr>
            <w:r>
              <w:rPr>
                <w:rFonts w:eastAsia="Calibri" w:cs="Times New Roman"/>
                <w:szCs w:val="24"/>
              </w:rPr>
              <w:t>Satiksmes ministrija</w:t>
            </w:r>
          </w:p>
        </w:tc>
      </w:tr>
      <w:tr w:rsidR="00CC4328" w:rsidRPr="002869EC" w14:paraId="4CE56067" w14:textId="77777777" w:rsidTr="00085AFE">
        <w:trPr>
          <w:trHeight w:val="269"/>
        </w:trPr>
        <w:tc>
          <w:tcPr>
            <w:tcW w:w="1276" w:type="dxa"/>
            <w:shd w:val="clear" w:color="auto" w:fill="auto"/>
          </w:tcPr>
          <w:p w14:paraId="2C0D65B8" w14:textId="39B18732"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SVF</w:t>
            </w:r>
          </w:p>
        </w:tc>
        <w:tc>
          <w:tcPr>
            <w:tcW w:w="7938" w:type="dxa"/>
            <w:shd w:val="clear" w:color="auto" w:fill="auto"/>
          </w:tcPr>
          <w:p w14:paraId="190416A4" w14:textId="0A0DEBE1"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Starptautiskais Valūtas fonds</w:t>
            </w:r>
          </w:p>
        </w:tc>
      </w:tr>
      <w:tr w:rsidR="0029545C" w:rsidRPr="002869EC" w14:paraId="7F9991BF" w14:textId="77777777" w:rsidTr="00085AFE">
        <w:trPr>
          <w:trHeight w:val="269"/>
        </w:trPr>
        <w:tc>
          <w:tcPr>
            <w:tcW w:w="1276" w:type="dxa"/>
            <w:shd w:val="clear" w:color="auto" w:fill="auto"/>
          </w:tcPr>
          <w:p w14:paraId="7F5F8EE5" w14:textId="32EA4838" w:rsidR="0029545C" w:rsidRPr="00FC3DA6" w:rsidRDefault="0029545C" w:rsidP="006357B3">
            <w:pPr>
              <w:tabs>
                <w:tab w:val="left" w:pos="1494"/>
              </w:tabs>
              <w:spacing w:after="0" w:line="240" w:lineRule="auto"/>
              <w:ind w:firstLine="0"/>
              <w:rPr>
                <w:rFonts w:eastAsia="Calibri" w:cs="Times New Roman"/>
                <w:szCs w:val="24"/>
              </w:rPr>
            </w:pPr>
            <w:r>
              <w:rPr>
                <w:rFonts w:eastAsia="Calibri" w:cs="Times New Roman"/>
                <w:szCs w:val="24"/>
              </w:rPr>
              <w:t>TEN</w:t>
            </w:r>
          </w:p>
        </w:tc>
        <w:tc>
          <w:tcPr>
            <w:tcW w:w="7938" w:type="dxa"/>
            <w:shd w:val="clear" w:color="auto" w:fill="auto"/>
          </w:tcPr>
          <w:p w14:paraId="0FF9DCD5" w14:textId="3D72F5DD" w:rsidR="0029545C" w:rsidRPr="00FC3DA6" w:rsidRDefault="0029545C" w:rsidP="006357B3">
            <w:pPr>
              <w:tabs>
                <w:tab w:val="left" w:pos="1494"/>
              </w:tabs>
              <w:spacing w:after="0" w:line="240" w:lineRule="auto"/>
              <w:ind w:firstLine="0"/>
              <w:rPr>
                <w:rFonts w:eastAsia="Calibri" w:cs="Times New Roman"/>
                <w:szCs w:val="24"/>
              </w:rPr>
            </w:pPr>
            <w:r w:rsidRPr="0029545C">
              <w:rPr>
                <w:rFonts w:eastAsia="Calibri" w:cs="Times New Roman"/>
                <w:szCs w:val="24"/>
              </w:rPr>
              <w:t>Transportlīdzekļa ekspluatācijas nodoklis</w:t>
            </w:r>
          </w:p>
        </w:tc>
      </w:tr>
      <w:tr w:rsidR="005A608F" w:rsidRPr="002869EC" w14:paraId="4A619D68" w14:textId="77777777" w:rsidTr="00085AFE">
        <w:trPr>
          <w:trHeight w:val="269"/>
        </w:trPr>
        <w:tc>
          <w:tcPr>
            <w:tcW w:w="1276" w:type="dxa"/>
            <w:shd w:val="clear" w:color="auto" w:fill="auto"/>
          </w:tcPr>
          <w:p w14:paraId="14D649DC" w14:textId="129EE204" w:rsidR="005A608F" w:rsidRDefault="005A608F" w:rsidP="006357B3">
            <w:pPr>
              <w:tabs>
                <w:tab w:val="left" w:pos="1494"/>
              </w:tabs>
              <w:spacing w:after="0" w:line="240" w:lineRule="auto"/>
              <w:ind w:firstLine="0"/>
              <w:rPr>
                <w:rFonts w:eastAsia="Calibri" w:cs="Times New Roman"/>
                <w:szCs w:val="24"/>
              </w:rPr>
            </w:pPr>
            <w:r>
              <w:rPr>
                <w:rFonts w:eastAsia="Calibri" w:cs="Times New Roman"/>
                <w:szCs w:val="24"/>
              </w:rPr>
              <w:t>TEN-T</w:t>
            </w:r>
          </w:p>
        </w:tc>
        <w:tc>
          <w:tcPr>
            <w:tcW w:w="7938" w:type="dxa"/>
            <w:shd w:val="clear" w:color="auto" w:fill="auto"/>
          </w:tcPr>
          <w:p w14:paraId="7BDC381D" w14:textId="1D362E8D" w:rsidR="005A608F" w:rsidRPr="0029545C" w:rsidRDefault="005A608F" w:rsidP="006357B3">
            <w:pPr>
              <w:tabs>
                <w:tab w:val="left" w:pos="1494"/>
              </w:tabs>
              <w:spacing w:after="0" w:line="240" w:lineRule="auto"/>
              <w:ind w:firstLine="0"/>
              <w:rPr>
                <w:rFonts w:eastAsia="Calibri" w:cs="Times New Roman"/>
                <w:szCs w:val="24"/>
              </w:rPr>
            </w:pPr>
            <w:r w:rsidRPr="005A608F">
              <w:rPr>
                <w:rFonts w:eastAsia="Calibri" w:cs="Times New Roman"/>
                <w:szCs w:val="24"/>
              </w:rPr>
              <w:t>Eiropas transporta tīkls</w:t>
            </w:r>
          </w:p>
        </w:tc>
      </w:tr>
      <w:tr w:rsidR="00963B1F" w:rsidRPr="002869EC" w14:paraId="6011817F" w14:textId="77777777" w:rsidTr="00085AFE">
        <w:trPr>
          <w:trHeight w:val="269"/>
        </w:trPr>
        <w:tc>
          <w:tcPr>
            <w:tcW w:w="1276" w:type="dxa"/>
            <w:shd w:val="clear" w:color="auto" w:fill="auto"/>
          </w:tcPr>
          <w:p w14:paraId="0769523A" w14:textId="506F2016" w:rsidR="00963B1F" w:rsidRPr="00FC3DA6" w:rsidRDefault="00963B1F" w:rsidP="006357B3">
            <w:pPr>
              <w:tabs>
                <w:tab w:val="left" w:pos="1494"/>
              </w:tabs>
              <w:spacing w:after="0" w:line="240" w:lineRule="auto"/>
              <w:ind w:firstLine="0"/>
              <w:rPr>
                <w:rFonts w:eastAsia="Calibri" w:cs="Times New Roman"/>
                <w:szCs w:val="24"/>
              </w:rPr>
            </w:pPr>
            <w:r>
              <w:rPr>
                <w:rFonts w:eastAsia="Calibri" w:cs="Times New Roman"/>
                <w:szCs w:val="24"/>
              </w:rPr>
              <w:t>TM</w:t>
            </w:r>
          </w:p>
        </w:tc>
        <w:tc>
          <w:tcPr>
            <w:tcW w:w="7938" w:type="dxa"/>
            <w:shd w:val="clear" w:color="auto" w:fill="auto"/>
          </w:tcPr>
          <w:p w14:paraId="6E842F25" w14:textId="17889E09" w:rsidR="00963B1F" w:rsidRPr="00FC3DA6" w:rsidRDefault="00963B1F" w:rsidP="006357B3">
            <w:pPr>
              <w:tabs>
                <w:tab w:val="left" w:pos="1494"/>
              </w:tabs>
              <w:spacing w:after="0" w:line="240" w:lineRule="auto"/>
              <w:ind w:firstLine="0"/>
              <w:rPr>
                <w:rFonts w:eastAsia="Calibri" w:cs="Times New Roman"/>
                <w:szCs w:val="24"/>
              </w:rPr>
            </w:pPr>
            <w:r>
              <w:rPr>
                <w:rFonts w:eastAsia="Calibri" w:cs="Times New Roman"/>
                <w:szCs w:val="24"/>
              </w:rPr>
              <w:t>Tieslietu ministrija</w:t>
            </w:r>
          </w:p>
        </w:tc>
      </w:tr>
      <w:tr w:rsidR="009F63CB" w:rsidRPr="002869EC" w14:paraId="15E43803" w14:textId="77777777" w:rsidTr="00085AFE">
        <w:trPr>
          <w:trHeight w:val="269"/>
        </w:trPr>
        <w:tc>
          <w:tcPr>
            <w:tcW w:w="1276" w:type="dxa"/>
            <w:shd w:val="clear" w:color="auto" w:fill="auto"/>
          </w:tcPr>
          <w:p w14:paraId="2DC9ACB6" w14:textId="42EE57FE" w:rsidR="009F63CB" w:rsidRPr="00FC3DA6" w:rsidRDefault="009F63CB" w:rsidP="006357B3">
            <w:pPr>
              <w:tabs>
                <w:tab w:val="left" w:pos="1494"/>
              </w:tabs>
              <w:spacing w:after="0" w:line="240" w:lineRule="auto"/>
              <w:ind w:firstLine="0"/>
              <w:rPr>
                <w:rFonts w:eastAsia="Calibri" w:cs="Times New Roman"/>
                <w:szCs w:val="24"/>
              </w:rPr>
            </w:pPr>
            <w:r>
              <w:rPr>
                <w:rFonts w:eastAsia="Calibri" w:cs="Times New Roman"/>
                <w:szCs w:val="24"/>
              </w:rPr>
              <w:t>TPF</w:t>
            </w:r>
          </w:p>
        </w:tc>
        <w:tc>
          <w:tcPr>
            <w:tcW w:w="7938" w:type="dxa"/>
            <w:shd w:val="clear" w:color="auto" w:fill="auto"/>
          </w:tcPr>
          <w:p w14:paraId="2CF3893A" w14:textId="70E2653A" w:rsidR="009F63CB" w:rsidRPr="00FC3DA6" w:rsidRDefault="009F63CB" w:rsidP="006357B3">
            <w:pPr>
              <w:tabs>
                <w:tab w:val="left" w:pos="1494"/>
              </w:tabs>
              <w:spacing w:after="0" w:line="240" w:lineRule="auto"/>
              <w:ind w:firstLine="0"/>
              <w:rPr>
                <w:rFonts w:eastAsia="Calibri" w:cs="Times New Roman"/>
                <w:szCs w:val="24"/>
              </w:rPr>
            </w:pPr>
            <w:r w:rsidRPr="009F63CB">
              <w:rPr>
                <w:rFonts w:eastAsia="Calibri" w:cs="Times New Roman"/>
                <w:szCs w:val="24"/>
              </w:rPr>
              <w:t>Taisnīgas pārkārtošanās fonds</w:t>
            </w:r>
          </w:p>
        </w:tc>
      </w:tr>
      <w:tr w:rsidR="00780F46" w:rsidRPr="002869EC" w14:paraId="306E4099" w14:textId="77777777" w:rsidTr="00085AFE">
        <w:trPr>
          <w:trHeight w:val="269"/>
        </w:trPr>
        <w:tc>
          <w:tcPr>
            <w:tcW w:w="1276" w:type="dxa"/>
            <w:shd w:val="clear" w:color="auto" w:fill="auto"/>
          </w:tcPr>
          <w:p w14:paraId="77D7CFB1" w14:textId="17C15CB0" w:rsidR="00780F46" w:rsidRPr="00FC3DA6" w:rsidRDefault="00780F46" w:rsidP="006357B3">
            <w:pPr>
              <w:tabs>
                <w:tab w:val="left" w:pos="1494"/>
              </w:tabs>
              <w:spacing w:after="0" w:line="240" w:lineRule="auto"/>
              <w:ind w:firstLine="0"/>
              <w:rPr>
                <w:rFonts w:eastAsia="Calibri" w:cs="Times New Roman"/>
                <w:szCs w:val="24"/>
              </w:rPr>
            </w:pPr>
            <w:r w:rsidRPr="00FC3DA6">
              <w:rPr>
                <w:rFonts w:eastAsia="Calibri" w:cs="Times New Roman"/>
                <w:szCs w:val="24"/>
              </w:rPr>
              <w:t>UIN</w:t>
            </w:r>
          </w:p>
        </w:tc>
        <w:tc>
          <w:tcPr>
            <w:tcW w:w="7938" w:type="dxa"/>
            <w:shd w:val="clear" w:color="auto" w:fill="auto"/>
          </w:tcPr>
          <w:p w14:paraId="2D47A413" w14:textId="0794A018" w:rsidR="00780F46" w:rsidRPr="00FC3DA6" w:rsidRDefault="00780F46" w:rsidP="006357B3">
            <w:pPr>
              <w:tabs>
                <w:tab w:val="left" w:pos="1494"/>
              </w:tabs>
              <w:spacing w:after="0" w:line="240" w:lineRule="auto"/>
              <w:ind w:firstLine="0"/>
              <w:rPr>
                <w:rFonts w:eastAsia="Calibri" w:cs="Times New Roman"/>
                <w:szCs w:val="24"/>
              </w:rPr>
            </w:pPr>
            <w:r w:rsidRPr="00FC3DA6">
              <w:rPr>
                <w:rFonts w:eastAsia="Calibri" w:cs="Times New Roman"/>
                <w:szCs w:val="24"/>
              </w:rPr>
              <w:t>Uzņēmuma ienākuma nodoklis</w:t>
            </w:r>
          </w:p>
        </w:tc>
      </w:tr>
      <w:tr w:rsidR="0029545C" w:rsidRPr="002869EC" w14:paraId="1468344B" w14:textId="77777777" w:rsidTr="00085AFE">
        <w:trPr>
          <w:trHeight w:val="269"/>
        </w:trPr>
        <w:tc>
          <w:tcPr>
            <w:tcW w:w="1276" w:type="dxa"/>
            <w:shd w:val="clear" w:color="auto" w:fill="auto"/>
          </w:tcPr>
          <w:p w14:paraId="5C8014E4" w14:textId="272A59ED" w:rsidR="0029545C" w:rsidRDefault="0029545C" w:rsidP="006357B3">
            <w:pPr>
              <w:tabs>
                <w:tab w:val="left" w:pos="1494"/>
              </w:tabs>
              <w:spacing w:after="0" w:line="240" w:lineRule="auto"/>
              <w:ind w:firstLine="0"/>
              <w:rPr>
                <w:rFonts w:eastAsia="Calibri" w:cs="Times New Roman"/>
                <w:szCs w:val="24"/>
              </w:rPr>
            </w:pPr>
            <w:r>
              <w:rPr>
                <w:rFonts w:eastAsia="Calibri" w:cs="Times New Roman"/>
                <w:szCs w:val="24"/>
              </w:rPr>
              <w:t>UVTN</w:t>
            </w:r>
          </w:p>
        </w:tc>
        <w:tc>
          <w:tcPr>
            <w:tcW w:w="7938" w:type="dxa"/>
            <w:shd w:val="clear" w:color="auto" w:fill="auto"/>
          </w:tcPr>
          <w:p w14:paraId="38AE5E66" w14:textId="1B784CBB" w:rsidR="0029545C" w:rsidRPr="00FC6D27" w:rsidRDefault="0029545C" w:rsidP="006357B3">
            <w:pPr>
              <w:tabs>
                <w:tab w:val="left" w:pos="1494"/>
              </w:tabs>
              <w:spacing w:after="0" w:line="240" w:lineRule="auto"/>
              <w:ind w:firstLine="0"/>
              <w:rPr>
                <w:rFonts w:eastAsia="Calibri" w:cs="Times New Roman"/>
                <w:szCs w:val="24"/>
              </w:rPr>
            </w:pPr>
            <w:r w:rsidRPr="0029545C">
              <w:rPr>
                <w:rFonts w:eastAsia="Calibri" w:cs="Times New Roman"/>
                <w:szCs w:val="24"/>
              </w:rPr>
              <w:t>Uzņēmumu vieglo transportlīdzekļu nodoklis</w:t>
            </w:r>
          </w:p>
        </w:tc>
      </w:tr>
      <w:tr w:rsidR="00FC6D27" w:rsidRPr="002869EC" w14:paraId="56D944DA" w14:textId="77777777" w:rsidTr="00085AFE">
        <w:trPr>
          <w:trHeight w:val="269"/>
        </w:trPr>
        <w:tc>
          <w:tcPr>
            <w:tcW w:w="1276" w:type="dxa"/>
            <w:shd w:val="clear" w:color="auto" w:fill="auto"/>
          </w:tcPr>
          <w:p w14:paraId="6954C720" w14:textId="562C8702" w:rsidR="00FC6D27" w:rsidRPr="00FC3DA6" w:rsidRDefault="00FC6D27" w:rsidP="006357B3">
            <w:pPr>
              <w:tabs>
                <w:tab w:val="left" w:pos="1494"/>
              </w:tabs>
              <w:spacing w:after="0" w:line="240" w:lineRule="auto"/>
              <w:ind w:firstLine="0"/>
              <w:rPr>
                <w:rFonts w:eastAsia="Calibri" w:cs="Times New Roman"/>
                <w:szCs w:val="24"/>
              </w:rPr>
            </w:pPr>
            <w:r>
              <w:rPr>
                <w:rFonts w:eastAsia="Calibri" w:cs="Times New Roman"/>
                <w:szCs w:val="24"/>
              </w:rPr>
              <w:t>VARAM</w:t>
            </w:r>
          </w:p>
        </w:tc>
        <w:tc>
          <w:tcPr>
            <w:tcW w:w="7938" w:type="dxa"/>
            <w:shd w:val="clear" w:color="auto" w:fill="auto"/>
          </w:tcPr>
          <w:p w14:paraId="74680D75" w14:textId="75FD1F86" w:rsidR="00FC6D27" w:rsidRPr="00FC3DA6" w:rsidRDefault="00FC6D27" w:rsidP="006357B3">
            <w:pPr>
              <w:tabs>
                <w:tab w:val="left" w:pos="1494"/>
              </w:tabs>
              <w:spacing w:after="0" w:line="240" w:lineRule="auto"/>
              <w:ind w:firstLine="0"/>
              <w:rPr>
                <w:rFonts w:eastAsia="Calibri" w:cs="Times New Roman"/>
                <w:szCs w:val="24"/>
              </w:rPr>
            </w:pPr>
            <w:r w:rsidRPr="00FC6D27">
              <w:rPr>
                <w:rFonts w:eastAsia="Calibri" w:cs="Times New Roman"/>
                <w:szCs w:val="24"/>
              </w:rPr>
              <w:t>Viedās administrācijas un reģionālās attīstības ministrij</w:t>
            </w:r>
            <w:r>
              <w:rPr>
                <w:rFonts w:eastAsia="Calibri" w:cs="Times New Roman"/>
                <w:szCs w:val="24"/>
              </w:rPr>
              <w:t>a</w:t>
            </w:r>
          </w:p>
        </w:tc>
      </w:tr>
      <w:tr w:rsidR="00FC6D27" w:rsidRPr="002869EC" w14:paraId="5E0609DF" w14:textId="77777777" w:rsidTr="00085AFE">
        <w:trPr>
          <w:trHeight w:val="269"/>
        </w:trPr>
        <w:tc>
          <w:tcPr>
            <w:tcW w:w="1276" w:type="dxa"/>
            <w:shd w:val="clear" w:color="auto" w:fill="auto"/>
          </w:tcPr>
          <w:p w14:paraId="67F53CB5" w14:textId="5967A7CF" w:rsidR="00FC6D27" w:rsidRDefault="00FC6D27" w:rsidP="006357B3">
            <w:pPr>
              <w:tabs>
                <w:tab w:val="left" w:pos="1494"/>
              </w:tabs>
              <w:spacing w:after="0" w:line="240" w:lineRule="auto"/>
              <w:ind w:firstLine="0"/>
              <w:rPr>
                <w:rFonts w:eastAsia="Calibri" w:cs="Times New Roman"/>
                <w:szCs w:val="24"/>
              </w:rPr>
            </w:pPr>
            <w:r>
              <w:rPr>
                <w:rFonts w:eastAsia="Calibri" w:cs="Times New Roman"/>
                <w:szCs w:val="24"/>
              </w:rPr>
              <w:t>VB</w:t>
            </w:r>
          </w:p>
        </w:tc>
        <w:tc>
          <w:tcPr>
            <w:tcW w:w="7938" w:type="dxa"/>
            <w:shd w:val="clear" w:color="auto" w:fill="auto"/>
          </w:tcPr>
          <w:p w14:paraId="4626EAAF" w14:textId="287085B4" w:rsidR="00FC6D27" w:rsidRPr="00FC6D27" w:rsidRDefault="00FC6D27" w:rsidP="006357B3">
            <w:pPr>
              <w:tabs>
                <w:tab w:val="left" w:pos="1494"/>
              </w:tabs>
              <w:spacing w:after="0" w:line="240" w:lineRule="auto"/>
              <w:ind w:firstLine="0"/>
              <w:rPr>
                <w:rFonts w:eastAsia="Calibri" w:cs="Times New Roman"/>
                <w:szCs w:val="24"/>
              </w:rPr>
            </w:pPr>
            <w:r>
              <w:rPr>
                <w:rFonts w:eastAsia="Calibri" w:cs="Times New Roman"/>
                <w:szCs w:val="24"/>
              </w:rPr>
              <w:t>Valsts budžets</w:t>
            </w:r>
          </w:p>
        </w:tc>
      </w:tr>
      <w:tr w:rsidR="00CC4328" w:rsidRPr="002869EC" w14:paraId="3AF2DEE2" w14:textId="77777777" w:rsidTr="00085AFE">
        <w:trPr>
          <w:trHeight w:val="269"/>
        </w:trPr>
        <w:tc>
          <w:tcPr>
            <w:tcW w:w="1276" w:type="dxa"/>
            <w:shd w:val="clear" w:color="auto" w:fill="auto"/>
          </w:tcPr>
          <w:p w14:paraId="16B02C8F" w14:textId="5EED1567"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VID</w:t>
            </w:r>
          </w:p>
        </w:tc>
        <w:tc>
          <w:tcPr>
            <w:tcW w:w="7938" w:type="dxa"/>
            <w:shd w:val="clear" w:color="auto" w:fill="auto"/>
          </w:tcPr>
          <w:p w14:paraId="7FAA14F4" w14:textId="1C52B307"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Valsts ieņēmumu dienests</w:t>
            </w:r>
          </w:p>
        </w:tc>
      </w:tr>
      <w:tr w:rsidR="00CC4328" w:rsidRPr="002869EC" w14:paraId="1379FE81" w14:textId="77777777" w:rsidTr="00085AFE">
        <w:trPr>
          <w:trHeight w:val="269"/>
        </w:trPr>
        <w:tc>
          <w:tcPr>
            <w:tcW w:w="1276" w:type="dxa"/>
            <w:shd w:val="clear" w:color="auto" w:fill="auto"/>
          </w:tcPr>
          <w:p w14:paraId="513FA404" w14:textId="2229F9A3"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VK</w:t>
            </w:r>
          </w:p>
        </w:tc>
        <w:tc>
          <w:tcPr>
            <w:tcW w:w="7938" w:type="dxa"/>
            <w:shd w:val="clear" w:color="auto" w:fill="auto"/>
          </w:tcPr>
          <w:p w14:paraId="1184172E" w14:textId="15972627" w:rsidR="00CC4328" w:rsidRPr="00FC3DA6" w:rsidRDefault="00CC4328" w:rsidP="006357B3">
            <w:pPr>
              <w:tabs>
                <w:tab w:val="left" w:pos="1494"/>
              </w:tabs>
              <w:spacing w:after="0" w:line="240" w:lineRule="auto"/>
              <w:ind w:firstLine="0"/>
              <w:rPr>
                <w:rFonts w:eastAsia="Calibri" w:cs="Times New Roman"/>
                <w:szCs w:val="24"/>
              </w:rPr>
            </w:pPr>
            <w:r w:rsidRPr="00FC3DA6">
              <w:rPr>
                <w:rFonts w:eastAsia="Calibri" w:cs="Times New Roman"/>
                <w:szCs w:val="24"/>
              </w:rPr>
              <w:t>Valsts kase</w:t>
            </w:r>
          </w:p>
        </w:tc>
      </w:tr>
      <w:tr w:rsidR="00BF53B6" w:rsidRPr="002869EC" w14:paraId="2A34B2C6" w14:textId="77777777" w:rsidTr="00085AFE">
        <w:trPr>
          <w:trHeight w:val="269"/>
        </w:trPr>
        <w:tc>
          <w:tcPr>
            <w:tcW w:w="1276" w:type="dxa"/>
            <w:shd w:val="clear" w:color="auto" w:fill="auto"/>
          </w:tcPr>
          <w:p w14:paraId="7EDC39CC" w14:textId="1EF12F19" w:rsidR="00BF53B6" w:rsidRPr="00FC3DA6" w:rsidRDefault="00BF53B6" w:rsidP="006357B3">
            <w:pPr>
              <w:tabs>
                <w:tab w:val="left" w:pos="1494"/>
              </w:tabs>
              <w:spacing w:after="0" w:line="240" w:lineRule="auto"/>
              <w:ind w:firstLine="0"/>
              <w:rPr>
                <w:rFonts w:eastAsia="Calibri" w:cs="Times New Roman"/>
                <w:szCs w:val="24"/>
              </w:rPr>
            </w:pPr>
            <w:r>
              <w:rPr>
                <w:rFonts w:eastAsia="Calibri" w:cs="Times New Roman"/>
                <w:szCs w:val="24"/>
              </w:rPr>
              <w:t>VM</w:t>
            </w:r>
          </w:p>
        </w:tc>
        <w:tc>
          <w:tcPr>
            <w:tcW w:w="7938" w:type="dxa"/>
            <w:shd w:val="clear" w:color="auto" w:fill="auto"/>
          </w:tcPr>
          <w:p w14:paraId="61A24B6E" w14:textId="70BFB479" w:rsidR="00BF53B6" w:rsidRPr="00FC3DA6" w:rsidRDefault="00BF53B6" w:rsidP="006357B3">
            <w:pPr>
              <w:tabs>
                <w:tab w:val="left" w:pos="1494"/>
              </w:tabs>
              <w:spacing w:after="0" w:line="240" w:lineRule="auto"/>
              <w:ind w:firstLine="0"/>
              <w:rPr>
                <w:rFonts w:eastAsia="Calibri" w:cs="Times New Roman"/>
                <w:szCs w:val="24"/>
              </w:rPr>
            </w:pPr>
            <w:r>
              <w:rPr>
                <w:rFonts w:eastAsia="Calibri" w:cs="Times New Roman"/>
                <w:szCs w:val="24"/>
              </w:rPr>
              <w:t>Veselības ministrija</w:t>
            </w:r>
          </w:p>
        </w:tc>
      </w:tr>
      <w:tr w:rsidR="0029545C" w:rsidRPr="002869EC" w14:paraId="4DA776B5" w14:textId="77777777" w:rsidTr="00085AFE">
        <w:trPr>
          <w:trHeight w:val="269"/>
        </w:trPr>
        <w:tc>
          <w:tcPr>
            <w:tcW w:w="1276" w:type="dxa"/>
            <w:shd w:val="clear" w:color="auto" w:fill="auto"/>
          </w:tcPr>
          <w:p w14:paraId="2AD39341" w14:textId="79370A4E" w:rsidR="0029545C" w:rsidRDefault="0029545C" w:rsidP="006357B3">
            <w:pPr>
              <w:tabs>
                <w:tab w:val="left" w:pos="1494"/>
              </w:tabs>
              <w:spacing w:after="0" w:line="240" w:lineRule="auto"/>
              <w:ind w:firstLine="0"/>
              <w:rPr>
                <w:rFonts w:eastAsia="Calibri" w:cs="Times New Roman"/>
                <w:szCs w:val="24"/>
              </w:rPr>
            </w:pPr>
            <w:r>
              <w:rPr>
                <w:rFonts w:eastAsia="Calibri" w:cs="Times New Roman"/>
                <w:szCs w:val="24"/>
              </w:rPr>
              <w:t>VPP</w:t>
            </w:r>
          </w:p>
        </w:tc>
        <w:tc>
          <w:tcPr>
            <w:tcW w:w="7938" w:type="dxa"/>
            <w:shd w:val="clear" w:color="auto" w:fill="auto"/>
          </w:tcPr>
          <w:p w14:paraId="11C50041" w14:textId="6CC0324B" w:rsidR="0029545C" w:rsidRDefault="0029545C" w:rsidP="006357B3">
            <w:pPr>
              <w:tabs>
                <w:tab w:val="left" w:pos="1494"/>
              </w:tabs>
              <w:spacing w:after="0" w:line="240" w:lineRule="auto"/>
              <w:ind w:firstLine="0"/>
              <w:rPr>
                <w:rFonts w:eastAsia="Calibri" w:cs="Times New Roman"/>
                <w:szCs w:val="24"/>
              </w:rPr>
            </w:pPr>
            <w:r w:rsidRPr="0029545C">
              <w:rPr>
                <w:rFonts w:eastAsia="Calibri" w:cs="Times New Roman"/>
                <w:szCs w:val="24"/>
              </w:rPr>
              <w:t>Valsts pētījumu programma</w:t>
            </w:r>
          </w:p>
        </w:tc>
      </w:tr>
      <w:tr w:rsidR="00CC4328" w:rsidRPr="002869EC" w14:paraId="42D3D2EB" w14:textId="77777777" w:rsidTr="00085AFE">
        <w:trPr>
          <w:trHeight w:val="269"/>
        </w:trPr>
        <w:tc>
          <w:tcPr>
            <w:tcW w:w="1276" w:type="dxa"/>
            <w:shd w:val="clear" w:color="auto" w:fill="auto"/>
          </w:tcPr>
          <w:p w14:paraId="2A575688" w14:textId="5AA56C0B" w:rsidR="00CC4328" w:rsidRPr="00FC3DA6" w:rsidRDefault="00AA2636" w:rsidP="006357B3">
            <w:pPr>
              <w:tabs>
                <w:tab w:val="left" w:pos="1494"/>
              </w:tabs>
              <w:spacing w:after="0" w:line="240" w:lineRule="auto"/>
              <w:ind w:firstLine="0"/>
              <w:rPr>
                <w:rFonts w:eastAsia="Calibri" w:cs="Times New Roman"/>
                <w:szCs w:val="24"/>
              </w:rPr>
            </w:pPr>
            <w:r w:rsidRPr="00FC3DA6">
              <w:rPr>
                <w:rFonts w:eastAsia="Calibri" w:cs="Times New Roman"/>
                <w:szCs w:val="24"/>
              </w:rPr>
              <w:t>VSAA</w:t>
            </w:r>
          </w:p>
        </w:tc>
        <w:tc>
          <w:tcPr>
            <w:tcW w:w="7938" w:type="dxa"/>
            <w:shd w:val="clear" w:color="auto" w:fill="auto"/>
          </w:tcPr>
          <w:p w14:paraId="739F56DA" w14:textId="2E85DC9D" w:rsidR="00CC4328" w:rsidRPr="00FC3DA6" w:rsidRDefault="00AA2636" w:rsidP="006357B3">
            <w:pPr>
              <w:tabs>
                <w:tab w:val="left" w:pos="1494"/>
              </w:tabs>
              <w:spacing w:after="0" w:line="240" w:lineRule="auto"/>
              <w:ind w:firstLine="0"/>
              <w:rPr>
                <w:rFonts w:eastAsia="Times New Roman" w:cs="Times New Roman"/>
                <w:szCs w:val="24"/>
              </w:rPr>
            </w:pPr>
            <w:r w:rsidRPr="00FC3DA6">
              <w:rPr>
                <w:rFonts w:eastAsia="Times New Roman" w:cs="Times New Roman"/>
                <w:szCs w:val="24"/>
              </w:rPr>
              <w:t>Valsts sociālās apdrošināšanas aģentūras</w:t>
            </w:r>
          </w:p>
        </w:tc>
      </w:tr>
      <w:tr w:rsidR="00FC6D27" w:rsidRPr="002869EC" w14:paraId="08688864" w14:textId="77777777" w:rsidTr="00085AFE">
        <w:trPr>
          <w:trHeight w:val="269"/>
        </w:trPr>
        <w:tc>
          <w:tcPr>
            <w:tcW w:w="1276" w:type="dxa"/>
            <w:shd w:val="clear" w:color="auto" w:fill="auto"/>
          </w:tcPr>
          <w:p w14:paraId="249B9A08" w14:textId="1105AEF9" w:rsidR="00FC6D27" w:rsidRPr="00FC3DA6" w:rsidRDefault="00FC6D27" w:rsidP="006357B3">
            <w:pPr>
              <w:tabs>
                <w:tab w:val="left" w:pos="1494"/>
              </w:tabs>
              <w:spacing w:after="0" w:line="240" w:lineRule="auto"/>
              <w:ind w:firstLine="0"/>
              <w:rPr>
                <w:rFonts w:eastAsia="Calibri" w:cs="Times New Roman"/>
                <w:szCs w:val="24"/>
              </w:rPr>
            </w:pPr>
            <w:r>
              <w:rPr>
                <w:rFonts w:eastAsia="Calibri" w:cs="Times New Roman"/>
                <w:szCs w:val="24"/>
              </w:rPr>
              <w:t>ZM</w:t>
            </w:r>
          </w:p>
        </w:tc>
        <w:tc>
          <w:tcPr>
            <w:tcW w:w="7938" w:type="dxa"/>
            <w:shd w:val="clear" w:color="auto" w:fill="auto"/>
          </w:tcPr>
          <w:p w14:paraId="0070F4B6" w14:textId="1847EC82" w:rsidR="00FC6D27" w:rsidRPr="00FC3DA6" w:rsidRDefault="00FC6D27" w:rsidP="006357B3">
            <w:pPr>
              <w:tabs>
                <w:tab w:val="left" w:pos="1494"/>
              </w:tabs>
              <w:spacing w:after="0" w:line="240" w:lineRule="auto"/>
              <w:ind w:firstLine="0"/>
              <w:rPr>
                <w:rFonts w:eastAsia="Times New Roman" w:cs="Times New Roman"/>
                <w:szCs w:val="24"/>
              </w:rPr>
            </w:pPr>
            <w:r>
              <w:rPr>
                <w:rFonts w:eastAsia="Times New Roman" w:cs="Times New Roman"/>
                <w:szCs w:val="24"/>
              </w:rPr>
              <w:t>Zemkopības ministrija</w:t>
            </w:r>
          </w:p>
        </w:tc>
      </w:tr>
    </w:tbl>
    <w:p w14:paraId="0CDABFC1" w14:textId="606D32DF" w:rsidR="00AA4192" w:rsidRPr="002869EC" w:rsidRDefault="00FC6D27" w:rsidP="006357B3">
      <w:pPr>
        <w:spacing w:line="240" w:lineRule="auto"/>
      </w:pPr>
      <w:bookmarkStart w:id="1" w:name="_Toc510790651"/>
      <w:bookmarkStart w:id="2" w:name="_Toc5627361"/>
      <w:r>
        <w:rPr>
          <w:noProof/>
          <w:sz w:val="32"/>
          <w:szCs w:val="32"/>
        </w:rPr>
        <w:drawing>
          <wp:anchor distT="0" distB="0" distL="114300" distR="114300" simplePos="0" relativeHeight="251671552" behindDoc="1" locked="0" layoutInCell="1" allowOverlap="1" wp14:anchorId="69BA309B" wp14:editId="58039E5B">
            <wp:simplePos x="0" y="0"/>
            <wp:positionH relativeFrom="column">
              <wp:posOffset>4085930</wp:posOffset>
            </wp:positionH>
            <wp:positionV relativeFrom="page">
              <wp:posOffset>12065</wp:posOffset>
            </wp:positionV>
            <wp:extent cx="2499360" cy="1061085"/>
            <wp:effectExtent l="0" t="0" r="0" b="0"/>
            <wp:wrapNone/>
            <wp:docPr id="1622020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99360" cy="1061085"/>
                    </a:xfrm>
                    <a:prstGeom prst="rect">
                      <a:avLst/>
                    </a:prstGeom>
                    <a:noFill/>
                  </pic:spPr>
                </pic:pic>
              </a:graphicData>
            </a:graphic>
            <wp14:sizeRelH relativeFrom="page">
              <wp14:pctWidth>0</wp14:pctWidth>
            </wp14:sizeRelH>
            <wp14:sizeRelV relativeFrom="page">
              <wp14:pctHeight>0</wp14:pctHeight>
            </wp14:sizeRelV>
          </wp:anchor>
        </w:drawing>
      </w:r>
    </w:p>
    <w:p w14:paraId="450C5AA0" w14:textId="14CB2340" w:rsidR="00FC5A11" w:rsidRPr="002869EC" w:rsidRDefault="00AA4192" w:rsidP="006357B3">
      <w:pPr>
        <w:pStyle w:val="Heading1"/>
        <w:spacing w:before="0" w:after="240" w:line="240" w:lineRule="auto"/>
        <w:rPr>
          <w:sz w:val="32"/>
          <w:szCs w:val="32"/>
        </w:rPr>
      </w:pPr>
      <w:r w:rsidRPr="002869EC">
        <w:rPr>
          <w:sz w:val="32"/>
          <w:szCs w:val="32"/>
        </w:rPr>
        <w:br w:type="page"/>
      </w:r>
      <w:bookmarkStart w:id="3" w:name="_Toc179540617"/>
      <w:r w:rsidR="00FC5A11" w:rsidRPr="002869EC">
        <w:rPr>
          <w:sz w:val="32"/>
          <w:szCs w:val="32"/>
        </w:rPr>
        <w:lastRenderedPageBreak/>
        <w:t xml:space="preserve">1. </w:t>
      </w:r>
      <w:r w:rsidR="00714AAE" w:rsidRPr="002869EC">
        <w:rPr>
          <w:sz w:val="32"/>
          <w:szCs w:val="32"/>
        </w:rPr>
        <w:t>Ievads</w:t>
      </w:r>
      <w:bookmarkEnd w:id="3"/>
    </w:p>
    <w:p w14:paraId="049266CF" w14:textId="49ADB9EC" w:rsidR="00D70281" w:rsidRPr="00D70281" w:rsidRDefault="00D70281" w:rsidP="006357B3">
      <w:pPr>
        <w:spacing w:line="240" w:lineRule="auto"/>
        <w:rPr>
          <w:rFonts w:cs="Times New Roman"/>
          <w:szCs w:val="24"/>
        </w:rPr>
      </w:pPr>
      <w:r w:rsidRPr="00D70281">
        <w:rPr>
          <w:rFonts w:cs="Times New Roman"/>
          <w:szCs w:val="24"/>
        </w:rPr>
        <w:t>Latvija pirmo reizi gatavo Fiskāli strukturālo plānu</w:t>
      </w:r>
      <w:r w:rsidR="009A6598">
        <w:rPr>
          <w:rFonts w:cs="Times New Roman"/>
          <w:szCs w:val="24"/>
        </w:rPr>
        <w:t xml:space="preserve"> (FSP)</w:t>
      </w:r>
      <w:r w:rsidRPr="00D70281">
        <w:rPr>
          <w:rFonts w:cs="Times New Roman"/>
          <w:szCs w:val="24"/>
        </w:rPr>
        <w:t>. Tā izstrāde izriet no jaunā ES tiesiskā regulējuma ekonomik</w:t>
      </w:r>
      <w:r w:rsidR="009608A3">
        <w:rPr>
          <w:rFonts w:cs="Times New Roman"/>
          <w:szCs w:val="24"/>
        </w:rPr>
        <w:t>a</w:t>
      </w:r>
      <w:r w:rsidRPr="00D70281">
        <w:rPr>
          <w:rFonts w:cs="Times New Roman"/>
          <w:szCs w:val="24"/>
        </w:rPr>
        <w:t>s pārvaldības jomā, kas stāj</w:t>
      </w:r>
      <w:r w:rsidR="009608A3">
        <w:rPr>
          <w:rFonts w:cs="Times New Roman"/>
          <w:szCs w:val="24"/>
        </w:rPr>
        <w:t>ā</w:t>
      </w:r>
      <w:r w:rsidRPr="00D70281">
        <w:rPr>
          <w:rFonts w:cs="Times New Roman"/>
          <w:szCs w:val="24"/>
        </w:rPr>
        <w:t xml:space="preserve">s spēkā pēc perioda, kurā fiskālās disciplīnas noteikumi </w:t>
      </w:r>
      <w:r w:rsidR="003573A6">
        <w:rPr>
          <w:rFonts w:cs="Times New Roman"/>
          <w:szCs w:val="24"/>
        </w:rPr>
        <w:t>bija apturēti</w:t>
      </w:r>
      <w:r w:rsidRPr="00D70281">
        <w:rPr>
          <w:rFonts w:cs="Times New Roman"/>
          <w:szCs w:val="24"/>
        </w:rPr>
        <w:t>, ļaujot dalībvalstīm uz deficīta un parāda rēķina sniegt atbalstu C</w:t>
      </w:r>
      <w:r>
        <w:rPr>
          <w:rFonts w:cs="Times New Roman"/>
          <w:szCs w:val="24"/>
        </w:rPr>
        <w:t>ovid</w:t>
      </w:r>
      <w:r w:rsidRPr="00D70281">
        <w:rPr>
          <w:rFonts w:cs="Times New Roman"/>
          <w:szCs w:val="24"/>
        </w:rPr>
        <w:t xml:space="preserve">-19 </w:t>
      </w:r>
      <w:r w:rsidR="00686B6D">
        <w:rPr>
          <w:rFonts w:cs="Times New Roman"/>
          <w:szCs w:val="24"/>
        </w:rPr>
        <w:t xml:space="preserve">pandēmijas </w:t>
      </w:r>
      <w:r w:rsidRPr="00D70281">
        <w:rPr>
          <w:rFonts w:cs="Times New Roman"/>
          <w:szCs w:val="24"/>
        </w:rPr>
        <w:t xml:space="preserve">un enerģijas krīzes negatīvā efekta mazināšanai. </w:t>
      </w:r>
    </w:p>
    <w:p w14:paraId="7F7EC745" w14:textId="255855CD" w:rsidR="00D70281" w:rsidRPr="00D70281" w:rsidRDefault="00476C44" w:rsidP="006357B3">
      <w:pPr>
        <w:spacing w:line="240" w:lineRule="auto"/>
        <w:rPr>
          <w:rFonts w:cs="Times New Roman"/>
          <w:szCs w:val="24"/>
        </w:rPr>
      </w:pPr>
      <w:r w:rsidRPr="00476C44">
        <w:rPr>
          <w:rFonts w:cs="Times New Roman"/>
          <w:szCs w:val="24"/>
        </w:rPr>
        <w:t xml:space="preserve">Noslēdzoties krīzes periodam, bet saglabājoties nenoteiktībai </w:t>
      </w:r>
      <w:r>
        <w:rPr>
          <w:rFonts w:cs="Times New Roman"/>
          <w:szCs w:val="24"/>
        </w:rPr>
        <w:t>a</w:t>
      </w:r>
      <w:r w:rsidR="00D70281" w:rsidRPr="00D70281">
        <w:rPr>
          <w:rFonts w:cs="Times New Roman"/>
          <w:szCs w:val="24"/>
        </w:rPr>
        <w:t>ugsta</w:t>
      </w:r>
      <w:r>
        <w:rPr>
          <w:rFonts w:cs="Times New Roman"/>
          <w:szCs w:val="24"/>
        </w:rPr>
        <w:t xml:space="preserve">s </w:t>
      </w:r>
      <w:r w:rsidR="00D70281" w:rsidRPr="00D70281">
        <w:rPr>
          <w:rFonts w:cs="Times New Roman"/>
          <w:szCs w:val="24"/>
        </w:rPr>
        <w:t>inflācijas, deficīta un parāda apstākļos</w:t>
      </w:r>
      <w:r>
        <w:rPr>
          <w:rFonts w:cs="Times New Roman"/>
          <w:szCs w:val="24"/>
        </w:rPr>
        <w:t>,</w:t>
      </w:r>
      <w:r w:rsidR="00D70281" w:rsidRPr="00D70281">
        <w:rPr>
          <w:rFonts w:cs="Times New Roman"/>
          <w:szCs w:val="24"/>
        </w:rPr>
        <w:t xml:space="preserve"> fiskālā disciplīna atgriežas. Tiesa, tā atgriežas citā veidolā, kā tas bija </w:t>
      </w:r>
      <w:proofErr w:type="spellStart"/>
      <w:r w:rsidR="00D70281" w:rsidRPr="00D70281">
        <w:rPr>
          <w:rFonts w:cs="Times New Roman"/>
          <w:szCs w:val="24"/>
        </w:rPr>
        <w:t>pirmskrīzes</w:t>
      </w:r>
      <w:proofErr w:type="spellEnd"/>
      <w:r w:rsidR="00D70281" w:rsidRPr="00D70281">
        <w:rPr>
          <w:rFonts w:cs="Times New Roman"/>
          <w:szCs w:val="24"/>
        </w:rPr>
        <w:t xml:space="preserve"> laikā. Jaunais ES ekonomik</w:t>
      </w:r>
      <w:r w:rsidR="009608A3">
        <w:rPr>
          <w:rFonts w:cs="Times New Roman"/>
          <w:szCs w:val="24"/>
        </w:rPr>
        <w:t>a</w:t>
      </w:r>
      <w:r w:rsidR="00D70281" w:rsidRPr="00D70281">
        <w:rPr>
          <w:rFonts w:cs="Times New Roman"/>
          <w:szCs w:val="24"/>
        </w:rPr>
        <w:t xml:space="preserve">s pārvaldības modelis izvirza tādus fiskālās disciplīnas noteikumus, kas nodrošina, ka ilgtermiņā, šobrīd līdz 2038. gadam, valsts parāds atrodas zem 60% no IKP (vai arī ticami samazinās no pašreizējajiem augstajiem līmeņiem) un deficīts ir zem 3% no IKP. Valstīm </w:t>
      </w:r>
      <w:r w:rsidR="00EB0FCC">
        <w:rPr>
          <w:rFonts w:cs="Times New Roman"/>
          <w:szCs w:val="24"/>
        </w:rPr>
        <w:t>minētie nosacījumi</w:t>
      </w:r>
      <w:r w:rsidR="00D70281" w:rsidRPr="00D70281">
        <w:rPr>
          <w:rFonts w:cs="Times New Roman"/>
          <w:szCs w:val="24"/>
        </w:rPr>
        <w:t xml:space="preserve"> ir jānodrošina līdz 2028. gadam, ievirzot valsti tādā “fiskālā trajektorijā”, lai turpmākajos gados, kustoties “pēc inerces”, parāds būt</w:t>
      </w:r>
      <w:r w:rsidR="00D70281">
        <w:rPr>
          <w:rFonts w:cs="Times New Roman"/>
          <w:szCs w:val="24"/>
        </w:rPr>
        <w:t>u</w:t>
      </w:r>
      <w:r w:rsidR="00D70281" w:rsidRPr="00D70281">
        <w:rPr>
          <w:rFonts w:cs="Times New Roman"/>
          <w:szCs w:val="24"/>
        </w:rPr>
        <w:t xml:space="preserve"> zem 60% no IKP un deficīts zem 3% no IKP. Ar kustību “pēc inerces”</w:t>
      </w:r>
      <w:r w:rsidR="006357B3">
        <w:rPr>
          <w:rFonts w:cs="Times New Roman"/>
          <w:szCs w:val="24"/>
        </w:rPr>
        <w:t xml:space="preserve"> </w:t>
      </w:r>
      <w:r w:rsidR="00D70281" w:rsidRPr="00D70281">
        <w:rPr>
          <w:rFonts w:cs="Times New Roman"/>
          <w:szCs w:val="24"/>
        </w:rPr>
        <w:t>saprot nosacījumu, ka sākot ar 2029. gadu visus turpmākos gadus tiek uzturēt</w:t>
      </w:r>
      <w:r w:rsidR="00D70281">
        <w:rPr>
          <w:rFonts w:cs="Times New Roman"/>
          <w:szCs w:val="24"/>
        </w:rPr>
        <w:t>s</w:t>
      </w:r>
      <w:r w:rsidR="00D70281" w:rsidRPr="00D70281">
        <w:rPr>
          <w:rFonts w:cs="Times New Roman"/>
          <w:szCs w:val="24"/>
        </w:rPr>
        <w:t xml:space="preserve"> 2028. gada strukturālās </w:t>
      </w:r>
      <w:r w:rsidR="009608A3" w:rsidRPr="00D70281">
        <w:rPr>
          <w:rFonts w:cs="Times New Roman"/>
          <w:szCs w:val="24"/>
        </w:rPr>
        <w:t xml:space="preserve">primārās </w:t>
      </w:r>
      <w:r w:rsidR="00D70281" w:rsidRPr="00D70281">
        <w:rPr>
          <w:rFonts w:cs="Times New Roman"/>
          <w:szCs w:val="24"/>
        </w:rPr>
        <w:t>bilances līmenis. Šis rādītājs raksturo stāvokli, kāds tas būtu nemainīgas politikas gadījumā, ar to saprotot nemainīga apjoma publisko pakalpojumu nodrošināšanu ik gadu nemainīgas nodokļu politikas apstākļos. Laika posmā no 2025</w:t>
      </w:r>
      <w:r w:rsidR="00D70281">
        <w:rPr>
          <w:rFonts w:cs="Times New Roman"/>
          <w:szCs w:val="24"/>
        </w:rPr>
        <w:t>.</w:t>
      </w:r>
      <w:r w:rsidR="00D70281" w:rsidRPr="00D70281">
        <w:rPr>
          <w:rFonts w:cs="Times New Roman"/>
          <w:szCs w:val="24"/>
        </w:rPr>
        <w:t xml:space="preserve"> līdz 2028. gadam</w:t>
      </w:r>
      <w:r w:rsidR="00D70281">
        <w:rPr>
          <w:rFonts w:cs="Times New Roman"/>
          <w:szCs w:val="24"/>
        </w:rPr>
        <w:t>,</w:t>
      </w:r>
      <w:r w:rsidR="00D70281" w:rsidRPr="00D70281">
        <w:rPr>
          <w:rFonts w:cs="Times New Roman"/>
          <w:szCs w:val="24"/>
        </w:rPr>
        <w:t xml:space="preserve"> valsts no 2024. gada stāvokļa pakāpeniski </w:t>
      </w:r>
      <w:r w:rsidR="009608A3" w:rsidRPr="00D70281">
        <w:rPr>
          <w:rFonts w:cs="Times New Roman"/>
          <w:szCs w:val="24"/>
        </w:rPr>
        <w:t xml:space="preserve">ir </w:t>
      </w:r>
      <w:r w:rsidR="00D70281" w:rsidRPr="00D70281">
        <w:rPr>
          <w:rFonts w:cs="Times New Roman"/>
          <w:szCs w:val="24"/>
        </w:rPr>
        <w:t xml:space="preserve">jāievirza jaunajā “fiskālajā trajektorijā” – veicot konsolidāciju, ekspansiju, vai tikai mazliet koriģējot virzienu. </w:t>
      </w:r>
      <w:r w:rsidR="009A6598">
        <w:rPr>
          <w:rFonts w:cs="Times New Roman"/>
          <w:szCs w:val="24"/>
        </w:rPr>
        <w:t>FSP</w:t>
      </w:r>
      <w:r w:rsidR="00D70281" w:rsidRPr="00D70281">
        <w:rPr>
          <w:rFonts w:cs="Times New Roman"/>
          <w:szCs w:val="24"/>
        </w:rPr>
        <w:t xml:space="preserve"> ir stāsts par to, kā plānots šo uzdevumu paveikt. Jāatzīmē, ka Latvija jau atrodas tuvu savai nepieciešamai trajektorijai, tāpēc </w:t>
      </w:r>
      <w:r w:rsidR="00D70281">
        <w:rPr>
          <w:rFonts w:cs="Times New Roman"/>
          <w:szCs w:val="24"/>
        </w:rPr>
        <w:t>nav nepieciešams veikt</w:t>
      </w:r>
      <w:r w:rsidR="00D70281" w:rsidRPr="00D70281">
        <w:rPr>
          <w:rFonts w:cs="Times New Roman"/>
          <w:szCs w:val="24"/>
        </w:rPr>
        <w:t xml:space="preserve"> konsolidācij</w:t>
      </w:r>
      <w:r w:rsidR="00D70281">
        <w:rPr>
          <w:rFonts w:cs="Times New Roman"/>
          <w:szCs w:val="24"/>
        </w:rPr>
        <w:t>u, tomēr nav arī</w:t>
      </w:r>
      <w:r w:rsidR="00D70281" w:rsidRPr="00D70281">
        <w:rPr>
          <w:rFonts w:cs="Times New Roman"/>
          <w:szCs w:val="24"/>
        </w:rPr>
        <w:t xml:space="preserve"> liela pozitīva fiskālā telpa ekspansijai. </w:t>
      </w:r>
      <w:r w:rsidR="00D70281">
        <w:rPr>
          <w:rFonts w:cs="Times New Roman"/>
          <w:szCs w:val="24"/>
        </w:rPr>
        <w:t>Latvijas</w:t>
      </w:r>
      <w:r w:rsidR="00D70281" w:rsidRPr="00D70281">
        <w:rPr>
          <w:rFonts w:cs="Times New Roman"/>
          <w:szCs w:val="24"/>
        </w:rPr>
        <w:t xml:space="preserve"> </w:t>
      </w:r>
      <w:r w:rsidR="009A6598">
        <w:rPr>
          <w:rFonts w:cs="Times New Roman"/>
          <w:szCs w:val="24"/>
        </w:rPr>
        <w:t>FSP</w:t>
      </w:r>
      <w:r w:rsidR="00D70281" w:rsidRPr="00D70281">
        <w:rPr>
          <w:rFonts w:cs="Times New Roman"/>
          <w:szCs w:val="24"/>
        </w:rPr>
        <w:t xml:space="preserve"> ir par “virziena nelielu koriģēšanu”.  </w:t>
      </w:r>
    </w:p>
    <w:p w14:paraId="3DAFAB7C" w14:textId="3FE07174" w:rsidR="00D70281" w:rsidRPr="00D70281" w:rsidRDefault="00D70281" w:rsidP="006357B3">
      <w:pPr>
        <w:spacing w:line="240" w:lineRule="auto"/>
        <w:rPr>
          <w:rFonts w:cs="Times New Roman"/>
          <w:szCs w:val="24"/>
        </w:rPr>
      </w:pPr>
      <w:r w:rsidRPr="00D70281">
        <w:rPr>
          <w:rFonts w:cs="Times New Roman"/>
          <w:szCs w:val="24"/>
        </w:rPr>
        <w:t>Atšķirībā no iepriekšējā ES ekonomikas pārvaldības modeļa, kurā galvenais fiskālais rādītājs bija strukturālā bilance, jaunais ES ekonomikas pārvaldības modelis kā galveno fiskālo rādītāju izvirza izdevumu pieauguma nosacījumu. Izdevumu pieaugums pa gadiem tiek noteikts visam laika periodam no 2025</w:t>
      </w:r>
      <w:r>
        <w:rPr>
          <w:rFonts w:cs="Times New Roman"/>
          <w:szCs w:val="24"/>
        </w:rPr>
        <w:t>.</w:t>
      </w:r>
      <w:r w:rsidRPr="00D70281">
        <w:rPr>
          <w:rFonts w:cs="Times New Roman"/>
          <w:szCs w:val="24"/>
        </w:rPr>
        <w:t xml:space="preserve"> līdz 2028. gadam vienu reizi ar šo </w:t>
      </w:r>
      <w:r w:rsidR="009A6598">
        <w:rPr>
          <w:rFonts w:cs="Times New Roman"/>
          <w:szCs w:val="24"/>
        </w:rPr>
        <w:t>FSP</w:t>
      </w:r>
      <w:r w:rsidRPr="00D70281">
        <w:rPr>
          <w:rFonts w:cs="Times New Roman"/>
          <w:szCs w:val="24"/>
        </w:rPr>
        <w:t xml:space="preserve"> un turpmāk netiek mainīts. Tas nozīmē, ka atšķirībā no vecā modeļa, kur pieļaujamais izdevumu apjoms tika koriģēts atbilstoši ieņēmumu (un ekonomikas) izmaiņām, jaunajā modelī ieņēmumu (un ekonomikas) labāka vai sliktāka attīstība nedod iespēju palielināt izdevumu</w:t>
      </w:r>
      <w:r>
        <w:rPr>
          <w:rFonts w:cs="Times New Roman"/>
          <w:szCs w:val="24"/>
        </w:rPr>
        <w:t>s</w:t>
      </w:r>
      <w:r w:rsidR="00F0594C">
        <w:rPr>
          <w:rFonts w:cs="Times New Roman"/>
          <w:szCs w:val="24"/>
        </w:rPr>
        <w:t xml:space="preserve"> vai </w:t>
      </w:r>
      <w:r w:rsidR="00F62244" w:rsidRPr="00F62244">
        <w:rPr>
          <w:rFonts w:cs="Times New Roman"/>
          <w:szCs w:val="24"/>
        </w:rPr>
        <w:t xml:space="preserve">nerada nepieciešamību </w:t>
      </w:r>
      <w:r w:rsidR="00F0594C">
        <w:rPr>
          <w:rFonts w:cs="Times New Roman"/>
          <w:szCs w:val="24"/>
        </w:rPr>
        <w:t>tos samazināt</w:t>
      </w:r>
      <w:r w:rsidR="00F248B3">
        <w:rPr>
          <w:rFonts w:cs="Times New Roman"/>
          <w:szCs w:val="24"/>
        </w:rPr>
        <w:t xml:space="preserve">. </w:t>
      </w:r>
      <w:r w:rsidRPr="00D70281">
        <w:rPr>
          <w:rFonts w:cs="Times New Roman"/>
          <w:szCs w:val="24"/>
        </w:rPr>
        <w:t>Ar šādām izmaiņām tiek nodrošināta fiskālās politikas stabilitāte vidējā termiņā.</w:t>
      </w:r>
    </w:p>
    <w:p w14:paraId="175292FC" w14:textId="0DEC071E" w:rsidR="00D70281" w:rsidRPr="00D70281" w:rsidRDefault="00D70281" w:rsidP="006357B3">
      <w:pPr>
        <w:spacing w:line="240" w:lineRule="auto"/>
        <w:rPr>
          <w:rFonts w:cs="Times New Roman"/>
          <w:szCs w:val="24"/>
        </w:rPr>
      </w:pPr>
      <w:r w:rsidRPr="00D70281">
        <w:rPr>
          <w:rFonts w:cs="Times New Roman"/>
          <w:szCs w:val="24"/>
        </w:rPr>
        <w:t xml:space="preserve">Ņemot vērā šo apstākli, </w:t>
      </w:r>
      <w:r w:rsidR="00F248B3">
        <w:rPr>
          <w:rFonts w:cs="Times New Roman"/>
          <w:szCs w:val="24"/>
        </w:rPr>
        <w:t>FSP</w:t>
      </w:r>
      <w:r w:rsidRPr="00D70281">
        <w:rPr>
          <w:rFonts w:cs="Times New Roman"/>
          <w:szCs w:val="24"/>
        </w:rPr>
        <w:t xml:space="preserve"> ietver arī politikas pasākumus ar kuru palīdzību tiek nodrošināt</w:t>
      </w:r>
      <w:r>
        <w:rPr>
          <w:rFonts w:cs="Times New Roman"/>
          <w:szCs w:val="24"/>
        </w:rPr>
        <w:t>a</w:t>
      </w:r>
      <w:r w:rsidRPr="00D70281">
        <w:rPr>
          <w:rFonts w:cs="Times New Roman"/>
          <w:szCs w:val="24"/>
        </w:rPr>
        <w:t xml:space="preserve"> valsts iekļūšana atbilstošā “fiskālajā trajektorijā”. Šiem pasākumiem jaunajā ES fiskālās pārvaldības ietvarā ir lielāka nozīme, nekā </w:t>
      </w:r>
      <w:r>
        <w:rPr>
          <w:rFonts w:cs="Times New Roman"/>
          <w:szCs w:val="24"/>
        </w:rPr>
        <w:t>līdz šim izstrādātajā</w:t>
      </w:r>
      <w:r w:rsidRPr="00D70281">
        <w:rPr>
          <w:rFonts w:cs="Times New Roman"/>
          <w:szCs w:val="24"/>
        </w:rPr>
        <w:t xml:space="preserve"> Stabilitātes programmā, jo līdz 2028. gadam jauni pasākumi nebūs iespējami, ja vien neveiks izmaiņas nodokļu politikā</w:t>
      </w:r>
      <w:r w:rsidR="00DB4599">
        <w:rPr>
          <w:rFonts w:cs="Times New Roman"/>
          <w:szCs w:val="24"/>
        </w:rPr>
        <w:t xml:space="preserve"> </w:t>
      </w:r>
      <w:r w:rsidRPr="00D70281">
        <w:rPr>
          <w:rFonts w:cs="Times New Roman"/>
          <w:szCs w:val="24"/>
        </w:rPr>
        <w:t>vai neatteiksies no kāda esoša pasākuma. Līdz ar to plāns ietver ne tikai fiskālos rādītāju</w:t>
      </w:r>
      <w:r w:rsidR="00DB4599">
        <w:rPr>
          <w:rFonts w:cs="Times New Roman"/>
          <w:szCs w:val="24"/>
        </w:rPr>
        <w:t>s</w:t>
      </w:r>
      <w:r w:rsidRPr="00D70281">
        <w:rPr>
          <w:rFonts w:cs="Times New Roman"/>
          <w:szCs w:val="24"/>
        </w:rPr>
        <w:t>, bet arī politiku kopumu (plāna strukturālās politikas), kas tiek īstenota ar plān</w:t>
      </w:r>
      <w:r w:rsidR="00DB4599">
        <w:rPr>
          <w:rFonts w:cs="Times New Roman"/>
          <w:szCs w:val="24"/>
        </w:rPr>
        <w:t>ā</w:t>
      </w:r>
      <w:r w:rsidRPr="00D70281">
        <w:rPr>
          <w:rFonts w:cs="Times New Roman"/>
          <w:szCs w:val="24"/>
        </w:rPr>
        <w:t xml:space="preserve"> norādītajām publiskajā</w:t>
      </w:r>
      <w:r w:rsidR="00476C44">
        <w:rPr>
          <w:rFonts w:cs="Times New Roman"/>
          <w:szCs w:val="24"/>
        </w:rPr>
        <w:t>m</w:t>
      </w:r>
      <w:r w:rsidRPr="00D70281">
        <w:rPr>
          <w:rFonts w:cs="Times New Roman"/>
          <w:szCs w:val="24"/>
        </w:rPr>
        <w:t xml:space="preserve"> finansēm. Tāpēc plānu sauc par </w:t>
      </w:r>
      <w:r w:rsidR="00F248B3">
        <w:rPr>
          <w:rFonts w:cs="Times New Roman"/>
          <w:szCs w:val="24"/>
        </w:rPr>
        <w:t>f</w:t>
      </w:r>
      <w:r w:rsidRPr="00D70281">
        <w:rPr>
          <w:rFonts w:cs="Times New Roman"/>
          <w:szCs w:val="24"/>
        </w:rPr>
        <w:t>iskāli strukturāl</w:t>
      </w:r>
      <w:r w:rsidR="00F248B3">
        <w:rPr>
          <w:rFonts w:cs="Times New Roman"/>
          <w:szCs w:val="24"/>
        </w:rPr>
        <w:t>u</w:t>
      </w:r>
      <w:r w:rsidRPr="00D70281">
        <w:rPr>
          <w:rFonts w:cs="Times New Roman"/>
          <w:szCs w:val="24"/>
        </w:rPr>
        <w:t>.</w:t>
      </w:r>
    </w:p>
    <w:p w14:paraId="4F3D1378" w14:textId="412A1260" w:rsidR="008D2F57" w:rsidRPr="008B0C5E" w:rsidRDefault="00F248B3" w:rsidP="008B0C5E">
      <w:pPr>
        <w:spacing w:after="240" w:line="240" w:lineRule="auto"/>
        <w:rPr>
          <w:rFonts w:cs="Times New Roman"/>
          <w:szCs w:val="20"/>
          <w:lang w:eastAsia="lv-LV"/>
        </w:rPr>
      </w:pPr>
      <w:r>
        <w:rPr>
          <w:rFonts w:cs="Times New Roman"/>
          <w:szCs w:val="24"/>
        </w:rPr>
        <w:t>FSP</w:t>
      </w:r>
      <w:r w:rsidR="00D70281" w:rsidRPr="00D70281">
        <w:rPr>
          <w:rFonts w:cs="Times New Roman"/>
          <w:szCs w:val="24"/>
        </w:rPr>
        <w:t xml:space="preserve"> ietver fiskālo daļu un strukturālo daļu. Plāna fiskālā daļa</w:t>
      </w:r>
      <w:r w:rsidR="004542DA">
        <w:rPr>
          <w:rFonts w:cs="Times New Roman"/>
          <w:szCs w:val="24"/>
        </w:rPr>
        <w:t xml:space="preserve"> (sk. att. 1.1)</w:t>
      </w:r>
      <w:r w:rsidR="00D70281" w:rsidRPr="00D70281">
        <w:rPr>
          <w:rFonts w:cs="Times New Roman"/>
          <w:szCs w:val="24"/>
        </w:rPr>
        <w:t xml:space="preserve"> vispirms apraksta Latvijas makroekonomiskās (3.</w:t>
      </w:r>
      <w:r w:rsidR="00DB4599">
        <w:rPr>
          <w:rFonts w:cs="Times New Roman"/>
          <w:szCs w:val="24"/>
        </w:rPr>
        <w:t xml:space="preserve"> </w:t>
      </w:r>
      <w:r w:rsidR="00D70281" w:rsidRPr="00D70281">
        <w:rPr>
          <w:rFonts w:cs="Times New Roman"/>
          <w:szCs w:val="24"/>
        </w:rPr>
        <w:t>nodaļa) un fiskālās prognozes pie nemainīgas politikas</w:t>
      </w:r>
      <w:r w:rsidR="00D70281" w:rsidRPr="00D70281">
        <w:rPr>
          <w:rStyle w:val="FootnoteReference"/>
          <w:rFonts w:ascii="Times New Roman" w:hAnsi="Times New Roman" w:cs="Times New Roman"/>
          <w:sz w:val="24"/>
          <w:szCs w:val="24"/>
        </w:rPr>
        <w:footnoteReference w:id="1"/>
      </w:r>
      <w:r w:rsidR="00D70281" w:rsidRPr="00D70281">
        <w:rPr>
          <w:rFonts w:cs="Times New Roman"/>
          <w:szCs w:val="24"/>
        </w:rPr>
        <w:t xml:space="preserve"> (4.</w:t>
      </w:r>
      <w:r w:rsidR="00DB4599">
        <w:rPr>
          <w:rFonts w:cs="Times New Roman"/>
          <w:szCs w:val="24"/>
        </w:rPr>
        <w:t xml:space="preserve"> </w:t>
      </w:r>
      <w:r w:rsidR="00D70281" w:rsidRPr="00D70281">
        <w:rPr>
          <w:rFonts w:cs="Times New Roman"/>
          <w:szCs w:val="24"/>
        </w:rPr>
        <w:t>nodaļa)</w:t>
      </w:r>
      <w:r w:rsidR="00B54051">
        <w:rPr>
          <w:rFonts w:cs="Times New Roman"/>
          <w:szCs w:val="24"/>
        </w:rPr>
        <w:t>,</w:t>
      </w:r>
      <w:r w:rsidR="00D70281" w:rsidRPr="00D70281">
        <w:rPr>
          <w:rFonts w:cs="Times New Roman"/>
          <w:szCs w:val="24"/>
        </w:rPr>
        <w:t xml:space="preserve"> uz kuru pamata ir veidots 2025. gada valsts budžets un vidēja termiņa budžeta ietvars 2025</w:t>
      </w:r>
      <w:r w:rsidR="00DB4599">
        <w:rPr>
          <w:rFonts w:cs="Times New Roman"/>
          <w:szCs w:val="24"/>
        </w:rPr>
        <w:t xml:space="preserve">. – </w:t>
      </w:r>
      <w:r w:rsidR="00D70281" w:rsidRPr="00D70281">
        <w:rPr>
          <w:rFonts w:cs="Times New Roman"/>
          <w:szCs w:val="24"/>
        </w:rPr>
        <w:t>2027.</w:t>
      </w:r>
      <w:r w:rsidR="00B54051">
        <w:rPr>
          <w:rFonts w:cs="Times New Roman"/>
          <w:szCs w:val="24"/>
        </w:rPr>
        <w:t xml:space="preserve"> gadam.</w:t>
      </w:r>
      <w:r w:rsidR="00D70281" w:rsidRPr="00D70281">
        <w:rPr>
          <w:rFonts w:cs="Times New Roman"/>
          <w:szCs w:val="24"/>
        </w:rPr>
        <w:t xml:space="preserve"> Prognozes ietver arī 2028. gadu. </w:t>
      </w:r>
      <w:r w:rsidR="00DB4599">
        <w:rPr>
          <w:rFonts w:cs="Times New Roman"/>
          <w:szCs w:val="24"/>
        </w:rPr>
        <w:t>P</w:t>
      </w:r>
      <w:r w:rsidR="00D70281" w:rsidRPr="00D70281">
        <w:rPr>
          <w:rFonts w:cs="Times New Roman"/>
          <w:szCs w:val="24"/>
        </w:rPr>
        <w:t xml:space="preserve">lānā tiek sniegta </w:t>
      </w:r>
      <w:r w:rsidR="00D70281" w:rsidRPr="00D70281">
        <w:rPr>
          <w:rFonts w:cs="Times New Roman"/>
          <w:szCs w:val="24"/>
        </w:rPr>
        <w:lastRenderedPageBreak/>
        <w:t>informācija un aprēķināta fiskālā trajektorija (5.</w:t>
      </w:r>
      <w:r w:rsidR="00DB4599">
        <w:rPr>
          <w:rFonts w:cs="Times New Roman"/>
          <w:szCs w:val="24"/>
        </w:rPr>
        <w:t xml:space="preserve"> </w:t>
      </w:r>
      <w:r w:rsidR="00D70281" w:rsidRPr="00D70281">
        <w:rPr>
          <w:rFonts w:cs="Times New Roman"/>
          <w:szCs w:val="24"/>
        </w:rPr>
        <w:t>nodaļa)</w:t>
      </w:r>
      <w:r w:rsidR="00DB4599">
        <w:rPr>
          <w:rFonts w:cs="Times New Roman"/>
          <w:szCs w:val="24"/>
        </w:rPr>
        <w:t xml:space="preserve">, kam seko </w:t>
      </w:r>
      <w:r w:rsidR="00D70281" w:rsidRPr="00D70281">
        <w:rPr>
          <w:rFonts w:cs="Times New Roman"/>
          <w:szCs w:val="24"/>
        </w:rPr>
        <w:t>informācija par Latvij</w:t>
      </w:r>
      <w:r w:rsidR="006357B3">
        <w:rPr>
          <w:rFonts w:cs="Times New Roman"/>
          <w:szCs w:val="24"/>
        </w:rPr>
        <w:t>ā</w:t>
      </w:r>
      <w:r w:rsidR="00D70281" w:rsidRPr="00D70281">
        <w:rPr>
          <w:rFonts w:cs="Times New Roman"/>
          <w:szCs w:val="24"/>
        </w:rPr>
        <w:t xml:space="preserve"> pielietotajiem fiskālajiem nosacījumiem un fiskālo rādītāju prognozēm 2025</w:t>
      </w:r>
      <w:r w:rsidR="00DB4599">
        <w:rPr>
          <w:rFonts w:cs="Times New Roman"/>
          <w:szCs w:val="24"/>
        </w:rPr>
        <w:t xml:space="preserve">. – </w:t>
      </w:r>
      <w:r w:rsidR="00D70281" w:rsidRPr="00D70281">
        <w:rPr>
          <w:rFonts w:cs="Times New Roman"/>
          <w:szCs w:val="24"/>
        </w:rPr>
        <w:t>2028</w:t>
      </w:r>
      <w:r w:rsidR="00DB4599">
        <w:rPr>
          <w:rFonts w:cs="Times New Roman"/>
          <w:szCs w:val="24"/>
        </w:rPr>
        <w:t>.</w:t>
      </w:r>
      <w:r w:rsidR="00D70281" w:rsidRPr="00D70281">
        <w:rPr>
          <w:rFonts w:cs="Times New Roman"/>
          <w:szCs w:val="24"/>
        </w:rPr>
        <w:t xml:space="preserve"> gadam, ņemot vērā visus pieņemtos lēmumus, tai skaitā jaunos, kas pieņemti 2025.</w:t>
      </w:r>
      <w:r w:rsidR="000B77CF">
        <w:rPr>
          <w:rFonts w:cs="Times New Roman"/>
          <w:szCs w:val="24"/>
        </w:rPr>
        <w:t xml:space="preserve"> </w:t>
      </w:r>
      <w:r w:rsidR="00D70281" w:rsidRPr="00D70281">
        <w:rPr>
          <w:rFonts w:cs="Times New Roman"/>
          <w:szCs w:val="24"/>
        </w:rPr>
        <w:t>gada budžeta un budžeta ietvara 2025</w:t>
      </w:r>
      <w:r w:rsidR="00DB4599">
        <w:rPr>
          <w:rFonts w:cs="Times New Roman"/>
          <w:szCs w:val="24"/>
        </w:rPr>
        <w:t xml:space="preserve">. – </w:t>
      </w:r>
      <w:r w:rsidR="00D70281" w:rsidRPr="00D70281">
        <w:rPr>
          <w:rFonts w:cs="Times New Roman"/>
          <w:szCs w:val="24"/>
        </w:rPr>
        <w:t>2027</w:t>
      </w:r>
      <w:r w:rsidR="00DB4599">
        <w:rPr>
          <w:rFonts w:cs="Times New Roman"/>
          <w:szCs w:val="24"/>
        </w:rPr>
        <w:t>. gadam</w:t>
      </w:r>
      <w:r w:rsidR="00D70281" w:rsidRPr="00D70281">
        <w:rPr>
          <w:rFonts w:cs="Times New Roman"/>
          <w:szCs w:val="24"/>
        </w:rPr>
        <w:t xml:space="preserve"> kontekstā</w:t>
      </w:r>
      <w:r w:rsidR="000B77CF">
        <w:rPr>
          <w:rFonts w:cs="Times New Roman"/>
          <w:szCs w:val="24"/>
        </w:rPr>
        <w:t xml:space="preserve"> </w:t>
      </w:r>
      <w:r w:rsidR="00D70281" w:rsidRPr="00D70281">
        <w:rPr>
          <w:rFonts w:cs="Times New Roman"/>
          <w:szCs w:val="24"/>
        </w:rPr>
        <w:t>(</w:t>
      </w:r>
      <w:r w:rsidR="00B83DC8">
        <w:rPr>
          <w:rFonts w:cs="Times New Roman"/>
          <w:szCs w:val="24"/>
        </w:rPr>
        <w:t>7</w:t>
      </w:r>
      <w:r w:rsidR="00D70281" w:rsidRPr="00D70281">
        <w:rPr>
          <w:rFonts w:cs="Times New Roman"/>
          <w:szCs w:val="24"/>
        </w:rPr>
        <w:t xml:space="preserve">. nodaļa). </w:t>
      </w:r>
      <w:r w:rsidR="000B77CF">
        <w:rPr>
          <w:rFonts w:cs="Times New Roman"/>
          <w:szCs w:val="24"/>
        </w:rPr>
        <w:t xml:space="preserve">6. </w:t>
      </w:r>
      <w:r w:rsidR="00D70281" w:rsidRPr="00D70281">
        <w:rPr>
          <w:rFonts w:cs="Times New Roman"/>
          <w:szCs w:val="24"/>
        </w:rPr>
        <w:t xml:space="preserve">nodaļas mērķis ir parādīt, ka ar visu publisko finanšu ietekmējošo rādītāju kopumu tiek </w:t>
      </w:r>
      <w:r w:rsidR="00DB4599">
        <w:rPr>
          <w:rFonts w:cs="Times New Roman"/>
          <w:szCs w:val="24"/>
        </w:rPr>
        <w:t>panākts</w:t>
      </w:r>
      <w:r w:rsidR="00D70281" w:rsidRPr="00D70281">
        <w:rPr>
          <w:rFonts w:cs="Times New Roman"/>
          <w:szCs w:val="24"/>
        </w:rPr>
        <w:t xml:space="preserve">, ka valsts nodrošina 5. nodaļā noteikto izdevumu pieauguma nosacījuma ievērošanu. </w:t>
      </w:r>
      <w:r w:rsidR="00B83DC8">
        <w:rPr>
          <w:rFonts w:cs="Times New Roman"/>
          <w:szCs w:val="24"/>
        </w:rPr>
        <w:t>7</w:t>
      </w:r>
      <w:r w:rsidR="00D70281" w:rsidRPr="00D70281">
        <w:rPr>
          <w:rFonts w:cs="Times New Roman"/>
          <w:szCs w:val="24"/>
        </w:rPr>
        <w:t>. nodaļā tiek sniegta informācija par jaunajiem politikas pasākumiem. Budžeta sagatavošanas kontekstā Latvija izmanto fiskālās telpas metodi. Vispirms tiek izstrādātas prognozes pie nemainīgas politikas</w:t>
      </w:r>
      <w:r w:rsidR="00DB4599">
        <w:rPr>
          <w:rFonts w:cs="Times New Roman"/>
          <w:szCs w:val="24"/>
        </w:rPr>
        <w:t>, t</w:t>
      </w:r>
      <w:r w:rsidR="00D70281" w:rsidRPr="00D70281">
        <w:rPr>
          <w:rFonts w:cs="Times New Roman"/>
          <w:szCs w:val="24"/>
        </w:rPr>
        <w:t xml:space="preserve">ad, ņemot vērā nepieciešamību ievērot fiskālos nosacījumus, tiek aprēķināta fiskālā telpa jeb apjoms jauniem politikas pasākumiem. Fiskālo telpu var paplašināt, lemjot par jauniem ieņēmumus palielinošiem pasākumiem. </w:t>
      </w:r>
      <w:r w:rsidR="00B83DC8">
        <w:rPr>
          <w:rFonts w:cs="Times New Roman"/>
          <w:szCs w:val="24"/>
        </w:rPr>
        <w:t>7</w:t>
      </w:r>
      <w:r w:rsidR="00D70281" w:rsidRPr="00D70281">
        <w:rPr>
          <w:rFonts w:cs="Times New Roman"/>
          <w:szCs w:val="24"/>
        </w:rPr>
        <w:t>. nodaļā norādīt</w:t>
      </w:r>
      <w:r w:rsidR="00B54051">
        <w:rPr>
          <w:rFonts w:cs="Times New Roman"/>
          <w:szCs w:val="24"/>
        </w:rPr>
        <w:t>o</w:t>
      </w:r>
      <w:r w:rsidR="00D70281" w:rsidRPr="00D70281">
        <w:rPr>
          <w:rFonts w:cs="Times New Roman"/>
          <w:szCs w:val="24"/>
        </w:rPr>
        <w:t xml:space="preserve"> pasākumu fiskālā ietekme ir ņemta vērā </w:t>
      </w:r>
      <w:r w:rsidR="000B77CF">
        <w:rPr>
          <w:rFonts w:cs="Times New Roman"/>
          <w:szCs w:val="24"/>
        </w:rPr>
        <w:t>4</w:t>
      </w:r>
      <w:r w:rsidR="00D70281" w:rsidRPr="00D70281">
        <w:rPr>
          <w:rFonts w:cs="Times New Roman"/>
          <w:szCs w:val="24"/>
        </w:rPr>
        <w:t xml:space="preserve">. nodaļas fiskālajās prognozēs. </w:t>
      </w:r>
      <w:r w:rsidR="00B83DC8">
        <w:rPr>
          <w:rFonts w:cs="Times New Roman"/>
          <w:szCs w:val="24"/>
        </w:rPr>
        <w:t>8</w:t>
      </w:r>
      <w:r w:rsidR="00D70281" w:rsidRPr="00D70281">
        <w:rPr>
          <w:rFonts w:cs="Times New Roman"/>
          <w:szCs w:val="24"/>
        </w:rPr>
        <w:t>. nodaļā ir sniegta informācija par valsts parāda ilgtermiņa attīstību saskaņā ar Latvijas prognozēm. Ņemot vērā, ka Latvijas potenciālā IKP prognozes ir būtiski augstākas</w:t>
      </w:r>
      <w:r w:rsidR="00651234">
        <w:rPr>
          <w:rFonts w:cs="Times New Roman"/>
          <w:szCs w:val="24"/>
        </w:rPr>
        <w:t xml:space="preserve"> </w:t>
      </w:r>
      <w:r w:rsidR="00D70281" w:rsidRPr="00D70281">
        <w:rPr>
          <w:rFonts w:cs="Times New Roman"/>
          <w:szCs w:val="24"/>
        </w:rPr>
        <w:t>nekā EK prognoz</w:t>
      </w:r>
      <w:r w:rsidR="00651234">
        <w:rPr>
          <w:rFonts w:cs="Times New Roman"/>
          <w:szCs w:val="24"/>
        </w:rPr>
        <w:t>e</w:t>
      </w:r>
      <w:r w:rsidR="00D70281" w:rsidRPr="00D70281">
        <w:rPr>
          <w:rFonts w:cs="Times New Roman"/>
          <w:szCs w:val="24"/>
        </w:rPr>
        <w:t xml:space="preserve">s, parāds ir zemāks kā EK prognozēs. </w:t>
      </w:r>
      <w:r w:rsidR="00B83DC8">
        <w:rPr>
          <w:rFonts w:cs="Times New Roman"/>
          <w:szCs w:val="24"/>
        </w:rPr>
        <w:t>9</w:t>
      </w:r>
      <w:r w:rsidR="00D70281" w:rsidRPr="00D70281">
        <w:rPr>
          <w:rFonts w:cs="Times New Roman"/>
          <w:szCs w:val="24"/>
        </w:rPr>
        <w:t>.</w:t>
      </w:r>
      <w:r w:rsidR="00DB4599">
        <w:rPr>
          <w:rFonts w:cs="Times New Roman"/>
          <w:szCs w:val="24"/>
        </w:rPr>
        <w:t xml:space="preserve"> </w:t>
      </w:r>
      <w:r w:rsidR="00D70281" w:rsidRPr="00D70281">
        <w:rPr>
          <w:rFonts w:cs="Times New Roman"/>
          <w:szCs w:val="24"/>
        </w:rPr>
        <w:t xml:space="preserve">nodaļā ir sniegta informācija par investīcijām un reformām, kas attiecas uz Latvijai adresētajām ES </w:t>
      </w:r>
      <w:r w:rsidR="006357B3">
        <w:rPr>
          <w:rFonts w:cs="Times New Roman"/>
          <w:szCs w:val="24"/>
        </w:rPr>
        <w:t xml:space="preserve">Padomes </w:t>
      </w:r>
      <w:r w:rsidR="00D70281" w:rsidRPr="00D70281">
        <w:rPr>
          <w:rFonts w:cs="Times New Roman"/>
          <w:szCs w:val="24"/>
        </w:rPr>
        <w:t>rekomendācijā</w:t>
      </w:r>
      <w:r w:rsidR="0056349F">
        <w:rPr>
          <w:rFonts w:cs="Times New Roman"/>
          <w:szCs w:val="24"/>
        </w:rPr>
        <w:t>m</w:t>
      </w:r>
      <w:r w:rsidR="00D70281" w:rsidRPr="00D70281">
        <w:rPr>
          <w:rFonts w:cs="Times New Roman"/>
          <w:szCs w:val="24"/>
        </w:rPr>
        <w:t xml:space="preserve"> Eiropas semestra ietvaros</w:t>
      </w:r>
      <w:r w:rsidR="0056349F">
        <w:rPr>
          <w:rFonts w:cs="Times New Roman"/>
          <w:szCs w:val="24"/>
        </w:rPr>
        <w:t xml:space="preserve">, </w:t>
      </w:r>
      <w:r w:rsidR="0056349F">
        <w:rPr>
          <w:rFonts w:cs="Times New Roman"/>
          <w:szCs w:val="20"/>
          <w:lang w:eastAsia="lv-LV"/>
        </w:rPr>
        <w:t>kā arī ES kopējām prioritātēm</w:t>
      </w:r>
      <w:r w:rsidR="00D70281" w:rsidRPr="00D70281">
        <w:rPr>
          <w:rFonts w:cs="Times New Roman"/>
          <w:szCs w:val="24"/>
        </w:rPr>
        <w:t xml:space="preserve">. Visbeidzot, </w:t>
      </w:r>
      <w:r w:rsidR="00B83DC8">
        <w:rPr>
          <w:rFonts w:cs="Times New Roman"/>
          <w:szCs w:val="24"/>
        </w:rPr>
        <w:t>10</w:t>
      </w:r>
      <w:r w:rsidR="00D70281" w:rsidRPr="00D70281">
        <w:rPr>
          <w:rFonts w:cs="Times New Roman"/>
          <w:szCs w:val="24"/>
        </w:rPr>
        <w:t>. nodaļā ir sniegta informācija par fiskālajiem riskiem.</w:t>
      </w:r>
    </w:p>
    <w:p w14:paraId="2E77ABAC" w14:textId="1A352B91" w:rsidR="00D70281" w:rsidRPr="00D70281" w:rsidRDefault="00D70281" w:rsidP="006357B3">
      <w:pPr>
        <w:spacing w:line="240" w:lineRule="auto"/>
        <w:ind w:firstLine="0"/>
        <w:jc w:val="center"/>
        <w:rPr>
          <w:rFonts w:cs="Times New Roman"/>
          <w:szCs w:val="24"/>
        </w:rPr>
      </w:pPr>
      <w:r>
        <w:rPr>
          <w:noProof/>
          <w:szCs w:val="20"/>
        </w:rPr>
        <w:drawing>
          <wp:inline distT="0" distB="0" distL="0" distR="0" wp14:anchorId="369A20D4" wp14:editId="0702F23B">
            <wp:extent cx="5348224" cy="2872596"/>
            <wp:effectExtent l="0" t="0" r="5080" b="0"/>
            <wp:docPr id="1127933744"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33744" name="Picture 2" descr="A diagram of a flow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351" cy="2900594"/>
                    </a:xfrm>
                    <a:prstGeom prst="rect">
                      <a:avLst/>
                    </a:prstGeom>
                    <a:noFill/>
                  </pic:spPr>
                </pic:pic>
              </a:graphicData>
            </a:graphic>
          </wp:inline>
        </w:drawing>
      </w:r>
    </w:p>
    <w:p w14:paraId="4001A6D2" w14:textId="2FEC0890" w:rsidR="00D70281" w:rsidRPr="004732E7" w:rsidRDefault="00B54051" w:rsidP="006357B3">
      <w:pPr>
        <w:spacing w:line="240" w:lineRule="auto"/>
        <w:ind w:firstLine="0"/>
        <w:jc w:val="center"/>
        <w:rPr>
          <w:rFonts w:cs="Times New Roman"/>
          <w:b/>
          <w:bCs/>
          <w:i/>
          <w:iCs/>
          <w:szCs w:val="24"/>
          <w:lang w:eastAsia="lv-LV"/>
        </w:rPr>
      </w:pPr>
      <w:r w:rsidRPr="004732E7">
        <w:rPr>
          <w:rFonts w:cs="Times New Roman"/>
          <w:b/>
          <w:bCs/>
          <w:i/>
          <w:iCs/>
          <w:szCs w:val="24"/>
          <w:lang w:eastAsia="lv-LV"/>
        </w:rPr>
        <w:t xml:space="preserve">1.1. </w:t>
      </w:r>
      <w:r w:rsidR="00D70281" w:rsidRPr="004732E7">
        <w:rPr>
          <w:rFonts w:cs="Times New Roman"/>
          <w:b/>
          <w:bCs/>
          <w:i/>
          <w:iCs/>
          <w:szCs w:val="24"/>
          <w:lang w:eastAsia="lv-LV"/>
        </w:rPr>
        <w:t xml:space="preserve">att. </w:t>
      </w:r>
      <w:r w:rsidR="00F248B3" w:rsidRPr="004732E7">
        <w:rPr>
          <w:rFonts w:cs="Times New Roman"/>
          <w:b/>
          <w:bCs/>
          <w:i/>
          <w:iCs/>
          <w:szCs w:val="24"/>
          <w:lang w:eastAsia="lv-LV"/>
        </w:rPr>
        <w:t>FSP</w:t>
      </w:r>
      <w:r w:rsidR="00D70281" w:rsidRPr="004732E7">
        <w:rPr>
          <w:rFonts w:cs="Times New Roman"/>
          <w:b/>
          <w:bCs/>
          <w:i/>
          <w:iCs/>
          <w:szCs w:val="24"/>
          <w:lang w:eastAsia="lv-LV"/>
        </w:rPr>
        <w:t xml:space="preserve"> fiskālās daļas struktūra</w:t>
      </w:r>
    </w:p>
    <w:p w14:paraId="01731959" w14:textId="77777777" w:rsidR="001F0B99" w:rsidRDefault="001F0B99" w:rsidP="00D16FDC">
      <w:pPr>
        <w:spacing w:after="0" w:line="240" w:lineRule="auto"/>
        <w:ind w:firstLine="0"/>
        <w:rPr>
          <w:b/>
          <w:bCs/>
          <w:szCs w:val="20"/>
          <w:u w:val="single"/>
        </w:rPr>
      </w:pPr>
    </w:p>
    <w:p w14:paraId="2DA4AB4B" w14:textId="06F85F77" w:rsidR="001F0B99" w:rsidRPr="001F0B99" w:rsidRDefault="001F0B99" w:rsidP="006357B3">
      <w:pPr>
        <w:spacing w:line="240" w:lineRule="auto"/>
        <w:ind w:firstLine="0"/>
        <w:jc w:val="center"/>
        <w:rPr>
          <w:b/>
          <w:bCs/>
          <w:szCs w:val="20"/>
          <w:u w:val="single"/>
        </w:rPr>
      </w:pPr>
      <w:r w:rsidRPr="001F0B99">
        <w:rPr>
          <w:b/>
          <w:bCs/>
          <w:szCs w:val="20"/>
          <w:u w:val="single"/>
        </w:rPr>
        <w:t>Konsultācijas un atzinumi</w:t>
      </w:r>
    </w:p>
    <w:p w14:paraId="214C16EB" w14:textId="0F66A778" w:rsidR="001F0B99" w:rsidRDefault="001F0B99" w:rsidP="006357B3">
      <w:pPr>
        <w:spacing w:line="240" w:lineRule="auto"/>
        <w:rPr>
          <w:szCs w:val="20"/>
        </w:rPr>
      </w:pPr>
      <w:r w:rsidRPr="001F0B99">
        <w:rPr>
          <w:szCs w:val="20"/>
        </w:rPr>
        <w:t xml:space="preserve">Par </w:t>
      </w:r>
      <w:r w:rsidR="009A6598">
        <w:rPr>
          <w:szCs w:val="20"/>
        </w:rPr>
        <w:t>FSP</w:t>
      </w:r>
      <w:r w:rsidRPr="001F0B99">
        <w:rPr>
          <w:szCs w:val="20"/>
        </w:rPr>
        <w:t xml:space="preserve"> reformu un investīciju daļu (9.</w:t>
      </w:r>
      <w:r w:rsidR="006357B3">
        <w:rPr>
          <w:szCs w:val="20"/>
        </w:rPr>
        <w:t xml:space="preserve"> </w:t>
      </w:r>
      <w:r w:rsidRPr="001F0B99">
        <w:rPr>
          <w:szCs w:val="20"/>
        </w:rPr>
        <w:t>nodaļa) ir veiktas konsultācijas ar sociālajiem partneriem. Pa</w:t>
      </w:r>
      <w:r w:rsidR="009A6598">
        <w:rPr>
          <w:szCs w:val="20"/>
        </w:rPr>
        <w:t>r</w:t>
      </w:r>
      <w:r w:rsidRPr="001F0B99">
        <w:rPr>
          <w:szCs w:val="20"/>
        </w:rPr>
        <w:t xml:space="preserve"> </w:t>
      </w:r>
      <w:r w:rsidR="00FC3DA6">
        <w:rPr>
          <w:szCs w:val="20"/>
        </w:rPr>
        <w:t>FM</w:t>
      </w:r>
      <w:r w:rsidRPr="001F0B99">
        <w:rPr>
          <w:szCs w:val="20"/>
        </w:rPr>
        <w:t xml:space="preserve"> izstrādātajām un </w:t>
      </w:r>
      <w:r w:rsidR="009A6598">
        <w:rPr>
          <w:szCs w:val="20"/>
        </w:rPr>
        <w:t>FSP</w:t>
      </w:r>
      <w:r w:rsidRPr="001F0B99">
        <w:rPr>
          <w:szCs w:val="20"/>
        </w:rPr>
        <w:t xml:space="preserve"> izmantotajām makroekonomiskajām un fiskālajām prognozēm ir sagatavots </w:t>
      </w:r>
      <w:r w:rsidR="00103F0E">
        <w:rPr>
          <w:szCs w:val="20"/>
        </w:rPr>
        <w:t>FDP</w:t>
      </w:r>
      <w:r w:rsidRPr="001F0B99">
        <w:rPr>
          <w:szCs w:val="20"/>
        </w:rPr>
        <w:t xml:space="preserve"> atzinums</w:t>
      </w:r>
      <w:r w:rsidR="008446DE">
        <w:rPr>
          <w:szCs w:val="20"/>
        </w:rPr>
        <w:t xml:space="preserve"> (2. pielikums)</w:t>
      </w:r>
      <w:r w:rsidRPr="001F0B99">
        <w:rPr>
          <w:szCs w:val="20"/>
        </w:rPr>
        <w:t xml:space="preserve">, kas pievienots šim plānam. Par </w:t>
      </w:r>
      <w:r w:rsidR="009A6598">
        <w:rPr>
          <w:szCs w:val="20"/>
        </w:rPr>
        <w:t xml:space="preserve">FSP </w:t>
      </w:r>
      <w:r w:rsidRPr="001F0B99">
        <w:rPr>
          <w:szCs w:val="20"/>
        </w:rPr>
        <w:t>konsultācijas ar Saeimu nav veiktas.</w:t>
      </w:r>
    </w:p>
    <w:p w14:paraId="13E7A718" w14:textId="77777777" w:rsidR="001F0B99" w:rsidRPr="001F0B99" w:rsidRDefault="001F0B99" w:rsidP="006357B3">
      <w:pPr>
        <w:spacing w:after="0" w:line="240" w:lineRule="auto"/>
        <w:rPr>
          <w:szCs w:val="20"/>
        </w:rPr>
      </w:pPr>
    </w:p>
    <w:p w14:paraId="7F17F176" w14:textId="77777777" w:rsidR="001F0B99" w:rsidRPr="001F0B99" w:rsidRDefault="001F0B99" w:rsidP="006357B3">
      <w:pPr>
        <w:spacing w:line="240" w:lineRule="auto"/>
        <w:ind w:firstLine="0"/>
        <w:jc w:val="center"/>
        <w:rPr>
          <w:b/>
          <w:bCs/>
          <w:szCs w:val="20"/>
          <w:u w:val="single"/>
        </w:rPr>
      </w:pPr>
      <w:r w:rsidRPr="001F0B99">
        <w:rPr>
          <w:b/>
          <w:bCs/>
          <w:szCs w:val="20"/>
          <w:u w:val="single"/>
        </w:rPr>
        <w:t>Saskanība ar ES finansētajiem pasākumiem</w:t>
      </w:r>
    </w:p>
    <w:p w14:paraId="09D3E42B" w14:textId="351962D9" w:rsidR="00FC5A11" w:rsidRPr="006357B3" w:rsidRDefault="001F0B99" w:rsidP="006357B3">
      <w:pPr>
        <w:spacing w:line="240" w:lineRule="auto"/>
        <w:rPr>
          <w:szCs w:val="20"/>
        </w:rPr>
      </w:pPr>
      <w:r w:rsidRPr="001F0B99">
        <w:rPr>
          <w:szCs w:val="20"/>
        </w:rPr>
        <w:t>Plānā ir sniegti fiskālie rādītāji par vispārējās valdības sektoru un tajos ir ietverti ieņēmumi un izdevumi arī par projektiem un pasākumiem, kas tiek līdzfinansēti no ES budžeta. Reformu un investīciju aprakstā ir ietvertas gan investīcijas un reformas, kas tiek finansētas no valsts finanšu resursiem, gan arī no ES finanšu resursiem.</w:t>
      </w:r>
    </w:p>
    <w:p w14:paraId="1950405E" w14:textId="33F72545" w:rsidR="00BF4753" w:rsidRPr="002869EC" w:rsidRDefault="00CF68A1" w:rsidP="006357B3">
      <w:pPr>
        <w:pStyle w:val="Heading1"/>
        <w:spacing w:before="0" w:after="240" w:line="240" w:lineRule="auto"/>
        <w:rPr>
          <w:sz w:val="32"/>
          <w:szCs w:val="32"/>
        </w:rPr>
      </w:pPr>
      <w:bookmarkStart w:id="4" w:name="_Toc179540618"/>
      <w:r w:rsidRPr="002869EC">
        <w:rPr>
          <w:sz w:val="32"/>
          <w:szCs w:val="32"/>
        </w:rPr>
        <w:lastRenderedPageBreak/>
        <w:t xml:space="preserve">2. </w:t>
      </w:r>
      <w:bookmarkEnd w:id="1"/>
      <w:bookmarkEnd w:id="2"/>
      <w:r w:rsidR="005A4348" w:rsidRPr="002869EC">
        <w:rPr>
          <w:sz w:val="32"/>
          <w:szCs w:val="32"/>
        </w:rPr>
        <w:t>Kopsavilkums</w:t>
      </w:r>
      <w:bookmarkEnd w:id="4"/>
      <w:r w:rsidR="005A4348" w:rsidRPr="002869EC">
        <w:rPr>
          <w:sz w:val="32"/>
          <w:szCs w:val="32"/>
        </w:rPr>
        <w:t xml:space="preserve"> </w:t>
      </w:r>
    </w:p>
    <w:p w14:paraId="2C664168" w14:textId="608AFDAB" w:rsidR="00DB4599" w:rsidRDefault="00DB4599" w:rsidP="008B0C5E">
      <w:pPr>
        <w:spacing w:after="0" w:line="240" w:lineRule="auto"/>
        <w:rPr>
          <w:rFonts w:cs="Times New Roman"/>
          <w:szCs w:val="20"/>
          <w:lang w:eastAsia="lv-LV"/>
        </w:rPr>
      </w:pPr>
      <w:r>
        <w:rPr>
          <w:rFonts w:cs="Times New Roman"/>
          <w:szCs w:val="20"/>
          <w:lang w:eastAsia="lv-LV"/>
        </w:rPr>
        <w:t>Latvija apņemas ievērot šādu neto valsts finansēto primāro izdevumu maksimālo pieaugumu.</w:t>
      </w:r>
    </w:p>
    <w:p w14:paraId="04B21307" w14:textId="39CDC21A" w:rsidR="00DB4599" w:rsidRPr="00B42F99" w:rsidRDefault="00DB4599" w:rsidP="006357B3">
      <w:pPr>
        <w:spacing w:line="240" w:lineRule="auto"/>
        <w:jc w:val="right"/>
        <w:rPr>
          <w:rFonts w:cs="Times New Roman"/>
          <w:b/>
          <w:bCs/>
          <w:szCs w:val="20"/>
          <w:lang w:eastAsia="lv-LV"/>
        </w:rPr>
      </w:pPr>
      <w:r w:rsidRPr="00BB31A6">
        <w:rPr>
          <w:rFonts w:cs="Times New Roman"/>
          <w:b/>
          <w:bCs/>
          <w:szCs w:val="20"/>
          <w:lang w:eastAsia="lv-LV"/>
        </w:rPr>
        <w:t>1</w:t>
      </w:r>
      <w:r w:rsidRPr="002223AF">
        <w:rPr>
          <w:rFonts w:cs="Times New Roman"/>
          <w:b/>
          <w:bCs/>
          <w:szCs w:val="20"/>
          <w:lang w:eastAsia="lv-LV"/>
        </w:rPr>
        <w:t xml:space="preserve">. tabula. </w:t>
      </w:r>
      <w:r w:rsidR="008E3CA0" w:rsidRPr="002223AF">
        <w:rPr>
          <w:rFonts w:cs="Times New Roman"/>
          <w:b/>
          <w:bCs/>
          <w:szCs w:val="20"/>
          <w:lang w:eastAsia="lv-LV"/>
        </w:rPr>
        <w:t>Fiskālās</w:t>
      </w:r>
      <w:r w:rsidR="008E3CA0">
        <w:rPr>
          <w:rFonts w:cs="Times New Roman"/>
          <w:b/>
          <w:bCs/>
          <w:szCs w:val="20"/>
          <w:lang w:eastAsia="lv-LV"/>
        </w:rPr>
        <w:t xml:space="preserve"> saistības </w:t>
      </w:r>
    </w:p>
    <w:tbl>
      <w:tblPr>
        <w:tblW w:w="7802" w:type="dxa"/>
        <w:jc w:val="center"/>
        <w:tblLook w:val="04A0" w:firstRow="1" w:lastRow="0" w:firstColumn="1" w:lastColumn="0" w:noHBand="0" w:noVBand="1"/>
      </w:tblPr>
      <w:tblGrid>
        <w:gridCol w:w="567"/>
        <w:gridCol w:w="2552"/>
        <w:gridCol w:w="1271"/>
        <w:gridCol w:w="1129"/>
        <w:gridCol w:w="1129"/>
        <w:gridCol w:w="1154"/>
      </w:tblGrid>
      <w:tr w:rsidR="00DB4599" w:rsidRPr="009D34AC" w14:paraId="068DC7EB" w14:textId="77777777" w:rsidTr="008B0C5E">
        <w:trPr>
          <w:trHeight w:val="300"/>
          <w:jc w:val="center"/>
        </w:trPr>
        <w:tc>
          <w:tcPr>
            <w:tcW w:w="567" w:type="dxa"/>
            <w:tcBorders>
              <w:top w:val="nil"/>
              <w:left w:val="nil"/>
              <w:bottom w:val="nil"/>
              <w:right w:val="nil"/>
            </w:tcBorders>
            <w:shd w:val="clear" w:color="000000" w:fill="95B3D7"/>
            <w:noWrap/>
            <w:vAlign w:val="bottom"/>
            <w:hideMark/>
          </w:tcPr>
          <w:p w14:paraId="3E909795" w14:textId="77777777" w:rsidR="00DB4599" w:rsidRPr="009D34AC" w:rsidRDefault="00DB4599" w:rsidP="006357B3">
            <w:pPr>
              <w:spacing w:line="240" w:lineRule="auto"/>
              <w:ind w:firstLine="0"/>
              <w:jc w:val="left"/>
              <w:rPr>
                <w:rFonts w:eastAsia="Times New Roman" w:cs="Times New Roman"/>
                <w:color w:val="000000"/>
                <w:sz w:val="22"/>
                <w:lang w:eastAsia="lv-LV"/>
              </w:rPr>
            </w:pPr>
            <w:r w:rsidRPr="009D34AC">
              <w:rPr>
                <w:rFonts w:eastAsia="Times New Roman" w:cs="Times New Roman"/>
                <w:color w:val="000000"/>
                <w:sz w:val="22"/>
                <w:lang w:eastAsia="lv-LV"/>
              </w:rPr>
              <w:t> </w:t>
            </w:r>
          </w:p>
        </w:tc>
        <w:tc>
          <w:tcPr>
            <w:tcW w:w="2552" w:type="dxa"/>
            <w:tcBorders>
              <w:top w:val="nil"/>
              <w:left w:val="nil"/>
              <w:bottom w:val="nil"/>
              <w:right w:val="nil"/>
            </w:tcBorders>
            <w:shd w:val="clear" w:color="000000" w:fill="95B3D7"/>
            <w:noWrap/>
            <w:vAlign w:val="bottom"/>
            <w:hideMark/>
          </w:tcPr>
          <w:p w14:paraId="4C141721" w14:textId="77777777" w:rsidR="00DB4599" w:rsidRPr="009D34AC" w:rsidRDefault="00DB4599" w:rsidP="006357B3">
            <w:pPr>
              <w:spacing w:line="240" w:lineRule="auto"/>
              <w:ind w:firstLine="0"/>
              <w:jc w:val="left"/>
              <w:rPr>
                <w:rFonts w:eastAsia="Times New Roman" w:cs="Times New Roman"/>
                <w:color w:val="000000"/>
                <w:sz w:val="22"/>
                <w:lang w:eastAsia="lv-LV"/>
              </w:rPr>
            </w:pPr>
            <w:r w:rsidRPr="009D34AC">
              <w:rPr>
                <w:rFonts w:eastAsia="Times New Roman" w:cs="Times New Roman"/>
                <w:color w:val="000000"/>
                <w:sz w:val="22"/>
                <w:lang w:eastAsia="lv-LV"/>
              </w:rPr>
              <w:t> </w:t>
            </w:r>
          </w:p>
        </w:tc>
        <w:tc>
          <w:tcPr>
            <w:tcW w:w="1271" w:type="dxa"/>
            <w:tcBorders>
              <w:top w:val="nil"/>
              <w:left w:val="nil"/>
              <w:bottom w:val="nil"/>
              <w:right w:val="nil"/>
            </w:tcBorders>
            <w:shd w:val="clear" w:color="000000" w:fill="95B3D7"/>
            <w:noWrap/>
            <w:vAlign w:val="bottom"/>
            <w:hideMark/>
          </w:tcPr>
          <w:p w14:paraId="39C82B53" w14:textId="77777777" w:rsidR="00DB4599" w:rsidRPr="009D34AC" w:rsidRDefault="00DB4599" w:rsidP="006357B3">
            <w:pPr>
              <w:spacing w:line="240" w:lineRule="auto"/>
              <w:ind w:firstLine="0"/>
              <w:jc w:val="center"/>
              <w:rPr>
                <w:rFonts w:eastAsia="Times New Roman" w:cs="Times New Roman"/>
                <w:b/>
                <w:bCs/>
                <w:color w:val="000000"/>
                <w:sz w:val="22"/>
                <w:lang w:eastAsia="lv-LV"/>
              </w:rPr>
            </w:pPr>
            <w:r w:rsidRPr="009D34AC">
              <w:rPr>
                <w:rFonts w:eastAsia="Times New Roman" w:cs="Times New Roman"/>
                <w:b/>
                <w:bCs/>
                <w:color w:val="000000"/>
                <w:sz w:val="22"/>
                <w:lang w:eastAsia="lv-LV"/>
              </w:rPr>
              <w:t>2025</w:t>
            </w:r>
          </w:p>
        </w:tc>
        <w:tc>
          <w:tcPr>
            <w:tcW w:w="1129" w:type="dxa"/>
            <w:tcBorders>
              <w:top w:val="nil"/>
              <w:left w:val="nil"/>
              <w:bottom w:val="nil"/>
              <w:right w:val="nil"/>
            </w:tcBorders>
            <w:shd w:val="clear" w:color="000000" w:fill="95B3D7"/>
            <w:noWrap/>
            <w:vAlign w:val="bottom"/>
            <w:hideMark/>
          </w:tcPr>
          <w:p w14:paraId="4F32DCED" w14:textId="77777777" w:rsidR="00DB4599" w:rsidRPr="009D34AC" w:rsidRDefault="00DB4599" w:rsidP="006357B3">
            <w:pPr>
              <w:spacing w:line="240" w:lineRule="auto"/>
              <w:ind w:firstLine="0"/>
              <w:jc w:val="center"/>
              <w:rPr>
                <w:rFonts w:eastAsia="Times New Roman" w:cs="Times New Roman"/>
                <w:b/>
                <w:bCs/>
                <w:color w:val="000000"/>
                <w:sz w:val="22"/>
                <w:lang w:eastAsia="lv-LV"/>
              </w:rPr>
            </w:pPr>
            <w:r w:rsidRPr="009D34AC">
              <w:rPr>
                <w:rFonts w:eastAsia="Times New Roman" w:cs="Times New Roman"/>
                <w:b/>
                <w:bCs/>
                <w:color w:val="000000"/>
                <w:sz w:val="22"/>
                <w:lang w:eastAsia="lv-LV"/>
              </w:rPr>
              <w:t>2026</w:t>
            </w:r>
          </w:p>
        </w:tc>
        <w:tc>
          <w:tcPr>
            <w:tcW w:w="1129" w:type="dxa"/>
            <w:tcBorders>
              <w:top w:val="nil"/>
              <w:left w:val="nil"/>
              <w:bottom w:val="nil"/>
              <w:right w:val="nil"/>
            </w:tcBorders>
            <w:shd w:val="clear" w:color="000000" w:fill="95B3D7"/>
            <w:noWrap/>
            <w:vAlign w:val="bottom"/>
            <w:hideMark/>
          </w:tcPr>
          <w:p w14:paraId="6D525EC4" w14:textId="77777777" w:rsidR="00DB4599" w:rsidRPr="009D34AC" w:rsidRDefault="00DB4599" w:rsidP="006357B3">
            <w:pPr>
              <w:spacing w:line="240" w:lineRule="auto"/>
              <w:ind w:firstLine="0"/>
              <w:jc w:val="center"/>
              <w:rPr>
                <w:rFonts w:eastAsia="Times New Roman" w:cs="Times New Roman"/>
                <w:b/>
                <w:bCs/>
                <w:color w:val="000000"/>
                <w:sz w:val="22"/>
                <w:lang w:eastAsia="lv-LV"/>
              </w:rPr>
            </w:pPr>
            <w:r w:rsidRPr="009D34AC">
              <w:rPr>
                <w:rFonts w:eastAsia="Times New Roman" w:cs="Times New Roman"/>
                <w:b/>
                <w:bCs/>
                <w:color w:val="000000"/>
                <w:sz w:val="22"/>
                <w:lang w:eastAsia="lv-LV"/>
              </w:rPr>
              <w:t>2027</w:t>
            </w:r>
          </w:p>
        </w:tc>
        <w:tc>
          <w:tcPr>
            <w:tcW w:w="1154" w:type="dxa"/>
            <w:tcBorders>
              <w:top w:val="nil"/>
              <w:left w:val="nil"/>
              <w:bottom w:val="nil"/>
              <w:right w:val="nil"/>
            </w:tcBorders>
            <w:shd w:val="clear" w:color="000000" w:fill="95B3D7"/>
            <w:noWrap/>
            <w:vAlign w:val="bottom"/>
            <w:hideMark/>
          </w:tcPr>
          <w:p w14:paraId="0C0A69E9" w14:textId="77777777" w:rsidR="00DB4599" w:rsidRPr="009D34AC" w:rsidRDefault="00DB4599" w:rsidP="006357B3">
            <w:pPr>
              <w:spacing w:line="240" w:lineRule="auto"/>
              <w:ind w:firstLine="0"/>
              <w:jc w:val="center"/>
              <w:rPr>
                <w:rFonts w:eastAsia="Times New Roman" w:cs="Times New Roman"/>
                <w:b/>
                <w:bCs/>
                <w:color w:val="000000"/>
                <w:sz w:val="22"/>
                <w:lang w:eastAsia="lv-LV"/>
              </w:rPr>
            </w:pPr>
            <w:r w:rsidRPr="009D34AC">
              <w:rPr>
                <w:rFonts w:eastAsia="Times New Roman" w:cs="Times New Roman"/>
                <w:b/>
                <w:bCs/>
                <w:color w:val="000000"/>
                <w:sz w:val="22"/>
                <w:lang w:eastAsia="lv-LV"/>
              </w:rPr>
              <w:t>2028</w:t>
            </w:r>
          </w:p>
        </w:tc>
      </w:tr>
      <w:tr w:rsidR="00DB4599" w:rsidRPr="009D34AC" w14:paraId="6D32FB06" w14:textId="77777777" w:rsidTr="008B0C5E">
        <w:trPr>
          <w:trHeight w:val="600"/>
          <w:jc w:val="center"/>
        </w:trPr>
        <w:tc>
          <w:tcPr>
            <w:tcW w:w="567" w:type="dxa"/>
            <w:tcBorders>
              <w:top w:val="nil"/>
              <w:left w:val="nil"/>
              <w:bottom w:val="nil"/>
              <w:right w:val="nil"/>
            </w:tcBorders>
            <w:shd w:val="clear" w:color="000000" w:fill="95B3D7"/>
            <w:noWrap/>
            <w:vAlign w:val="center"/>
            <w:hideMark/>
          </w:tcPr>
          <w:p w14:paraId="083B45A9" w14:textId="77777777" w:rsidR="00DB4599" w:rsidRPr="009D34AC" w:rsidRDefault="00DB4599" w:rsidP="006357B3">
            <w:pPr>
              <w:spacing w:line="240" w:lineRule="auto"/>
              <w:ind w:firstLine="0"/>
              <w:jc w:val="right"/>
              <w:rPr>
                <w:rFonts w:eastAsia="Times New Roman" w:cs="Times New Roman"/>
                <w:color w:val="000000"/>
                <w:sz w:val="22"/>
                <w:lang w:eastAsia="lv-LV"/>
              </w:rPr>
            </w:pPr>
          </w:p>
        </w:tc>
        <w:tc>
          <w:tcPr>
            <w:tcW w:w="2552" w:type="dxa"/>
            <w:tcBorders>
              <w:top w:val="nil"/>
              <w:left w:val="nil"/>
              <w:bottom w:val="nil"/>
              <w:right w:val="nil"/>
            </w:tcBorders>
            <w:shd w:val="clear" w:color="000000" w:fill="DCE6F1"/>
            <w:vAlign w:val="center"/>
            <w:hideMark/>
          </w:tcPr>
          <w:p w14:paraId="64EC1C37" w14:textId="77777777" w:rsidR="00DB4599" w:rsidRPr="009D34AC" w:rsidRDefault="00DB4599" w:rsidP="006357B3">
            <w:pPr>
              <w:spacing w:line="240" w:lineRule="auto"/>
              <w:ind w:firstLine="0"/>
              <w:jc w:val="left"/>
              <w:rPr>
                <w:rFonts w:eastAsia="Times New Roman" w:cs="Times New Roman"/>
                <w:b/>
                <w:bCs/>
                <w:sz w:val="22"/>
                <w:lang w:eastAsia="lv-LV"/>
              </w:rPr>
            </w:pPr>
            <w:r>
              <w:rPr>
                <w:rFonts w:eastAsia="Times New Roman" w:cs="Times New Roman"/>
                <w:b/>
                <w:bCs/>
                <w:sz w:val="22"/>
                <w:lang w:eastAsia="lv-LV"/>
              </w:rPr>
              <w:t>Neto v</w:t>
            </w:r>
            <w:r w:rsidRPr="009D34AC">
              <w:rPr>
                <w:rFonts w:eastAsia="Times New Roman" w:cs="Times New Roman"/>
                <w:b/>
                <w:bCs/>
                <w:sz w:val="22"/>
                <w:lang w:eastAsia="lv-LV"/>
              </w:rPr>
              <w:t>alsts finansētie primārie izdevumi</w:t>
            </w:r>
          </w:p>
        </w:tc>
        <w:tc>
          <w:tcPr>
            <w:tcW w:w="1271" w:type="dxa"/>
            <w:tcBorders>
              <w:top w:val="nil"/>
              <w:left w:val="nil"/>
              <w:bottom w:val="nil"/>
              <w:right w:val="nil"/>
            </w:tcBorders>
            <w:shd w:val="clear" w:color="auto" w:fill="auto"/>
            <w:noWrap/>
            <w:vAlign w:val="center"/>
            <w:hideMark/>
          </w:tcPr>
          <w:p w14:paraId="5103502F" w14:textId="77777777" w:rsidR="00DB4599" w:rsidRPr="003573A6" w:rsidRDefault="00DB4599" w:rsidP="006357B3">
            <w:pPr>
              <w:spacing w:line="240" w:lineRule="auto"/>
              <w:ind w:firstLine="0"/>
              <w:jc w:val="center"/>
              <w:rPr>
                <w:rFonts w:eastAsia="Times New Roman" w:cs="Times New Roman"/>
                <w:b/>
                <w:bCs/>
                <w:color w:val="000000"/>
                <w:sz w:val="22"/>
                <w:lang w:eastAsia="lv-LV"/>
              </w:rPr>
            </w:pPr>
            <w:r w:rsidRPr="003573A6">
              <w:rPr>
                <w:rFonts w:eastAsia="Times New Roman" w:cs="Times New Roman"/>
                <w:b/>
                <w:bCs/>
                <w:color w:val="000000"/>
                <w:sz w:val="22"/>
                <w:lang w:eastAsia="lv-LV"/>
              </w:rPr>
              <w:t>5,9%</w:t>
            </w:r>
          </w:p>
        </w:tc>
        <w:tc>
          <w:tcPr>
            <w:tcW w:w="1129" w:type="dxa"/>
            <w:tcBorders>
              <w:top w:val="nil"/>
              <w:left w:val="nil"/>
              <w:bottom w:val="nil"/>
              <w:right w:val="nil"/>
            </w:tcBorders>
            <w:shd w:val="clear" w:color="auto" w:fill="auto"/>
            <w:noWrap/>
            <w:vAlign w:val="center"/>
            <w:hideMark/>
          </w:tcPr>
          <w:p w14:paraId="0727EBA0" w14:textId="77777777" w:rsidR="00DB4599" w:rsidRPr="003573A6" w:rsidRDefault="00DB4599" w:rsidP="006357B3">
            <w:pPr>
              <w:spacing w:line="240" w:lineRule="auto"/>
              <w:ind w:firstLine="0"/>
              <w:jc w:val="center"/>
              <w:rPr>
                <w:rFonts w:eastAsia="Times New Roman" w:cs="Times New Roman"/>
                <w:b/>
                <w:bCs/>
                <w:color w:val="000000"/>
                <w:sz w:val="22"/>
                <w:lang w:eastAsia="lv-LV"/>
              </w:rPr>
            </w:pPr>
            <w:r w:rsidRPr="003573A6">
              <w:rPr>
                <w:rFonts w:eastAsia="Times New Roman" w:cs="Times New Roman"/>
                <w:b/>
                <w:bCs/>
                <w:color w:val="000000"/>
                <w:sz w:val="22"/>
                <w:lang w:eastAsia="lv-LV"/>
              </w:rPr>
              <w:t>3,6%</w:t>
            </w:r>
          </w:p>
        </w:tc>
        <w:tc>
          <w:tcPr>
            <w:tcW w:w="1129" w:type="dxa"/>
            <w:tcBorders>
              <w:top w:val="nil"/>
              <w:left w:val="nil"/>
              <w:bottom w:val="nil"/>
              <w:right w:val="nil"/>
            </w:tcBorders>
            <w:shd w:val="clear" w:color="auto" w:fill="auto"/>
            <w:noWrap/>
            <w:vAlign w:val="center"/>
            <w:hideMark/>
          </w:tcPr>
          <w:p w14:paraId="218716B8" w14:textId="77777777" w:rsidR="00DB4599" w:rsidRPr="003573A6" w:rsidRDefault="00DB4599" w:rsidP="006357B3">
            <w:pPr>
              <w:spacing w:line="240" w:lineRule="auto"/>
              <w:ind w:firstLine="0"/>
              <w:jc w:val="center"/>
              <w:rPr>
                <w:rFonts w:eastAsia="Times New Roman" w:cs="Times New Roman"/>
                <w:b/>
                <w:bCs/>
                <w:color w:val="000000"/>
                <w:sz w:val="22"/>
                <w:lang w:eastAsia="lv-LV"/>
              </w:rPr>
            </w:pPr>
            <w:r w:rsidRPr="003573A6">
              <w:rPr>
                <w:rFonts w:eastAsia="Times New Roman" w:cs="Times New Roman"/>
                <w:b/>
                <w:bCs/>
                <w:color w:val="000000"/>
                <w:sz w:val="22"/>
                <w:lang w:eastAsia="lv-LV"/>
              </w:rPr>
              <w:t>3,4%</w:t>
            </w:r>
          </w:p>
        </w:tc>
        <w:tc>
          <w:tcPr>
            <w:tcW w:w="1154" w:type="dxa"/>
            <w:tcBorders>
              <w:top w:val="nil"/>
              <w:left w:val="nil"/>
              <w:bottom w:val="nil"/>
              <w:right w:val="nil"/>
            </w:tcBorders>
            <w:shd w:val="clear" w:color="auto" w:fill="auto"/>
            <w:noWrap/>
            <w:vAlign w:val="center"/>
            <w:hideMark/>
          </w:tcPr>
          <w:p w14:paraId="567F5028" w14:textId="77777777" w:rsidR="00DB4599" w:rsidRPr="003573A6" w:rsidRDefault="00DB4599" w:rsidP="006357B3">
            <w:pPr>
              <w:spacing w:line="240" w:lineRule="auto"/>
              <w:ind w:firstLine="0"/>
              <w:jc w:val="center"/>
              <w:rPr>
                <w:rFonts w:eastAsia="Times New Roman" w:cs="Times New Roman"/>
                <w:b/>
                <w:bCs/>
                <w:color w:val="000000"/>
                <w:sz w:val="22"/>
                <w:lang w:eastAsia="lv-LV"/>
              </w:rPr>
            </w:pPr>
            <w:r w:rsidRPr="003573A6">
              <w:rPr>
                <w:rFonts w:eastAsia="Times New Roman" w:cs="Times New Roman"/>
                <w:b/>
                <w:bCs/>
                <w:color w:val="000000"/>
                <w:sz w:val="22"/>
                <w:lang w:eastAsia="lv-LV"/>
              </w:rPr>
              <w:t>3,3%</w:t>
            </w:r>
          </w:p>
        </w:tc>
      </w:tr>
    </w:tbl>
    <w:p w14:paraId="24B92151" w14:textId="77777777" w:rsidR="00DB4599" w:rsidRDefault="00DB4599" w:rsidP="008B0C5E">
      <w:pPr>
        <w:spacing w:after="0" w:line="240" w:lineRule="auto"/>
        <w:ind w:firstLine="0"/>
        <w:rPr>
          <w:rFonts w:cs="Times New Roman"/>
          <w:szCs w:val="20"/>
          <w:lang w:eastAsia="lv-LV"/>
        </w:rPr>
      </w:pPr>
    </w:p>
    <w:p w14:paraId="467A2207" w14:textId="37A15637" w:rsidR="00DB4599" w:rsidRDefault="00F248B3" w:rsidP="008B0C5E">
      <w:pPr>
        <w:spacing w:line="240" w:lineRule="auto"/>
        <w:rPr>
          <w:rFonts w:cs="Times New Roman"/>
          <w:szCs w:val="20"/>
          <w:lang w:eastAsia="lv-LV"/>
        </w:rPr>
      </w:pPr>
      <w:r>
        <w:rPr>
          <w:rFonts w:cs="Times New Roman"/>
          <w:szCs w:val="20"/>
          <w:lang w:eastAsia="lv-LV"/>
        </w:rPr>
        <w:t>FSP</w:t>
      </w:r>
      <w:r w:rsidR="00DB4599">
        <w:rPr>
          <w:rFonts w:cs="Times New Roman"/>
          <w:szCs w:val="20"/>
          <w:lang w:eastAsia="lv-LV"/>
        </w:rPr>
        <w:t xml:space="preserve"> ietverto pasākumu kopums nodrošina vispārējās valdības budžeta deficīta pieauguma pārtraukšanu un deficīta pakāpenisku samazināšanu 2025</w:t>
      </w:r>
      <w:r w:rsidR="008E3CA0">
        <w:rPr>
          <w:rFonts w:cs="Times New Roman"/>
          <w:szCs w:val="20"/>
          <w:lang w:eastAsia="lv-LV"/>
        </w:rPr>
        <w:t xml:space="preserve">. – </w:t>
      </w:r>
      <w:r w:rsidR="00DB4599">
        <w:rPr>
          <w:rFonts w:cs="Times New Roman"/>
          <w:szCs w:val="20"/>
          <w:lang w:eastAsia="lv-LV"/>
        </w:rPr>
        <w:t>2028</w:t>
      </w:r>
      <w:r w:rsidR="008E3CA0">
        <w:rPr>
          <w:rFonts w:cs="Times New Roman"/>
          <w:szCs w:val="20"/>
          <w:lang w:eastAsia="lv-LV"/>
        </w:rPr>
        <w:t>.</w:t>
      </w:r>
      <w:r w:rsidR="00DB4599">
        <w:rPr>
          <w:rFonts w:cs="Times New Roman"/>
          <w:szCs w:val="20"/>
          <w:lang w:eastAsia="lv-LV"/>
        </w:rPr>
        <w:t xml:space="preserve"> gada posmā.</w:t>
      </w:r>
    </w:p>
    <w:p w14:paraId="2FE65CC7" w14:textId="3B1A568B" w:rsidR="008E3CA0" w:rsidRDefault="00C31B05" w:rsidP="006357B3">
      <w:pPr>
        <w:spacing w:line="240" w:lineRule="auto"/>
        <w:ind w:firstLine="0"/>
        <w:jc w:val="center"/>
        <w:rPr>
          <w:rFonts w:cs="Times New Roman"/>
          <w:szCs w:val="20"/>
          <w:lang w:eastAsia="lv-LV"/>
        </w:rPr>
      </w:pPr>
      <w:r>
        <w:rPr>
          <w:noProof/>
        </w:rPr>
        <w:drawing>
          <wp:inline distT="0" distB="0" distL="0" distR="0" wp14:anchorId="7C76D70D" wp14:editId="59E2BFBB">
            <wp:extent cx="4727276" cy="2130725"/>
            <wp:effectExtent l="0" t="0" r="0" b="3175"/>
            <wp:docPr id="375328387" name="Chart 1">
              <a:extLst xmlns:a="http://schemas.openxmlformats.org/drawingml/2006/main">
                <a:ext uri="{FF2B5EF4-FFF2-40B4-BE49-F238E27FC236}">
                  <a16:creationId xmlns:a16="http://schemas.microsoft.com/office/drawing/2014/main" id="{243F13F1-0B0D-8ECB-FC9A-5E5DB5C943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AFB53D" w14:textId="5AE5053E" w:rsidR="008E3CA0" w:rsidRDefault="008E3CA0" w:rsidP="006357B3">
      <w:pPr>
        <w:spacing w:line="240" w:lineRule="auto"/>
        <w:ind w:firstLine="0"/>
        <w:jc w:val="center"/>
        <w:rPr>
          <w:rFonts w:cs="Times New Roman"/>
          <w:b/>
          <w:bCs/>
          <w:i/>
          <w:iCs/>
          <w:szCs w:val="20"/>
          <w:lang w:eastAsia="lv-LV"/>
        </w:rPr>
      </w:pPr>
      <w:r w:rsidRPr="00702199">
        <w:rPr>
          <w:rFonts w:cs="Times New Roman"/>
          <w:b/>
          <w:bCs/>
          <w:i/>
          <w:iCs/>
          <w:szCs w:val="20"/>
          <w:lang w:eastAsia="lv-LV"/>
        </w:rPr>
        <w:t>2.1. att. Vispārējās valdības deficīts 2016. – 2028. gadā, % no IKP</w:t>
      </w:r>
    </w:p>
    <w:p w14:paraId="2DEF39AB" w14:textId="69DB637D" w:rsidR="008B0C5E" w:rsidRDefault="008B0C5E" w:rsidP="008B0C5E">
      <w:pPr>
        <w:spacing w:line="240" w:lineRule="auto"/>
        <w:rPr>
          <w:rFonts w:cs="Times New Roman"/>
          <w:b/>
          <w:bCs/>
          <w:i/>
          <w:iCs/>
          <w:szCs w:val="20"/>
          <w:lang w:eastAsia="lv-LV"/>
        </w:rPr>
      </w:pPr>
      <w:r w:rsidRPr="008B0C5E">
        <w:rPr>
          <w:rFonts w:cs="Times New Roman"/>
          <w:szCs w:val="20"/>
          <w:lang w:eastAsia="lv-LV"/>
        </w:rPr>
        <w:t xml:space="preserve"> </w:t>
      </w:r>
      <w:r>
        <w:rPr>
          <w:rFonts w:cs="Times New Roman"/>
          <w:szCs w:val="20"/>
          <w:lang w:eastAsia="lv-LV"/>
        </w:rPr>
        <w:t>Vispārējās valdības parāds turpina pieaugt, bet ne pēc EK prognozēm, ne Latvijas prognozēm līdz 2038. gadam ne</w:t>
      </w:r>
      <w:r w:rsidR="00F34AE9">
        <w:rPr>
          <w:rFonts w:cs="Times New Roman"/>
          <w:szCs w:val="20"/>
          <w:lang w:eastAsia="lv-LV"/>
        </w:rPr>
        <w:t>pār</w:t>
      </w:r>
      <w:r>
        <w:rPr>
          <w:rFonts w:cs="Times New Roman"/>
          <w:szCs w:val="20"/>
          <w:lang w:eastAsia="lv-LV"/>
        </w:rPr>
        <w:t>sniedz 60% robežu</w:t>
      </w:r>
      <w:r w:rsidR="00083397">
        <w:rPr>
          <w:rFonts w:cs="Times New Roman"/>
          <w:szCs w:val="20"/>
          <w:lang w:eastAsia="lv-LV"/>
        </w:rPr>
        <w:t xml:space="preserve"> (parāda prognožu metodoloģija aprakstīta 8. nodaļā).</w:t>
      </w:r>
    </w:p>
    <w:p w14:paraId="677D3555" w14:textId="58949FDB" w:rsidR="008B0C5E" w:rsidRDefault="008B0C5E" w:rsidP="008B0C5E">
      <w:pPr>
        <w:spacing w:after="0" w:line="240" w:lineRule="auto"/>
        <w:ind w:firstLine="0"/>
        <w:jc w:val="center"/>
        <w:rPr>
          <w:rFonts w:cs="Times New Roman"/>
          <w:szCs w:val="20"/>
          <w:lang w:eastAsia="lv-LV"/>
        </w:rPr>
      </w:pPr>
      <w:r>
        <w:rPr>
          <w:rFonts w:cs="Times New Roman"/>
          <w:noProof/>
          <w:szCs w:val="20"/>
          <w:lang w:eastAsia="lv-LV"/>
        </w:rPr>
        <w:drawing>
          <wp:inline distT="0" distB="0" distL="0" distR="0" wp14:anchorId="7D4EDCCD" wp14:editId="5492F5F8">
            <wp:extent cx="4425351" cy="2512954"/>
            <wp:effectExtent l="0" t="0" r="0" b="1905"/>
            <wp:docPr id="528197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33060" cy="2517331"/>
                    </a:xfrm>
                    <a:prstGeom prst="rect">
                      <a:avLst/>
                    </a:prstGeom>
                    <a:noFill/>
                  </pic:spPr>
                </pic:pic>
              </a:graphicData>
            </a:graphic>
          </wp:inline>
        </w:drawing>
      </w:r>
    </w:p>
    <w:p w14:paraId="07DDE820" w14:textId="7459897B" w:rsidR="008B0C5E" w:rsidRPr="008B0C5E" w:rsidRDefault="008B0C5E" w:rsidP="008B0C5E">
      <w:pPr>
        <w:spacing w:after="240" w:line="240" w:lineRule="auto"/>
        <w:ind w:firstLine="0"/>
        <w:jc w:val="center"/>
        <w:rPr>
          <w:rFonts w:cs="Times New Roman"/>
          <w:b/>
          <w:bCs/>
          <w:i/>
          <w:iCs/>
          <w:szCs w:val="20"/>
          <w:lang w:eastAsia="lv-LV"/>
        </w:rPr>
      </w:pPr>
      <w:r w:rsidRPr="00702199">
        <w:rPr>
          <w:rFonts w:cs="Times New Roman"/>
          <w:b/>
          <w:bCs/>
          <w:i/>
          <w:iCs/>
          <w:szCs w:val="20"/>
          <w:lang w:eastAsia="lv-LV"/>
        </w:rPr>
        <w:t>2.2. att. Vispārējās valdības parāds līdz 2038. gadam, % no IKP</w:t>
      </w:r>
    </w:p>
    <w:p w14:paraId="260D6D8D" w14:textId="24F3004A" w:rsidR="00EE7219" w:rsidRPr="008B0C5E" w:rsidRDefault="00DB4599" w:rsidP="008B0C5E">
      <w:pPr>
        <w:spacing w:line="240" w:lineRule="auto"/>
        <w:rPr>
          <w:rFonts w:cs="Times New Roman"/>
          <w:szCs w:val="20"/>
          <w:lang w:eastAsia="lv-LV"/>
        </w:rPr>
      </w:pPr>
      <w:r>
        <w:rPr>
          <w:rFonts w:cs="Times New Roman"/>
          <w:szCs w:val="20"/>
          <w:lang w:eastAsia="lv-LV"/>
        </w:rPr>
        <w:t xml:space="preserve">Latvijas publiskās investīcijas ir vienas no augstākajām ES. Publiskās investīcijas un reformas labvēlīgi ietekmē pieejamie finanšu resursi no ES fondiem un </w:t>
      </w:r>
      <w:r w:rsidR="009A6598">
        <w:rPr>
          <w:rFonts w:cs="Times New Roman"/>
          <w:szCs w:val="20"/>
          <w:lang w:eastAsia="lv-LV"/>
        </w:rPr>
        <w:t>ANM</w:t>
      </w:r>
      <w:r>
        <w:rPr>
          <w:rFonts w:cs="Times New Roman"/>
          <w:szCs w:val="20"/>
          <w:lang w:eastAsia="lv-LV"/>
        </w:rPr>
        <w:t xml:space="preserve">. No šiem </w:t>
      </w:r>
      <w:r>
        <w:rPr>
          <w:rFonts w:cs="Times New Roman"/>
          <w:szCs w:val="20"/>
          <w:lang w:eastAsia="lv-LV"/>
        </w:rPr>
        <w:lastRenderedPageBreak/>
        <w:t>resursiem tiek nodrošināta būtiska daļā no reformām, kas atbilst Latvijai adresētajā</w:t>
      </w:r>
      <w:r w:rsidR="008E3CA0">
        <w:rPr>
          <w:rFonts w:cs="Times New Roman"/>
          <w:szCs w:val="20"/>
          <w:lang w:eastAsia="lv-LV"/>
        </w:rPr>
        <w:t>m</w:t>
      </w:r>
      <w:r>
        <w:rPr>
          <w:rFonts w:cs="Times New Roman"/>
          <w:szCs w:val="20"/>
          <w:lang w:eastAsia="lv-LV"/>
        </w:rPr>
        <w:t xml:space="preserve"> rekomendācijā</w:t>
      </w:r>
      <w:r w:rsidR="008E3CA0">
        <w:rPr>
          <w:rFonts w:cs="Times New Roman"/>
          <w:szCs w:val="20"/>
          <w:lang w:eastAsia="lv-LV"/>
        </w:rPr>
        <w:t>m</w:t>
      </w:r>
      <w:r>
        <w:rPr>
          <w:rFonts w:cs="Times New Roman"/>
          <w:szCs w:val="20"/>
          <w:lang w:eastAsia="lv-LV"/>
        </w:rPr>
        <w:t xml:space="preserve"> Eiropas Semestra ietvaros</w:t>
      </w:r>
      <w:r w:rsidR="008E3CA0">
        <w:rPr>
          <w:rFonts w:cs="Times New Roman"/>
          <w:szCs w:val="20"/>
          <w:lang w:eastAsia="lv-LV"/>
        </w:rPr>
        <w:t>, kā arī ES kopējām prioritātēm</w:t>
      </w:r>
      <w:r>
        <w:rPr>
          <w:rFonts w:cs="Times New Roman"/>
          <w:szCs w:val="20"/>
          <w:lang w:eastAsia="lv-LV"/>
        </w:rPr>
        <w:t>.</w:t>
      </w:r>
    </w:p>
    <w:p w14:paraId="6C23925C" w14:textId="77777777" w:rsidR="007959DD" w:rsidRPr="002869EC" w:rsidRDefault="007959DD" w:rsidP="006357B3">
      <w:pPr>
        <w:pStyle w:val="Heading1"/>
        <w:spacing w:before="0" w:after="240" w:line="240" w:lineRule="auto"/>
        <w:rPr>
          <w:sz w:val="28"/>
          <w:szCs w:val="28"/>
        </w:rPr>
      </w:pPr>
      <w:bookmarkStart w:id="5" w:name="_Toc179540619"/>
      <w:r w:rsidRPr="002869EC">
        <w:rPr>
          <w:sz w:val="28"/>
          <w:szCs w:val="28"/>
        </w:rPr>
        <w:t>3. Ekonomiskā situācija</w:t>
      </w:r>
      <w:bookmarkEnd w:id="5"/>
    </w:p>
    <w:p w14:paraId="5CFDA75E" w14:textId="652A9A9E" w:rsidR="00594BC3" w:rsidRPr="002869EC" w:rsidRDefault="005A4348" w:rsidP="006357B3">
      <w:pPr>
        <w:pStyle w:val="Heading2"/>
        <w:numPr>
          <w:ilvl w:val="0"/>
          <w:numId w:val="0"/>
        </w:numPr>
        <w:spacing w:before="240" w:after="240" w:line="240" w:lineRule="auto"/>
        <w:rPr>
          <w:rFonts w:eastAsia="Times New Roman" w:cs="Times New Roman"/>
          <w:sz w:val="28"/>
          <w:lang w:eastAsia="lv-LV"/>
        </w:rPr>
      </w:pPr>
      <w:bookmarkStart w:id="6" w:name="_Toc99981157"/>
      <w:bookmarkStart w:id="7" w:name="_Toc179540620"/>
      <w:bookmarkStart w:id="8" w:name="_Toc510790655"/>
      <w:bookmarkStart w:id="9" w:name="_Toc5627365"/>
      <w:r w:rsidRPr="002869EC">
        <w:rPr>
          <w:rFonts w:eastAsia="Times New Roman" w:cs="Times New Roman"/>
          <w:sz w:val="28"/>
          <w:lang w:eastAsia="lv-LV"/>
        </w:rPr>
        <w:t>3</w:t>
      </w:r>
      <w:r w:rsidR="00594BC3" w:rsidRPr="002869EC">
        <w:rPr>
          <w:rFonts w:eastAsia="Times New Roman" w:cs="Times New Roman"/>
          <w:sz w:val="28"/>
          <w:lang w:eastAsia="lv-LV"/>
        </w:rPr>
        <w:t>.1. Ārējā ekonomiskā vide</w:t>
      </w:r>
      <w:bookmarkStart w:id="10" w:name="_Toc479331083"/>
      <w:bookmarkStart w:id="11" w:name="_Toc510790653"/>
      <w:bookmarkEnd w:id="6"/>
      <w:bookmarkEnd w:id="7"/>
    </w:p>
    <w:p w14:paraId="52180821" w14:textId="6F8688C1" w:rsidR="003F7970" w:rsidRPr="002869EC" w:rsidRDefault="003F7970" w:rsidP="006357B3">
      <w:pPr>
        <w:spacing w:line="240" w:lineRule="auto"/>
        <w:rPr>
          <w:rFonts w:eastAsia="Aptos" w:cs="Times New Roman"/>
        </w:rPr>
      </w:pPr>
      <w:r w:rsidRPr="002869EC">
        <w:rPr>
          <w:rFonts w:eastAsia="Aptos" w:cs="Times New Roman"/>
        </w:rPr>
        <w:t xml:space="preserve">2023. gadā pasaules ekonomika uzrādīja negaidīti pozitīvus rezultātus, pieaugot par 3,1%, kas ir tikai nedaudz lēnāk nekā 2022. gadā (3,3%). Neskatoties uz stingrākiem monetārajiem nosacījumiem un preču tirdzniecības palēnināšanos, galvenie globālās ekonomikas dzinējspēki, piemēram, ASV, Ķīna, Japāna un Indija, piedzīvoja ekonomikas izaugsmi, kas kompensēja </w:t>
      </w:r>
      <w:r w:rsidRPr="009A6598">
        <w:rPr>
          <w:rFonts w:eastAsia="Aptos" w:cs="Times New Roman"/>
        </w:rPr>
        <w:t xml:space="preserve">palēninājumu </w:t>
      </w:r>
      <w:r w:rsidR="000448ED" w:rsidRPr="009A6598">
        <w:rPr>
          <w:rFonts w:eastAsia="Aptos" w:cs="Times New Roman"/>
        </w:rPr>
        <w:t xml:space="preserve">ES </w:t>
      </w:r>
      <w:r w:rsidRPr="009A6598">
        <w:rPr>
          <w:rFonts w:eastAsia="Aptos" w:cs="Times New Roman"/>
        </w:rPr>
        <w:t>un Apvienotajā Karalistē. Lai gan procentu likmju paaugstinājumi turpināja ierobežot ekonomisko</w:t>
      </w:r>
      <w:r w:rsidRPr="002869EC">
        <w:rPr>
          <w:rFonts w:eastAsia="Aptos" w:cs="Times New Roman"/>
        </w:rPr>
        <w:t xml:space="preserve"> aktivitāti, tiek prognozēta pasaules tirdzniecības atgūšanās, īpaši 2025. gadā, kad paredzams, ka monetārie nosacījumi kļūs vieglāki, centrālajām bankām sākot samazināt likmes. </w:t>
      </w:r>
    </w:p>
    <w:p w14:paraId="7EFCB193" w14:textId="459A095C" w:rsidR="003F7970" w:rsidRPr="002869EC" w:rsidRDefault="000448ED" w:rsidP="006357B3">
      <w:pPr>
        <w:spacing w:line="240" w:lineRule="auto"/>
        <w:rPr>
          <w:rFonts w:eastAsia="Aptos" w:cs="Times New Roman"/>
        </w:rPr>
      </w:pPr>
      <w:r w:rsidRPr="002869EC">
        <w:rPr>
          <w:rFonts w:eastAsia="Aptos" w:cs="Times New Roman"/>
        </w:rPr>
        <w:t>ES</w:t>
      </w:r>
      <w:r w:rsidR="003F7970" w:rsidRPr="002869EC">
        <w:rPr>
          <w:rFonts w:eastAsia="Aptos" w:cs="Times New Roman"/>
        </w:rPr>
        <w:t xml:space="preserve"> izaugsme saglabājas mērena, ar 1,0% IKP pieauguma prognozi 2024. gadam un nelielu uzlabošanos līdz 1,6% 2025. gadā. </w:t>
      </w:r>
      <w:proofErr w:type="spellStart"/>
      <w:r w:rsidR="003F7970" w:rsidRPr="002869EC">
        <w:rPr>
          <w:rFonts w:eastAsia="Aptos" w:cs="Times New Roman"/>
          <w:i/>
          <w:iCs/>
        </w:rPr>
        <w:t>Euro</w:t>
      </w:r>
      <w:proofErr w:type="spellEnd"/>
      <w:r w:rsidR="003F7970" w:rsidRPr="002869EC">
        <w:rPr>
          <w:rFonts w:eastAsia="Aptos" w:cs="Times New Roman"/>
        </w:rPr>
        <w:t xml:space="preserve"> zonā izaugsmes temps tiek lēsts līdzīgi: 0,8% 2024. gadā un 1,4% 2025. gadā. Šīs prognozes norāda uz stabilu, bet salīdzinoši vāju izaugsmi Latvijas galvenajās tirdzniecības partnervalstīs. Lietuvas, Igaunijas, Vācijas un Somijas izaugsmes prognozes 2024. gadam ir samazinātas, savukārt Zviedrijai, Polijai, Dānijai un Nīderlandei izaugsmes perspektīvas ir uzlabojušās. Latvijas galvenajām tirdzniecības partneriem vidējā izaugsme tiek lēsta 1,1% apmērā 2024. gadā, bet straujāka izaugsme gaidāma 2025. gadā – 2,3%.</w:t>
      </w:r>
    </w:p>
    <w:p w14:paraId="3F356191" w14:textId="6AC40246" w:rsidR="003F7970" w:rsidRPr="002869EC" w:rsidRDefault="003F7970" w:rsidP="006357B3">
      <w:pPr>
        <w:spacing w:line="240" w:lineRule="auto"/>
        <w:rPr>
          <w:rFonts w:eastAsia="Aptos" w:cs="Times New Roman"/>
        </w:rPr>
      </w:pPr>
      <w:r w:rsidRPr="002869EC">
        <w:rPr>
          <w:rFonts w:eastAsia="Aptos" w:cs="Times New Roman"/>
        </w:rPr>
        <w:t xml:space="preserve">Uzņēmēju un patērētāju konfidences rādītāji 2023. gadā bija stabili, un </w:t>
      </w:r>
      <w:proofErr w:type="spellStart"/>
      <w:r w:rsidRPr="002869EC">
        <w:rPr>
          <w:rFonts w:eastAsia="Aptos" w:cs="Times New Roman"/>
          <w:i/>
          <w:iCs/>
        </w:rPr>
        <w:t>euro</w:t>
      </w:r>
      <w:proofErr w:type="spellEnd"/>
      <w:r w:rsidRPr="002869EC">
        <w:rPr>
          <w:rFonts w:eastAsia="Aptos" w:cs="Times New Roman"/>
        </w:rPr>
        <w:t xml:space="preserve"> zonas iepirkumu vadītāju indekss 2024. gada sākumā sasniedza augstāko līmeni pēdējo desmit mēnešu laikā. Tomēr tas var mainīties, ja globālā ekonomiskā aktivitāte samazināsies, kā norāda jūlija dati.</w:t>
      </w:r>
    </w:p>
    <w:p w14:paraId="7DECD99B" w14:textId="0C6E0FDF" w:rsidR="003F7970" w:rsidRPr="002869EC" w:rsidRDefault="003F7970" w:rsidP="006357B3">
      <w:pPr>
        <w:spacing w:line="240" w:lineRule="auto"/>
        <w:rPr>
          <w:rFonts w:eastAsia="Aptos" w:cs="Times New Roman"/>
        </w:rPr>
      </w:pPr>
      <w:r w:rsidRPr="002869EC">
        <w:rPr>
          <w:rFonts w:eastAsia="Aptos" w:cs="Times New Roman"/>
        </w:rPr>
        <w:t xml:space="preserve">Inflācijas spiediens Eiropā pakāpeniski mazināsies. </w:t>
      </w:r>
      <w:proofErr w:type="spellStart"/>
      <w:r w:rsidRPr="00D70281">
        <w:rPr>
          <w:rFonts w:eastAsia="Aptos" w:cs="Times New Roman"/>
          <w:i/>
          <w:iCs/>
        </w:rPr>
        <w:t>E</w:t>
      </w:r>
      <w:r w:rsidR="000448ED" w:rsidRPr="00D70281">
        <w:rPr>
          <w:rFonts w:eastAsia="Aptos" w:cs="Times New Roman"/>
          <w:i/>
          <w:iCs/>
        </w:rPr>
        <w:t>u</w:t>
      </w:r>
      <w:r w:rsidRPr="00D70281">
        <w:rPr>
          <w:rFonts w:eastAsia="Aptos" w:cs="Times New Roman"/>
          <w:i/>
          <w:iCs/>
        </w:rPr>
        <w:t>ro</w:t>
      </w:r>
      <w:proofErr w:type="spellEnd"/>
      <w:r w:rsidR="000448ED" w:rsidRPr="002869EC">
        <w:rPr>
          <w:rFonts w:eastAsia="Aptos" w:cs="Times New Roman"/>
        </w:rPr>
        <w:t xml:space="preserve"> </w:t>
      </w:r>
      <w:r w:rsidRPr="002869EC">
        <w:rPr>
          <w:rFonts w:eastAsia="Aptos" w:cs="Times New Roman"/>
        </w:rPr>
        <w:t xml:space="preserve">zonas inflācija 2024. gadā tiek prognozēta 2,5% apmērā, ar turpmāku samazinājumu līdz 2,1% 2025. gadā. Šī samazināšanās būs iespējama, pateicoties </w:t>
      </w:r>
      <w:proofErr w:type="spellStart"/>
      <w:r w:rsidRPr="002869EC">
        <w:rPr>
          <w:rFonts w:eastAsia="Aptos" w:cs="Times New Roman"/>
        </w:rPr>
        <w:t>energoatbalsta</w:t>
      </w:r>
      <w:proofErr w:type="spellEnd"/>
      <w:r w:rsidRPr="002869EC">
        <w:rPr>
          <w:rFonts w:eastAsia="Aptos" w:cs="Times New Roman"/>
        </w:rPr>
        <w:t xml:space="preserve"> pasākumu termiņu beigām un bāzes efektiem. </w:t>
      </w:r>
      <w:r w:rsidR="000448ED" w:rsidRPr="002869EC">
        <w:rPr>
          <w:rFonts w:eastAsia="Aptos" w:cs="Times New Roman"/>
        </w:rPr>
        <w:t>ES</w:t>
      </w:r>
      <w:r w:rsidRPr="002869EC">
        <w:rPr>
          <w:rFonts w:eastAsia="Aptos" w:cs="Times New Roman"/>
        </w:rPr>
        <w:t xml:space="preserve"> kopumā inflācija 2024. gadā būs 2,7%, bet 2025. gadā – 2,2%, </w:t>
      </w:r>
      <w:r w:rsidRPr="00BF055E">
        <w:rPr>
          <w:rFonts w:eastAsia="Aptos" w:cs="Times New Roman"/>
        </w:rPr>
        <w:t>tuvojoties Eiropas Centrālās bankas</w:t>
      </w:r>
      <w:r w:rsidR="009A6598" w:rsidRPr="00BF055E">
        <w:rPr>
          <w:rFonts w:eastAsia="Aptos" w:cs="Times New Roman"/>
        </w:rPr>
        <w:t xml:space="preserve"> (ECB)</w:t>
      </w:r>
      <w:r w:rsidRPr="00BF055E">
        <w:rPr>
          <w:rFonts w:eastAsia="Aptos" w:cs="Times New Roman"/>
        </w:rPr>
        <w:t xml:space="preserve"> noteiktajam mērķim 2% apmērā.</w:t>
      </w:r>
    </w:p>
    <w:p w14:paraId="62F08568" w14:textId="4450F079" w:rsidR="003F7970" w:rsidRPr="002869EC" w:rsidRDefault="003F7970" w:rsidP="006357B3">
      <w:pPr>
        <w:spacing w:line="240" w:lineRule="auto"/>
        <w:rPr>
          <w:rFonts w:eastAsia="Aptos" w:cs="Times New Roman"/>
        </w:rPr>
      </w:pPr>
      <w:r w:rsidRPr="002869EC">
        <w:rPr>
          <w:rFonts w:eastAsia="Aptos" w:cs="Times New Roman"/>
        </w:rPr>
        <w:t>Latvijai šīs ārējās ekonomiskās vides izmaiņas ir nozīmīgas, jo tās tieši ietekmēs valsts tirdzniecības un investīciju apjomus. Vājā izaugsme ES valstīs, īpaši galvenajos tirdzniecības partneros, rada riskus eksporta noieta tirgiem. Tajā pašā laikā pozitīvie signāli no Ziemeļvalstīm un Polijas sniedz iespējas palielināt tirdzniecību ar šīm valstīm.</w:t>
      </w:r>
    </w:p>
    <w:p w14:paraId="2ADC6FD6" w14:textId="77777777" w:rsidR="003F7970" w:rsidRPr="002869EC" w:rsidRDefault="003F7970" w:rsidP="008B0C5E">
      <w:pPr>
        <w:spacing w:after="0" w:line="240" w:lineRule="auto"/>
        <w:rPr>
          <w:lang w:eastAsia="lv-LV"/>
        </w:rPr>
      </w:pPr>
    </w:p>
    <w:p w14:paraId="5A325233" w14:textId="4138E7A8" w:rsidR="00B56AD5" w:rsidRPr="002869EC" w:rsidRDefault="005A4348" w:rsidP="007436A0">
      <w:pPr>
        <w:pStyle w:val="Heading2"/>
        <w:numPr>
          <w:ilvl w:val="0"/>
          <w:numId w:val="0"/>
        </w:numPr>
        <w:spacing w:before="0" w:after="240" w:line="240" w:lineRule="auto"/>
        <w:ind w:left="576" w:hanging="576"/>
        <w:rPr>
          <w:rFonts w:cs="Times New Roman"/>
          <w:sz w:val="28"/>
        </w:rPr>
      </w:pPr>
      <w:bookmarkStart w:id="12" w:name="_Toc38637019"/>
      <w:bookmarkStart w:id="13" w:name="_Toc68334994"/>
      <w:bookmarkStart w:id="14" w:name="_Toc99981158"/>
      <w:bookmarkStart w:id="15" w:name="_Toc179540621"/>
      <w:bookmarkEnd w:id="10"/>
      <w:bookmarkEnd w:id="11"/>
      <w:r w:rsidRPr="002869EC">
        <w:rPr>
          <w:rFonts w:cs="Times New Roman"/>
          <w:sz w:val="28"/>
        </w:rPr>
        <w:t>3</w:t>
      </w:r>
      <w:r w:rsidR="00594BC3" w:rsidRPr="002869EC">
        <w:rPr>
          <w:rFonts w:cs="Times New Roman"/>
          <w:sz w:val="28"/>
        </w:rPr>
        <w:t xml:space="preserve">.2. </w:t>
      </w:r>
      <w:bookmarkEnd w:id="12"/>
      <w:bookmarkEnd w:id="13"/>
      <w:bookmarkEnd w:id="14"/>
      <w:r w:rsidRPr="002869EC">
        <w:rPr>
          <w:rFonts w:cs="Times New Roman"/>
          <w:sz w:val="28"/>
        </w:rPr>
        <w:t>Makroekonomiskie rādītāji 2023. gadā un prognozes 2024. gadam</w:t>
      </w:r>
      <w:bookmarkEnd w:id="15"/>
    </w:p>
    <w:p w14:paraId="698F35FA" w14:textId="57BD977B" w:rsidR="003F7970" w:rsidRPr="002869EC" w:rsidRDefault="00EE7219" w:rsidP="006357B3">
      <w:pPr>
        <w:spacing w:line="240" w:lineRule="auto"/>
        <w:rPr>
          <w:rFonts w:eastAsia="Aptos" w:cs="Times New Roman"/>
        </w:rPr>
      </w:pPr>
      <w:r w:rsidRPr="002869EC">
        <w:rPr>
          <w:rFonts w:eastAsia="Aptos" w:cs="Times New Roman"/>
          <w:b/>
          <w:bCs/>
        </w:rPr>
        <w:t>IKP</w:t>
      </w:r>
      <w:r w:rsidR="003F7970" w:rsidRPr="002869EC">
        <w:rPr>
          <w:rFonts w:eastAsia="Aptos" w:cs="Times New Roman"/>
          <w:b/>
          <w:bCs/>
        </w:rPr>
        <w:t xml:space="preserve">: </w:t>
      </w:r>
      <w:r w:rsidR="003F7970" w:rsidRPr="002869EC">
        <w:rPr>
          <w:rFonts w:eastAsia="Aptos" w:cs="Times New Roman"/>
        </w:rPr>
        <w:t>Līdz 2022. gadam Latvijas ekonomika gan Covid-19 pandēmijas, gan Krievijas uzsāktā kara radītās problēmas bija pārvarējusi labāk nekā prognozēts, taču 2023. gadā ārējās vides negatīvā ietekme kļuva jūtamāka un Latvijas IKP, salīdzinot ar iepriekšējo gadu, samazinājās par 0,3%.</w:t>
      </w:r>
    </w:p>
    <w:p w14:paraId="36169867" w14:textId="77777777" w:rsidR="003F7970" w:rsidRPr="002869EC" w:rsidRDefault="003F7970" w:rsidP="006357B3">
      <w:pPr>
        <w:spacing w:line="240" w:lineRule="auto"/>
        <w:rPr>
          <w:rFonts w:eastAsia="Aptos" w:cs="Times New Roman"/>
        </w:rPr>
      </w:pPr>
      <w:r w:rsidRPr="002869EC">
        <w:rPr>
          <w:rFonts w:eastAsia="Aptos" w:cs="Times New Roman"/>
        </w:rPr>
        <w:t xml:space="preserve">Ekonomikas lejupslīdi pērn noteica galvenokārt zemā ekonomikas izaugsme pasaulē un galvenajās Latvijas ārējās tirdzniecības partnervalstīs. Tā rezultātā Latvijas preču un pakalpojumu eksports pērn kritās par 5,9%, īpaši tas atspoguļojās uz eksportu orientētajā apstrādes rūpniecības nozarē, kā arī transporta un uzglabāšanas nozarē, kuru vēl papildus ietekmēja Krievijas kravu tranzīta zaudēšana. Tajā pašā laikā iekšzemes pieprasījums </w:t>
      </w:r>
      <w:r w:rsidRPr="002869EC">
        <w:rPr>
          <w:rFonts w:eastAsia="Aptos" w:cs="Times New Roman"/>
        </w:rPr>
        <w:lastRenderedPageBreak/>
        <w:t>saglabājās salīdzinoši spēcīgs, īpaši strauji augot investīcijām (+</w:t>
      </w:r>
      <w:r w:rsidRPr="002869EC">
        <w:rPr>
          <w:rFonts w:eastAsia="Aptos" w:cs="Times New Roman"/>
          <w:szCs w:val="20"/>
          <w14:ligatures w14:val="standardContextual"/>
        </w:rPr>
        <w:t>8,2%)</w:t>
      </w:r>
      <w:r w:rsidRPr="002869EC">
        <w:rPr>
          <w:rFonts w:eastAsia="Aptos" w:cs="Times New Roman"/>
        </w:rPr>
        <w:t xml:space="preserve"> un būvniecības nozarei. Strauji palielinājās arī sabiedriskais patēriņš (+7,0%), bet privātā patēriņa samazinājums (-1,3%) vērtējams kā salīdzinoši mērens, ņemot vērā krasi pieaugušo cenu līmeni.</w:t>
      </w:r>
    </w:p>
    <w:p w14:paraId="1BE1866E" w14:textId="7E6226C9" w:rsidR="003F7970" w:rsidRPr="002869EC" w:rsidRDefault="003F7970" w:rsidP="006357B3">
      <w:pPr>
        <w:spacing w:line="240" w:lineRule="auto"/>
        <w:rPr>
          <w:rFonts w:eastAsia="Aptos" w:cs="Times New Roman"/>
        </w:rPr>
      </w:pPr>
      <w:r w:rsidRPr="002869EC">
        <w:rPr>
          <w:rFonts w:eastAsia="Aptos" w:cs="Times New Roman"/>
        </w:rPr>
        <w:t>Pēc pērn piedzīvotā krituma 2024.</w:t>
      </w:r>
      <w:r w:rsidR="000448ED" w:rsidRPr="002869EC">
        <w:rPr>
          <w:rFonts w:eastAsia="Aptos" w:cs="Times New Roman"/>
        </w:rPr>
        <w:t xml:space="preserve"> </w:t>
      </w:r>
      <w:r w:rsidRPr="002869EC">
        <w:rPr>
          <w:rFonts w:eastAsia="Aptos" w:cs="Times New Roman"/>
        </w:rPr>
        <w:t>gadā ekonomikas izaugsme ir atjaunojusies, un IKP gada pirmajā pusē pret iepriekšējā gada attiecīgo periodu ir palielinājies par 0,3%. Nelielo izaugsmi gada sākumā nodrošināja galvenokārt sabiedriskais patēriņš un ar to saistītās nozares, taču gada otrajā pusē lielāka loma izaugsmē būs ārējam sektoram un straujākam eksporta pieaugumam, uzlabojoties situācijai galvenajās ārējās tirdzniecības partnervalstīs. 2024.</w:t>
      </w:r>
      <w:r w:rsidR="000448ED" w:rsidRPr="002869EC">
        <w:rPr>
          <w:rFonts w:eastAsia="Aptos" w:cs="Times New Roman"/>
        </w:rPr>
        <w:t xml:space="preserve"> </w:t>
      </w:r>
      <w:r w:rsidRPr="002869EC">
        <w:rPr>
          <w:rFonts w:eastAsia="Aptos" w:cs="Times New Roman"/>
        </w:rPr>
        <w:t>gadā kopā IKP pieaugums prognozēts 1,4% apmērā.</w:t>
      </w:r>
    </w:p>
    <w:p w14:paraId="35EEE9BA" w14:textId="77777777" w:rsidR="003F7970" w:rsidRPr="002869EC" w:rsidRDefault="003F7970" w:rsidP="006357B3">
      <w:pPr>
        <w:spacing w:line="240" w:lineRule="auto"/>
        <w:rPr>
          <w:rFonts w:eastAsia="Aptos" w:cs="Times New Roman"/>
        </w:rPr>
      </w:pPr>
      <w:r w:rsidRPr="002869EC">
        <w:rPr>
          <w:rFonts w:eastAsia="Aptos" w:cs="Times New Roman"/>
          <w:b/>
          <w:bCs/>
        </w:rPr>
        <w:t>Rūpniecība:</w:t>
      </w:r>
      <w:r w:rsidRPr="002869EC">
        <w:rPr>
          <w:rFonts w:eastAsia="Aptos" w:cs="Times New Roman"/>
        </w:rPr>
        <w:t xml:space="preserve"> 2023. gadā Latvijas rūpniecības nozare piedzīvoja ražošanas apjomu samazinājumu par 5,4%. Apstrādes rūpniecībā, kas veido lielāko daļu no rūpniecības, ražošanas apjomi samazinājās par 4,6%. Nozīmīgu kritumu izraisīja zems pieprasījums gan vietējā, gan eksporta tirgos, īpaši kokrūpniecībā (-7,8%), metālapstrādē (-5,8%) un nemetālisko minerālu ražošanā (-16,3%). Savukārt pozitīvus rezultātus uzrādīja pārtikas ražošanas nozare, kur apjomi pieauga par 4,5%, un augsta izaugsme tika fiksēta datoru, elektronisko un elektrisko iekārtu ražošanā. Elektroenerģijas un gāzes apgādes nozare piedzīvoja nelielu pieaugumu (+0,7%).</w:t>
      </w:r>
    </w:p>
    <w:p w14:paraId="29894E27" w14:textId="1F694039" w:rsidR="003F7970" w:rsidRPr="002869EC" w:rsidRDefault="003F7970" w:rsidP="006357B3">
      <w:pPr>
        <w:spacing w:line="240" w:lineRule="auto"/>
        <w:rPr>
          <w:rFonts w:eastAsia="Aptos" w:cs="Times New Roman"/>
        </w:rPr>
      </w:pPr>
      <w:r w:rsidRPr="002869EC">
        <w:rPr>
          <w:rFonts w:eastAsia="Aptos" w:cs="Times New Roman"/>
        </w:rPr>
        <w:t xml:space="preserve">2024. gada sākums rūpniecības nozarei nav bijis labvēlīgs, jo ražošanas apjomi turpināja samazināties, turpinoties vājajam pieprasījumam gan Latvijā, gan </w:t>
      </w:r>
      <w:r w:rsidR="000448ED" w:rsidRPr="002869EC">
        <w:rPr>
          <w:rFonts w:eastAsia="Aptos" w:cs="Times New Roman"/>
        </w:rPr>
        <w:t>ES</w:t>
      </w:r>
      <w:r w:rsidRPr="002869EC">
        <w:rPr>
          <w:rFonts w:eastAsia="Aptos" w:cs="Times New Roman"/>
        </w:rPr>
        <w:t>. Tomēr sagaidāms, ka apstrādes rūpniecībā, īpaši pārtikas un augsto tehnoloģiju nozarēs, situācija varētu stabilizēties. Turklāt vēja un saules enerģijas īpatsvars elektroenerģijas ražošanā turpina pieaugt, kas var veicināt izaugsmi elektroenerģijas un gāzes apgādes sektorā.</w:t>
      </w:r>
    </w:p>
    <w:p w14:paraId="1387EFE2" w14:textId="77777777" w:rsidR="003F7970" w:rsidRPr="002869EC" w:rsidRDefault="003F7970" w:rsidP="006357B3">
      <w:pPr>
        <w:spacing w:line="240" w:lineRule="auto"/>
        <w:rPr>
          <w:rFonts w:eastAsia="Aptos" w:cs="Times New Roman"/>
          <w:b/>
          <w:bCs/>
        </w:rPr>
      </w:pPr>
      <w:r w:rsidRPr="002869EC">
        <w:rPr>
          <w:rFonts w:eastAsia="Aptos" w:cs="Times New Roman"/>
          <w:b/>
          <w:bCs/>
        </w:rPr>
        <w:t xml:space="preserve">Mazumtirdzniecība: </w:t>
      </w:r>
      <w:r w:rsidRPr="002869EC">
        <w:rPr>
          <w:rFonts w:eastAsia="Aptos" w:cs="Times New Roman"/>
        </w:rPr>
        <w:t>2023. gadā mazumtirdzniecības nozarē apgrozījuma apjomi samazinājās par 1,9%. Samazinājumu galvenokārt izraisīja augošās patēriņa cenas, kas ietekmēja iedzīvotāju pirktspēju, kā arī kredītu sadārdzināšanās. Pārtikas mazumtirdzniecība piedzīvoja kritumu par 4,7%, savukārt nepārtikas preces (izņemot degvielu) tika tirgotas par 1,7% mazāk nekā iepriekšējā gadā. Vienīgais segments, kas uzrādīja pieaugumu, bija degvielas tirdzniecība (+4%).</w:t>
      </w:r>
    </w:p>
    <w:p w14:paraId="610A700A" w14:textId="77777777" w:rsidR="003F7970" w:rsidRPr="002869EC" w:rsidRDefault="003F7970" w:rsidP="006357B3">
      <w:pPr>
        <w:spacing w:line="240" w:lineRule="auto"/>
        <w:rPr>
          <w:rFonts w:eastAsia="Aptos" w:cs="Times New Roman"/>
        </w:rPr>
      </w:pPr>
      <w:r w:rsidRPr="002869EC">
        <w:rPr>
          <w:rFonts w:eastAsia="Aptos" w:cs="Times New Roman"/>
        </w:rPr>
        <w:t>2024. gadā, pateicoties algu pieaugumam, kas pārsniedz inflāciju, sagaidāms pakāpenisks mazumtirdzniecības atjaunošanās process. Degvielas tirdzniecība varētu turpināt pieaugt, savukārt pārtikas mazumtirdzniecībā un nepārtikas preču segmentā pieprasījums varētu stabilizēties. Tomēr kopējā mazumtirdzniecības izaugsme joprojām būs lēna, un lielāka ietekme būs arī iedzīvotāju skaita samazinājumam, kas ierobežos potenciālo patērētāju loku.</w:t>
      </w:r>
    </w:p>
    <w:p w14:paraId="68791FA6" w14:textId="77777777" w:rsidR="003F7970" w:rsidRPr="002869EC" w:rsidRDefault="003F7970" w:rsidP="006357B3">
      <w:pPr>
        <w:spacing w:line="240" w:lineRule="auto"/>
        <w:rPr>
          <w:rFonts w:eastAsia="Aptos" w:cs="Times New Roman"/>
        </w:rPr>
      </w:pPr>
      <w:r w:rsidRPr="002869EC">
        <w:rPr>
          <w:rFonts w:eastAsia="Aptos" w:cs="Times New Roman"/>
          <w:b/>
          <w:bCs/>
        </w:rPr>
        <w:t>Būvniecība:</w:t>
      </w:r>
      <w:r w:rsidRPr="002869EC">
        <w:rPr>
          <w:rFonts w:eastAsia="Aptos" w:cs="Times New Roman"/>
        </w:rPr>
        <w:t xml:space="preserve"> Būvniecības nozare 2023. gadā uzrādīja ievērojamu pieaugumu (+18,9%), galvenokārt pateicoties dzīvojamo ēku un rūpniecisko ēku būvniecības apjomu kāpumam. Daudzdzīvokļu māju būvniecība pieauga par 27,8%, un rūpniecības ēku un noliktavu būvniecība palielinājās par 59,8%. Augsto izaugsmi veicināja arī straujais būvniecības aktivitātes pieaugums pēc 2022. gada krituma, ko izraisīja augstās būvniecības izmaksas.</w:t>
      </w:r>
    </w:p>
    <w:p w14:paraId="09C0125A" w14:textId="23D18BD2" w:rsidR="003F7970" w:rsidRPr="002869EC" w:rsidRDefault="003F7970" w:rsidP="006357B3">
      <w:pPr>
        <w:spacing w:line="240" w:lineRule="auto"/>
        <w:rPr>
          <w:rFonts w:eastAsia="Aptos" w:cs="Times New Roman"/>
        </w:rPr>
      </w:pPr>
      <w:bookmarkStart w:id="16" w:name="_Hlk177375438"/>
      <w:r w:rsidRPr="002869EC">
        <w:rPr>
          <w:rFonts w:eastAsia="Aptos" w:cs="Times New Roman"/>
        </w:rPr>
        <w:t>2024. gadā kopumā būvniecības apjomi saglabāsies tuvi pagājušā gada līmenim, ko ietekmēs arī 2023.</w:t>
      </w:r>
      <w:r w:rsidR="000448ED" w:rsidRPr="002869EC">
        <w:rPr>
          <w:rFonts w:eastAsia="Aptos" w:cs="Times New Roman"/>
        </w:rPr>
        <w:t> </w:t>
      </w:r>
      <w:r w:rsidRPr="002869EC">
        <w:rPr>
          <w:rFonts w:eastAsia="Aptos" w:cs="Times New Roman"/>
        </w:rPr>
        <w:t xml:space="preserve">gada augstā bāze, bet gada otrajā pusē un nākamajā gadā izaugsme paātrināsies, pateicoties </w:t>
      </w:r>
      <w:r w:rsidR="000448ED" w:rsidRPr="002869EC">
        <w:rPr>
          <w:rFonts w:eastAsia="Aptos" w:cs="Times New Roman"/>
        </w:rPr>
        <w:t>ES</w:t>
      </w:r>
      <w:r w:rsidRPr="002869EC">
        <w:rPr>
          <w:rFonts w:eastAsia="Aptos" w:cs="Times New Roman"/>
        </w:rPr>
        <w:t xml:space="preserve"> fondu projektiem un lielo infrastruktūras projektu, piemēram, </w:t>
      </w:r>
      <w:r w:rsidRPr="002869EC">
        <w:rPr>
          <w:rFonts w:eastAsia="Aptos" w:cs="Times New Roman"/>
          <w:i/>
          <w:iCs/>
        </w:rPr>
        <w:t xml:space="preserve">Rail </w:t>
      </w:r>
      <w:proofErr w:type="spellStart"/>
      <w:r w:rsidRPr="002869EC">
        <w:rPr>
          <w:rFonts w:eastAsia="Aptos" w:cs="Times New Roman"/>
          <w:i/>
          <w:iCs/>
        </w:rPr>
        <w:t>Baltica</w:t>
      </w:r>
      <w:proofErr w:type="spellEnd"/>
      <w:r w:rsidRPr="002869EC">
        <w:rPr>
          <w:rFonts w:eastAsia="Aptos" w:cs="Times New Roman"/>
        </w:rPr>
        <w:t>, attīstībai. Arī privātā sektora aktivitāte būvniecībā varētu palielināties, jo būvniecības izmaksas stabilizējas un ekonomiskā vide uzlabojas.</w:t>
      </w:r>
    </w:p>
    <w:bookmarkEnd w:id="16"/>
    <w:p w14:paraId="288CC184" w14:textId="77777777" w:rsidR="003F7970" w:rsidRPr="002869EC" w:rsidRDefault="003F7970" w:rsidP="006357B3">
      <w:pPr>
        <w:spacing w:line="240" w:lineRule="auto"/>
        <w:rPr>
          <w:rFonts w:eastAsia="Aptos" w:cs="Times New Roman"/>
        </w:rPr>
      </w:pPr>
      <w:r w:rsidRPr="002869EC">
        <w:rPr>
          <w:rFonts w:eastAsia="Aptos" w:cs="Times New Roman"/>
          <w:b/>
          <w:bCs/>
        </w:rPr>
        <w:t>Transports:</w:t>
      </w:r>
      <w:r w:rsidRPr="002869EC">
        <w:rPr>
          <w:rFonts w:eastAsia="Aptos" w:cs="Times New Roman"/>
        </w:rPr>
        <w:t xml:space="preserve"> Transporta un uzglabāšanas nozare 2023. gadā piedzīvoja apgrozījuma samazinājumu par 7,8%, galvenokārt saistībā ar kravu pārvadājumu kritumu, īpaši tranzītā caur ostām un dzelzceļu. Kravu apjoma samazināšanos noteica sankcijas pret Krieviju un enerģētikas produktu tranzīta samazināšanās. Lai gan pasažieru pārvadājumi, īpaši aviācijas </w:t>
      </w:r>
      <w:r w:rsidRPr="002869EC">
        <w:rPr>
          <w:rFonts w:eastAsia="Aptos" w:cs="Times New Roman"/>
        </w:rPr>
        <w:lastRenderedPageBreak/>
        <w:t>nozarē, atguvās pēc pandēmijas ierobežojumiem, tas nespēja kompensēt zaudējumus kravu pārvadājumos.</w:t>
      </w:r>
    </w:p>
    <w:p w14:paraId="3AE8AEFC" w14:textId="77777777" w:rsidR="003F7970" w:rsidRPr="002869EC" w:rsidRDefault="003F7970" w:rsidP="006357B3">
      <w:pPr>
        <w:spacing w:line="240" w:lineRule="auto"/>
        <w:rPr>
          <w:rFonts w:eastAsia="Aptos" w:cs="Times New Roman"/>
        </w:rPr>
      </w:pPr>
      <w:r w:rsidRPr="002869EC">
        <w:rPr>
          <w:rFonts w:eastAsia="Aptos" w:cs="Times New Roman"/>
        </w:rPr>
        <w:t>2024. gadā sagaidāms, ka pasažieru pārvadājumi turpinās pieaugt, sevišķi aviācijā un sauszemes transportā, tomēr kravu pārvadājumu apjomi tranzītā varētu saglabāties zemi, jo sankciju dēļ Krievijas kravu plūsma turpinās samazināties. Transporta nozares izaugsme var balstīties tikai uz vietējo pieprasījumu un pārvadājumu apjoma pieaugumu Latvijas robežās.</w:t>
      </w:r>
    </w:p>
    <w:p w14:paraId="0B8DBEB6" w14:textId="77777777" w:rsidR="003F7970" w:rsidRPr="002869EC" w:rsidRDefault="003F7970" w:rsidP="006357B3">
      <w:pPr>
        <w:spacing w:line="240" w:lineRule="auto"/>
        <w:rPr>
          <w:rFonts w:eastAsia="Aptos" w:cs="Times New Roman"/>
        </w:rPr>
      </w:pPr>
      <w:r w:rsidRPr="002869EC">
        <w:rPr>
          <w:rFonts w:eastAsia="Aptos" w:cs="Times New Roman"/>
          <w:b/>
          <w:bCs/>
        </w:rPr>
        <w:t>Finanses:</w:t>
      </w:r>
      <w:r w:rsidRPr="002869EC">
        <w:rPr>
          <w:rFonts w:eastAsia="Aptos" w:cs="Times New Roman"/>
        </w:rPr>
        <w:t xml:space="preserve"> Latvijas finanšu un apdrošināšanas nozare 2023. gadā piedzīvoja ievērojamu peļņas pieaugumu, pateicoties augstajām procentu likmēm, kuras noteica </w:t>
      </w:r>
      <w:proofErr w:type="spellStart"/>
      <w:r w:rsidRPr="002869EC">
        <w:rPr>
          <w:rFonts w:eastAsia="Aptos" w:cs="Times New Roman"/>
          <w:i/>
          <w:iCs/>
        </w:rPr>
        <w:t>Euribor</w:t>
      </w:r>
      <w:proofErr w:type="spellEnd"/>
      <w:r w:rsidRPr="002869EC">
        <w:rPr>
          <w:rFonts w:eastAsia="Aptos" w:cs="Times New Roman"/>
        </w:rPr>
        <w:t xml:space="preserve"> kāpums. Bankas guva </w:t>
      </w:r>
      <w:proofErr w:type="spellStart"/>
      <w:r w:rsidRPr="002869EC">
        <w:rPr>
          <w:rFonts w:eastAsia="Aptos" w:cs="Times New Roman"/>
        </w:rPr>
        <w:t>rekordpeļņu</w:t>
      </w:r>
      <w:proofErr w:type="spellEnd"/>
      <w:r w:rsidRPr="002869EC">
        <w:rPr>
          <w:rFonts w:eastAsia="Aptos" w:cs="Times New Roman"/>
        </w:rPr>
        <w:t>, kas bija par 75% lielāka nekā 2022. gadā, un kredītu izsniegšana saglabājās stabila, neskatoties uz augstajām procentu likmēm, kas apgrūtināja jaunu aizņēmumu veikšanu.</w:t>
      </w:r>
    </w:p>
    <w:p w14:paraId="57D9F254" w14:textId="77777777" w:rsidR="003F7970" w:rsidRPr="002869EC" w:rsidRDefault="003F7970" w:rsidP="006357B3">
      <w:pPr>
        <w:spacing w:line="240" w:lineRule="auto"/>
        <w:rPr>
          <w:rFonts w:eastAsia="Aptos" w:cs="Times New Roman"/>
        </w:rPr>
      </w:pPr>
      <w:r w:rsidRPr="002869EC">
        <w:rPr>
          <w:rFonts w:eastAsia="Aptos" w:cs="Times New Roman"/>
        </w:rPr>
        <w:t>2024. gadā sagaidāms, ka procentu likmes sāks pakāpeniski samazināties, kas var nedaudz samazināt banku peļņas apjomus, bet var arī stimulēt kreditēšanas pieaugumu. Latvija gan joprojām atpaliek no Baltijas kaimiņiem kreditēšanas jomā, un sagaidāms, ka šajā sektorā būs nepieciešami papildu pasākumi, lai veicinātu mājsaimniecību un uzņēmumu piekļuvi finansējumam.</w:t>
      </w:r>
    </w:p>
    <w:p w14:paraId="5F3272C8" w14:textId="77777777" w:rsidR="003F7970" w:rsidRPr="002869EC" w:rsidRDefault="003F7970" w:rsidP="006357B3">
      <w:pPr>
        <w:spacing w:line="240" w:lineRule="auto"/>
        <w:rPr>
          <w:rFonts w:eastAsia="Aptos" w:cs="Times New Roman"/>
          <w:szCs w:val="20"/>
          <w14:ligatures w14:val="standardContextual"/>
        </w:rPr>
      </w:pPr>
      <w:r w:rsidRPr="002869EC">
        <w:rPr>
          <w:rFonts w:eastAsia="Aptos" w:cs="Times New Roman"/>
          <w:b/>
          <w:bCs/>
        </w:rPr>
        <w:t>Iekšzemes patēriņš</w:t>
      </w:r>
      <w:r w:rsidRPr="002869EC">
        <w:rPr>
          <w:rFonts w:eastAsia="Aptos" w:cs="Times New Roman"/>
        </w:rPr>
        <w:t xml:space="preserve">: 2023. gadā privātais patēriņš Latvijā bija ierobežots augstās inflācijas un pirktspējas samazinājuma dēļ, kas mazināja iedzīvotāju ekonomisko konfidenci. Salīdzinājumā ar 2022. gadu privātais patēriņš samazinājās par 1,3%, un šis samazinājums vērtējams kā mērens, jo </w:t>
      </w:r>
      <w:r w:rsidRPr="002869EC">
        <w:rPr>
          <w:rFonts w:eastAsia="Aptos" w:cs="Times New Roman"/>
          <w:szCs w:val="20"/>
          <w14:ligatures w14:val="standardContextual"/>
        </w:rPr>
        <w:t xml:space="preserve">krasi pieaugušo cenu līmeni iedzīvotājiem palīdzēja kompensēt gan Covid-19 pandēmijas laikā izveidojušies uzkrājumi, gan valsts </w:t>
      </w:r>
      <w:proofErr w:type="spellStart"/>
      <w:r w:rsidRPr="002869EC">
        <w:rPr>
          <w:rFonts w:eastAsia="Aptos" w:cs="Times New Roman"/>
          <w:szCs w:val="20"/>
          <w14:ligatures w14:val="standardContextual"/>
        </w:rPr>
        <w:t>energoatbalsta</w:t>
      </w:r>
      <w:proofErr w:type="spellEnd"/>
      <w:r w:rsidRPr="002869EC">
        <w:rPr>
          <w:rFonts w:eastAsia="Aptos" w:cs="Times New Roman"/>
          <w:szCs w:val="20"/>
          <w14:ligatures w14:val="standardContextual"/>
        </w:rPr>
        <w:t xml:space="preserve"> pasākumi un straujāka pensiju indeksācija 2022. gada otrajā pusē. </w:t>
      </w:r>
    </w:p>
    <w:p w14:paraId="2D6A3C92" w14:textId="77777777" w:rsidR="003F7970" w:rsidRPr="002869EC" w:rsidRDefault="003F7970" w:rsidP="006357B3">
      <w:pPr>
        <w:spacing w:line="240" w:lineRule="auto"/>
        <w:rPr>
          <w:rFonts w:eastAsia="Aptos" w:cs="Times New Roman"/>
          <w:szCs w:val="20"/>
          <w14:ligatures w14:val="standardContextual"/>
        </w:rPr>
      </w:pPr>
      <w:r w:rsidRPr="002869EC">
        <w:rPr>
          <w:rFonts w:eastAsia="Aptos" w:cs="Times New Roman"/>
          <w:szCs w:val="20"/>
          <w14:ligatures w14:val="standardContextual"/>
        </w:rPr>
        <w:t xml:space="preserve">2024. gada pirmajā pusē, </w:t>
      </w:r>
      <w:r w:rsidRPr="002869EC">
        <w:rPr>
          <w:rFonts w:eastAsia="Aptos" w:cs="Times New Roman"/>
        </w:rPr>
        <w:t>neskatoties uz straujo algu pieaugumu un zemo inflāciju, privātā patēriņa pieaugums bija zems, 0,6% apmērā. Patērētāju neskaidrība par nākotnes finansiālo situāciju bremzēja patēriņa izaugsmi, bet gadā kopumā pieauguma temps kļūs straujāks, privātajam patēriņam dodot nozīmīgāku ieguldījumu IKP pieaugumā.</w:t>
      </w:r>
      <w:r w:rsidRPr="002869EC">
        <w:rPr>
          <w:rFonts w:eastAsia="Aptos" w:cs="Times New Roman"/>
          <w:szCs w:val="20"/>
          <w14:ligatures w14:val="standardContextual"/>
        </w:rPr>
        <w:t xml:space="preserve"> </w:t>
      </w:r>
    </w:p>
    <w:p w14:paraId="5FA285AD" w14:textId="38EDCB36" w:rsidR="003F7970" w:rsidRPr="002869EC" w:rsidRDefault="003F7970" w:rsidP="006357B3">
      <w:pPr>
        <w:spacing w:line="240" w:lineRule="auto"/>
        <w:rPr>
          <w:rFonts w:eastAsia="Aptos" w:cs="Times New Roman"/>
        </w:rPr>
      </w:pPr>
      <w:r w:rsidRPr="002869EC">
        <w:rPr>
          <w:rFonts w:eastAsia="Aptos" w:cs="Times New Roman"/>
        </w:rPr>
        <w:t xml:space="preserve">Savukārt sabiedriskais patēriņš 2023. gadā turpināja palielināties, un šī tendence saglabājas arī 2024. gadā, kad gadā kopumā prognozēts pieaugums par 4,6%. Sabiedriskā patēriņa kāpumu veicina valsts budžeta izdevumi, tostarp atalgojuma pieaugums sabiedriskajā sektorā un lielāki aizsardzības izdevumi. Nākamajos gados sabiedriskā patēriņa pieaugums būs stabils, ap 2% gadā, bet būtisku ietekmi uz izaugsmi nodrošinās arī </w:t>
      </w:r>
      <w:r w:rsidR="00797A54" w:rsidRPr="002869EC">
        <w:rPr>
          <w:rFonts w:eastAsia="Aptos" w:cs="Times New Roman"/>
        </w:rPr>
        <w:t>ES</w:t>
      </w:r>
      <w:r w:rsidRPr="002869EC">
        <w:rPr>
          <w:rFonts w:eastAsia="Aptos" w:cs="Times New Roman"/>
        </w:rPr>
        <w:t xml:space="preserve"> fondu investīciju projekti.</w:t>
      </w:r>
    </w:p>
    <w:p w14:paraId="78EF397A" w14:textId="44613BCA" w:rsidR="003F7970" w:rsidRPr="002869EC" w:rsidRDefault="003F7970" w:rsidP="006357B3">
      <w:pPr>
        <w:spacing w:line="240" w:lineRule="auto"/>
        <w:rPr>
          <w:rFonts w:eastAsia="Aptos" w:cs="Times New Roman"/>
        </w:rPr>
      </w:pPr>
      <w:r w:rsidRPr="002869EC">
        <w:rPr>
          <w:rFonts w:eastAsia="Aptos" w:cs="Times New Roman"/>
          <w:b/>
          <w:bCs/>
        </w:rPr>
        <w:t>Investīcijas:</w:t>
      </w:r>
      <w:r w:rsidRPr="002869EC">
        <w:rPr>
          <w:rFonts w:eastAsia="Aptos" w:cs="Times New Roman"/>
        </w:rPr>
        <w:t xml:space="preserve"> 2023. gadā investīcijas Latvijas ekonomikā palielinājās par 8,2%, sasniedzot 24,1% īpatsvaru no IKP. Šāds pieaugums bija augstāks nekā iepriekšējos gados un virs ES vidējā rādītāja, pozitīvi ietekmējot kopējo ekonomisko aktivitāti, kompensējot privātā patēriņa un eksporta kritumu. Vislielāko devumu nodrošināja būvniecības nozares aktivitāte, kur investīcijas pieauga par 18,9%, un tās saistījās ar biroju, mājokļu un noliktavu būvniecību, kā arī renovācijas projektiem. Šis kāpums bija tieši saistīts ar lielākiem ES struktūrfondu un </w:t>
      </w:r>
      <w:r w:rsidR="009A6598">
        <w:rPr>
          <w:rFonts w:eastAsia="Aptos" w:cs="Times New Roman"/>
        </w:rPr>
        <w:t>ANM</w:t>
      </w:r>
      <w:r w:rsidRPr="002869EC">
        <w:rPr>
          <w:rFonts w:eastAsia="Aptos" w:cs="Times New Roman"/>
        </w:rPr>
        <w:t xml:space="preserve"> ieguldījumiem, kā arī privātā sektora investīciju pieaugumu. Tajā pašā laikā investīcijas tehnoloģiskajās iekārtās un mašīnās samazinājās par 0,3%, neskatoties uz 28,1% kāpumu transportlīdzekļu investīcijās.</w:t>
      </w:r>
    </w:p>
    <w:p w14:paraId="0C7CF249" w14:textId="77777777" w:rsidR="003F7970" w:rsidRPr="002869EC" w:rsidRDefault="003F7970" w:rsidP="006357B3">
      <w:pPr>
        <w:spacing w:line="240" w:lineRule="auto"/>
        <w:rPr>
          <w:rFonts w:eastAsia="Aptos" w:cs="Times New Roman"/>
        </w:rPr>
      </w:pPr>
      <w:r w:rsidRPr="002869EC">
        <w:rPr>
          <w:rFonts w:eastAsia="Aptos" w:cs="Times New Roman"/>
        </w:rPr>
        <w:t>Savukārt, intelektuālā īpašuma produktos un citos pamatlīdzekļos investīcijas 2023. gadā samazinājās attiecīgi par 0,8% un 8%, kas norāda uz nevienmērīgu attīstību starp dažādām investīciju grupām. Kopumā investīciju struktūra vairāk virzījās uz būvniecību, kamēr tehnoloģiskajās iekārtās ieguldījumi saruka.</w:t>
      </w:r>
    </w:p>
    <w:p w14:paraId="3067A2D4" w14:textId="77777777" w:rsidR="003F7970" w:rsidRPr="002869EC" w:rsidRDefault="003F7970" w:rsidP="006357B3">
      <w:pPr>
        <w:spacing w:line="240" w:lineRule="auto"/>
        <w:rPr>
          <w:rFonts w:eastAsia="Aptos" w:cs="Times New Roman"/>
        </w:rPr>
      </w:pPr>
      <w:r w:rsidRPr="002869EC">
        <w:rPr>
          <w:rFonts w:eastAsia="Aptos" w:cs="Times New Roman"/>
        </w:rPr>
        <w:lastRenderedPageBreak/>
        <w:t>2024. gada pirmais ceturksnis investīciju ziņā neuzrādīja labvēlīgas tendences, un investīciju apjoms salīdzinājumā ar 2023. gada attiecīgo periodu samazinājās par 9,3%. Šis kritums īpaši izpaudās tehnoloģiskajās iekārtās un mašīnās, kur investīcijas samazinājās par 14,6%, kā arī transportlīdzekļu investīcijās (-7,8%). Neskatoties uz samazinājumu, dati par uzņēmēju plāniem apstrādes rūpniecībā liecina par pozitīvām izmaiņām – 33,1% no plānotajām investīcijām 2024. gadā tiks veltīti ražošanas paplašināšanai, kas ir augstākais rādītājs kopš 2004. gada.</w:t>
      </w:r>
    </w:p>
    <w:p w14:paraId="12DE5D5C" w14:textId="206D54D2" w:rsidR="003F7970" w:rsidRPr="002869EC" w:rsidRDefault="003F7970" w:rsidP="006357B3">
      <w:pPr>
        <w:spacing w:line="240" w:lineRule="auto"/>
        <w:rPr>
          <w:rFonts w:eastAsia="Aptos" w:cs="Times New Roman"/>
        </w:rPr>
      </w:pPr>
      <w:r w:rsidRPr="002869EC">
        <w:rPr>
          <w:rFonts w:eastAsia="Aptos" w:cs="Times New Roman"/>
        </w:rPr>
        <w:t>Investīciju aktivitāti būvniecības sektorā arī 2024. gadā kavē augstās būvniecības izmaksas un augstās procentu likmes, kas uztur investīciju realizācijas izmaksas augstā līmenī. Lielākā daļa no ES fondu ieguldījumiem tiek novirzīti būvniecībai, tādēļ 2024. gada otrajā pusē gaidāms investīciju pieaugums šajā nozarē, kad intensīvāk tiks izmantoti ES struktūrfondu līdzekļi. Tomēr kopējais investīciju pieaugums šogad būs mērens, un atbilstoši prognozēm pieaugs par 0,3%.</w:t>
      </w:r>
    </w:p>
    <w:p w14:paraId="77B04AB1" w14:textId="15999AE1" w:rsidR="003F7970" w:rsidRPr="002869EC" w:rsidRDefault="003F7970" w:rsidP="006357B3">
      <w:pPr>
        <w:spacing w:line="240" w:lineRule="auto"/>
        <w:rPr>
          <w:rFonts w:eastAsia="Aptos" w:cs="Times New Roman"/>
        </w:rPr>
      </w:pPr>
      <w:r w:rsidRPr="002869EC">
        <w:rPr>
          <w:rFonts w:eastAsia="Aptos" w:cs="Times New Roman"/>
          <w:b/>
          <w:bCs/>
        </w:rPr>
        <w:t xml:space="preserve">Ārējā tirdzniecība: </w:t>
      </w:r>
      <w:r w:rsidRPr="002869EC">
        <w:rPr>
          <w:rFonts w:eastAsia="Aptos" w:cs="Times New Roman"/>
        </w:rPr>
        <w:t xml:space="preserve">2023. gadā Latvijas ārējās tirdzniecības aktivitāte būtiski samazinājās, ko noteica vājš ārējais pieprasījums galvenajos eksporta tirgos </w:t>
      </w:r>
      <w:r w:rsidR="00797A54" w:rsidRPr="002869EC">
        <w:rPr>
          <w:rFonts w:eastAsia="Aptos" w:cs="Times New Roman"/>
        </w:rPr>
        <w:t>ES</w:t>
      </w:r>
      <w:r w:rsidRPr="002869EC">
        <w:rPr>
          <w:rFonts w:eastAsia="Aptos" w:cs="Times New Roman"/>
        </w:rPr>
        <w:t xml:space="preserve">, augstās inflācijas un augsto procentu likmju dēļ. Preču un pakalpojumu eksports saruka par 5,9%, kas bija viens no lielākajiem kritumiem starp ES valstīm, un līdzīgs eksporta kritums bija arī citās Baltijas valstīs. Eksporta samazinājumu veicināja </w:t>
      </w:r>
      <w:proofErr w:type="spellStart"/>
      <w:r w:rsidRPr="002869EC">
        <w:rPr>
          <w:rFonts w:eastAsia="Aptos" w:cs="Times New Roman"/>
        </w:rPr>
        <w:t>minerālproduktu</w:t>
      </w:r>
      <w:proofErr w:type="spellEnd"/>
      <w:r w:rsidRPr="002869EC">
        <w:rPr>
          <w:rFonts w:eastAsia="Aptos" w:cs="Times New Roman"/>
        </w:rPr>
        <w:t xml:space="preserve"> eksporta kritums par 20,8%, kā arī mehānismu un elektroiekārtu eksports, kas saruka par 8,6%. Ķīmiskās rūpniecības ražojumu eksports, pretēji, pieauga par 13,4%, nedaudz mazinot kopējo eksporta kritumu.</w:t>
      </w:r>
    </w:p>
    <w:p w14:paraId="412E51F3" w14:textId="23DA593A" w:rsidR="003F7970" w:rsidRPr="002869EC" w:rsidRDefault="003F7970" w:rsidP="006357B3">
      <w:pPr>
        <w:spacing w:line="240" w:lineRule="auto"/>
        <w:rPr>
          <w:rFonts w:eastAsia="Aptos" w:cs="Times New Roman"/>
        </w:rPr>
      </w:pPr>
      <w:r w:rsidRPr="002869EC">
        <w:rPr>
          <w:rFonts w:eastAsia="Aptos" w:cs="Times New Roman"/>
        </w:rPr>
        <w:t xml:space="preserve">Savukārt importa vērtība 2023. gadā samazinājās par 2,8%, galvenokārt starppatēriņa preču importa krituma dēļ. Preču importa vērtība 2024. gada pirmajos piecos mēnešos samazinājās par 11,8%, īpaši </w:t>
      </w:r>
      <w:proofErr w:type="spellStart"/>
      <w:r w:rsidRPr="002869EC">
        <w:rPr>
          <w:rFonts w:eastAsia="Aptos" w:cs="Times New Roman"/>
        </w:rPr>
        <w:t>minerālproduktu</w:t>
      </w:r>
      <w:proofErr w:type="spellEnd"/>
      <w:r w:rsidRPr="002869EC">
        <w:rPr>
          <w:rFonts w:eastAsia="Aptos" w:cs="Times New Roman"/>
        </w:rPr>
        <w:t xml:space="preserve"> grupā (-35,7%), kas palīdzēja samazināt ārējās tirdzniecības deficītu. Pakalpojumu eksportā un importā tika fiksēta mērena lejupslīde, izņemot transporta pakalpojumu eksportu, kas pieauga par 4,7%. Tomēr kopējā ārējā tirdzniecības bilance 2023. gadā pasliktinājās, radot negatīvu ietekmi uz</w:t>
      </w:r>
      <w:r w:rsidR="00797A54" w:rsidRPr="002869EC">
        <w:rPr>
          <w:rFonts w:eastAsia="Aptos" w:cs="Times New Roman"/>
        </w:rPr>
        <w:t xml:space="preserve"> IKP</w:t>
      </w:r>
      <w:r w:rsidRPr="002869EC">
        <w:rPr>
          <w:rFonts w:eastAsia="Aptos" w:cs="Times New Roman"/>
        </w:rPr>
        <w:t>.</w:t>
      </w:r>
    </w:p>
    <w:p w14:paraId="290AB59D" w14:textId="7E601237" w:rsidR="003F7970" w:rsidRPr="002869EC" w:rsidRDefault="003F7970" w:rsidP="006357B3">
      <w:pPr>
        <w:spacing w:line="240" w:lineRule="auto"/>
        <w:rPr>
          <w:rFonts w:eastAsia="Aptos" w:cs="Times New Roman"/>
        </w:rPr>
      </w:pPr>
      <w:r w:rsidRPr="002869EC">
        <w:rPr>
          <w:rFonts w:eastAsia="Aptos" w:cs="Times New Roman"/>
        </w:rPr>
        <w:t xml:space="preserve">2024. gadā sagaidāms pakāpenisks eksporta pieaugums, galvenokārt bāzes efektu dēļ, tomēr izaugsme būs mērena, kas ir saistīta ar Latvijas tirdzniecības partnervalstu ekonomisko attīstību. Eksports salīdzināmajās cenās varētu pieaugt par 0,3%, bet imports par 1,0%. Lai arī </w:t>
      </w:r>
      <w:proofErr w:type="spellStart"/>
      <w:r w:rsidRPr="002869EC">
        <w:rPr>
          <w:rFonts w:eastAsia="Aptos" w:cs="Times New Roman"/>
          <w:i/>
          <w:iCs/>
        </w:rPr>
        <w:t>euro</w:t>
      </w:r>
      <w:proofErr w:type="spellEnd"/>
      <w:r w:rsidRPr="002869EC">
        <w:rPr>
          <w:rFonts w:eastAsia="Aptos" w:cs="Times New Roman"/>
        </w:rPr>
        <w:t xml:space="preserve"> zonas ekonomikas izaugsmes prognoze šim gadam ir paaugstināta, tomēr šis paaugstinājums ir vērtējams kā simbolisks un apstiprina, ka ārējais pieprasījums joprojām saglabājas vājš, līdz ar to šogad vēl nav priekšnosacījumu straujai Latvijas eksporta attīstībai.</w:t>
      </w:r>
    </w:p>
    <w:p w14:paraId="1AE615D0" w14:textId="77777777" w:rsidR="003F7970" w:rsidRPr="002869EC" w:rsidRDefault="003F7970" w:rsidP="006357B3">
      <w:pPr>
        <w:spacing w:line="240" w:lineRule="auto"/>
        <w:rPr>
          <w:rFonts w:eastAsia="Aptos" w:cs="Times New Roman"/>
        </w:rPr>
      </w:pPr>
      <w:r w:rsidRPr="002869EC">
        <w:rPr>
          <w:rFonts w:eastAsia="Aptos" w:cs="Times New Roman"/>
          <w:b/>
          <w:bCs/>
        </w:rPr>
        <w:t xml:space="preserve">Darba tirgus: </w:t>
      </w:r>
      <w:r w:rsidRPr="002869EC">
        <w:rPr>
          <w:rFonts w:eastAsia="Aptos" w:cs="Times New Roman"/>
        </w:rPr>
        <w:t>Pēc īslaicīga bezdarba līmeņa pieauguma līdz 8,1% 2020. gadā, tas 2021. gadā samazinājās līdz 7,6%, bet 2022. gadā noslīdēja līdz 6,9%. 2023. gadā, neskatoties uz ekonomikas izaugsmes bremzēšanos, bezdarba līmenis turpināja samazināties un sasniedza 6,5%. Šī samazinājuma galvenie iemesli ir ne tikai ekonomikas attīstība, bet arī demogrāfiskie faktori – darba tirgū ienākošo jauniešu skaits jau ilgstoši ir mazāks nekā no darba tirgus izejošo 60+ gadus veco iedzīvotāju skaits.</w:t>
      </w:r>
    </w:p>
    <w:p w14:paraId="07DF94DF" w14:textId="77777777" w:rsidR="003F7970" w:rsidRPr="002869EC" w:rsidRDefault="003F7970" w:rsidP="006357B3">
      <w:pPr>
        <w:spacing w:line="240" w:lineRule="auto"/>
        <w:rPr>
          <w:rFonts w:eastAsia="Aptos" w:cs="Times New Roman"/>
        </w:rPr>
      </w:pPr>
      <w:r w:rsidRPr="002869EC">
        <w:rPr>
          <w:rFonts w:eastAsia="Aptos" w:cs="Times New Roman"/>
        </w:rPr>
        <w:t>Tomēr 2023. gada beigās un 2024. gada sākumā ekonomikas kritums sāk atspoguļoties darba tirgū. Bezdarba līmenis 2024. gada pirmajā ceturksnī pieauga līdz 7,2%, kas ir par 0,8 procentpunktiem vairāk nekā attiecīgajā ceturksnī gadu iepriekš. Vienlaikus reģistrētais bezdarbs saglabājās zems, 2024. gada jūnijā samazinoties līdz 5,1%. Prognoze</w:t>
      </w:r>
      <w:r w:rsidRPr="002869EC">
        <w:rPr>
          <w:rFonts w:eastAsia="Aptos" w:cs="Times New Roman"/>
          <w:color w:val="FF0000"/>
        </w:rPr>
        <w:t xml:space="preserve"> </w:t>
      </w:r>
      <w:r w:rsidRPr="002869EC">
        <w:rPr>
          <w:rFonts w:eastAsia="Aptos" w:cs="Times New Roman"/>
        </w:rPr>
        <w:t>bezdarba līmenim 2024. gadā ir 6,7%, bet turpmākajos gados tas turpinās samazināties, līdz 2028. gadam sasniedzot 5%.</w:t>
      </w:r>
    </w:p>
    <w:p w14:paraId="275EED5B" w14:textId="77777777" w:rsidR="003F7970" w:rsidRPr="002869EC" w:rsidRDefault="003F7970" w:rsidP="006357B3">
      <w:pPr>
        <w:spacing w:line="240" w:lineRule="auto"/>
        <w:rPr>
          <w:rFonts w:eastAsia="Aptos" w:cs="Times New Roman"/>
        </w:rPr>
      </w:pPr>
      <w:r w:rsidRPr="002869EC">
        <w:rPr>
          <w:rFonts w:eastAsia="Aptos" w:cs="Times New Roman"/>
        </w:rPr>
        <w:t>2023. gadā nodarbināto skaits saruka par 0,2%, taču, ekonomikai atkopjoties no lejupslīdes, 2024. un 2025. gadā nodarbinātība varētu saglabāties stabila. Ilgtermiņā sagaidāms neliels nodarbināto skaita kritums demogrāfijas dēļ.</w:t>
      </w:r>
    </w:p>
    <w:p w14:paraId="7FC47454" w14:textId="77777777" w:rsidR="003F7970" w:rsidRPr="002869EC" w:rsidRDefault="003F7970" w:rsidP="006357B3">
      <w:pPr>
        <w:spacing w:line="240" w:lineRule="auto"/>
        <w:rPr>
          <w:rFonts w:eastAsia="Aptos" w:cs="Times New Roman"/>
        </w:rPr>
      </w:pPr>
      <w:r w:rsidRPr="002869EC">
        <w:rPr>
          <w:rFonts w:eastAsia="Aptos" w:cs="Times New Roman"/>
        </w:rPr>
        <w:lastRenderedPageBreak/>
        <w:t xml:space="preserve">Lai gan ekonomiskie apstākļi bijuši sarežģīti, iedzīvotāju ienākumi turpināja augt. Mēneša vidējā bruto darba samaksa 2022. gadā pieauga par 7,5%, un 2023. gadā pieaugums paātrinājās līdz 11,9%, sasniedzot 1537 </w:t>
      </w:r>
      <w:proofErr w:type="spellStart"/>
      <w:r w:rsidRPr="002869EC">
        <w:rPr>
          <w:rFonts w:eastAsia="Aptos" w:cs="Times New Roman"/>
          <w:i/>
          <w:iCs/>
        </w:rPr>
        <w:t>euro</w:t>
      </w:r>
      <w:proofErr w:type="spellEnd"/>
      <w:r w:rsidRPr="002869EC">
        <w:rPr>
          <w:rFonts w:eastAsia="Aptos" w:cs="Times New Roman"/>
        </w:rPr>
        <w:t xml:space="preserve">. Arī 2024. gadā algu kāpumu veicina minimālās algas pieaugums un valsts sektora darbinieku algu palielinājums. Reālā neto darba samaksa, kas atspoguļo pirktspēju, pēc krituma 2022. gadā 2023. gadā atjaunojās un pieauga par 2,2%. Sagaidāms, ka 2024. gadā vidējā bruto alga pieaugs par 7,7%, sasniedzot 1655 </w:t>
      </w:r>
      <w:proofErr w:type="spellStart"/>
      <w:r w:rsidRPr="002869EC">
        <w:rPr>
          <w:rFonts w:eastAsia="Aptos" w:cs="Times New Roman"/>
          <w:i/>
          <w:iCs/>
        </w:rPr>
        <w:t>euro</w:t>
      </w:r>
      <w:proofErr w:type="spellEnd"/>
      <w:r w:rsidRPr="002869EC">
        <w:rPr>
          <w:rFonts w:eastAsia="Aptos" w:cs="Times New Roman"/>
        </w:rPr>
        <w:t>.</w:t>
      </w:r>
    </w:p>
    <w:p w14:paraId="2EAFA42A" w14:textId="20E8F0D3" w:rsidR="003F7970" w:rsidRPr="002869EC" w:rsidRDefault="003F7970" w:rsidP="006357B3">
      <w:pPr>
        <w:spacing w:line="240" w:lineRule="auto"/>
        <w:rPr>
          <w:rFonts w:eastAsia="Aptos" w:cs="Times New Roman"/>
        </w:rPr>
      </w:pPr>
      <w:r w:rsidRPr="002869EC">
        <w:rPr>
          <w:rFonts w:eastAsia="Aptos" w:cs="Times New Roman"/>
          <w:b/>
          <w:bCs/>
        </w:rPr>
        <w:t xml:space="preserve">Inflācija: </w:t>
      </w:r>
      <w:r w:rsidRPr="002869EC">
        <w:rPr>
          <w:rFonts w:eastAsia="Aptos" w:cs="Times New Roman"/>
        </w:rPr>
        <w:t xml:space="preserve">2023. gadā inflācija Latvijā ievērojami samazinājās, īpaši gada otrajā pusē, galvenokārt pateicoties energoresursu cenu kritumam un mazākam pārtikas cenu pieaugumam. Patēriņa cenu kāpums, kas janvārī pārsniedza 20%, decembrī saruka līdz 0,9%. Vidējā gada inflācija bija 9,1%, kas, lai arī zemāka nekā 2022. gadā, joprojām pārsniedza </w:t>
      </w:r>
      <w:proofErr w:type="spellStart"/>
      <w:r w:rsidRPr="002869EC">
        <w:rPr>
          <w:rFonts w:eastAsia="Aptos" w:cs="Times New Roman"/>
          <w:i/>
          <w:iCs/>
        </w:rPr>
        <w:t>euro</w:t>
      </w:r>
      <w:proofErr w:type="spellEnd"/>
      <w:r w:rsidRPr="002869EC">
        <w:rPr>
          <w:rFonts w:eastAsia="Aptos" w:cs="Times New Roman"/>
        </w:rPr>
        <w:t xml:space="preserve"> zonas vidējo vērtību (5,4%). galvenie inflācijas dzinēji 2023. gadā bija pārtikas produktu (13,2%) un mājokļa apsaimniekošanas pakalpojumu cenu pieaugums (</w:t>
      </w:r>
      <w:r w:rsidRPr="002869EC">
        <w:rPr>
          <w:rFonts w:eastAsia="Aptos" w:cs="Times New Roman"/>
          <w:color w:val="000000"/>
          <w:kern w:val="2"/>
          <w14:ligatures w14:val="standardContextual"/>
        </w:rPr>
        <w:t>siltumenerģijas cena pieauga par 19,6%, elektroenerģija un gāze sadārdzinājās attiecīgi par 12,5% un 2,7%</w:t>
      </w:r>
      <w:r w:rsidRPr="002869EC">
        <w:rPr>
          <w:rFonts w:eastAsia="Aptos" w:cs="Times New Roman"/>
        </w:rPr>
        <w:t>), kamēr degvielas cenas samazinājās par 9,2%. Energoresursu cenu kritums, jo īpaši dabasgāzei un elektroenerģijai, būtiski mazināja inflācijas spiedienu gada otrajā pusē.</w:t>
      </w:r>
    </w:p>
    <w:p w14:paraId="2339BD98" w14:textId="77777777" w:rsidR="003F7970" w:rsidRPr="002869EC" w:rsidRDefault="003F7970" w:rsidP="006357B3">
      <w:pPr>
        <w:spacing w:line="240" w:lineRule="auto"/>
        <w:rPr>
          <w:rFonts w:eastAsia="Aptos" w:cs="Times New Roman"/>
        </w:rPr>
      </w:pPr>
      <w:r w:rsidRPr="002869EC">
        <w:rPr>
          <w:rFonts w:eastAsia="Aptos" w:cs="Times New Roman"/>
        </w:rPr>
        <w:t>Tomēr pamatinflācija, kas atspoguļo iekšējo ekonomisko faktoru ietekmi un neietver energoresursu un pārtikas cenu svārstības, 2023. gadā saglabājās augsta. Pamatinflācija bija 9,4% apmērā, lai arī samazinājās no 11,0% 2022. gadā. Šādu augstu pamatinflāciju veicināja otrreizējie efekti no iepriekšējā energoresursu un pārtikas cenu kāpuma, kā arī darbaspēka izmaksu pieaugums, ko radīja saspringtā situācija darba tirgū.</w:t>
      </w:r>
    </w:p>
    <w:p w14:paraId="792B3DFE" w14:textId="77777777" w:rsidR="003F7970" w:rsidRPr="002869EC" w:rsidRDefault="003F7970" w:rsidP="006357B3">
      <w:pPr>
        <w:spacing w:line="240" w:lineRule="auto"/>
        <w:rPr>
          <w:rFonts w:eastAsia="Aptos" w:cs="Times New Roman"/>
        </w:rPr>
      </w:pPr>
      <w:bookmarkStart w:id="17" w:name="_Hlk176516676"/>
      <w:r w:rsidRPr="002869EC">
        <w:rPr>
          <w:rFonts w:eastAsia="Aptos" w:cs="Times New Roman"/>
        </w:rPr>
        <w:t xml:space="preserve">2024. gadā inflācija ir stabilizējusies zemā līmenī, un prognozēts, ka patēriņa cenu pieaugums būs aptuveni 1,2%. </w:t>
      </w:r>
      <w:bookmarkEnd w:id="17"/>
      <w:r w:rsidRPr="002869EC">
        <w:rPr>
          <w:rFonts w:eastAsia="Aptos" w:cs="Times New Roman"/>
        </w:rPr>
        <w:t>Pamatinflācija saglabāsies relatīvi liela, pateicoties darba samaksas pieaugumam un pakalpojumu cenu kāpumam. Tomēr ārējie faktori, piemēram, energoresursu cenu stabilizēšanās, turpinās mazināt inflācijas spiedienu, īpaši mājokļa komunālajiem pakalpojumiem. Tiek sagaidīts, ka augstākie inflācijas riski 2024. gadā būs saistīti ar iekšējiem ekonomiskajiem procesiem, savukārt ārējie faktori, īpaši importētā inflācija, turpinās mazināties.</w:t>
      </w:r>
    </w:p>
    <w:p w14:paraId="070D74C5" w14:textId="77777777" w:rsidR="00EE7219" w:rsidRPr="002869EC" w:rsidRDefault="00EE7219" w:rsidP="008B0C5E">
      <w:pPr>
        <w:spacing w:after="0" w:line="240" w:lineRule="auto"/>
        <w:ind w:firstLine="0"/>
      </w:pPr>
    </w:p>
    <w:p w14:paraId="65CEFB57" w14:textId="44E31DBE" w:rsidR="003614FE" w:rsidRPr="002869EC" w:rsidRDefault="003614FE" w:rsidP="007436A0">
      <w:pPr>
        <w:pStyle w:val="Heading2"/>
        <w:numPr>
          <w:ilvl w:val="0"/>
          <w:numId w:val="0"/>
        </w:numPr>
        <w:spacing w:before="0" w:after="240" w:line="240" w:lineRule="auto"/>
        <w:ind w:left="576" w:hanging="576"/>
        <w:rPr>
          <w:rFonts w:cs="Times New Roman"/>
          <w:sz w:val="28"/>
        </w:rPr>
      </w:pPr>
      <w:bookmarkStart w:id="18" w:name="_Toc179540622"/>
      <w:r w:rsidRPr="002869EC">
        <w:rPr>
          <w:rFonts w:cs="Times New Roman"/>
          <w:sz w:val="28"/>
        </w:rPr>
        <w:t>3.3. Makroekonomiskās attīstības scenārijs 2025.-2028. gadu periodam</w:t>
      </w:r>
      <w:bookmarkEnd w:id="18"/>
    </w:p>
    <w:p w14:paraId="4E27F5DF" w14:textId="475A765B" w:rsidR="00074880" w:rsidRPr="002869EC" w:rsidRDefault="00013CAB" w:rsidP="006357B3">
      <w:pPr>
        <w:spacing w:line="240" w:lineRule="auto"/>
        <w:rPr>
          <w:rFonts w:eastAsia="Aptos" w:cs="Times New Roman"/>
        </w:rPr>
      </w:pPr>
      <w:r w:rsidRPr="002869EC">
        <w:rPr>
          <w:rFonts w:eastAsia="Aptos" w:cs="Times New Roman"/>
        </w:rPr>
        <w:t>FM</w:t>
      </w:r>
      <w:r w:rsidR="00074880" w:rsidRPr="002869EC">
        <w:rPr>
          <w:rFonts w:eastAsia="Aptos" w:cs="Times New Roman"/>
        </w:rPr>
        <w:t xml:space="preserve"> vidēja termiņa makroekonomiskās attīstības scenāriju ir izstrādājusi 2024. gada jūnijā, balstoties uz 2024. gada pirmā ceturkšņa IKP datiem, kā arī līdz jūnijam pieejamo īstermiņa makroekonomisko rādītāju informāciju. Izstrādājot vidēja termiņa </w:t>
      </w:r>
      <w:r w:rsidR="00074880" w:rsidRPr="009A6598">
        <w:rPr>
          <w:rFonts w:eastAsia="Aptos" w:cs="Times New Roman"/>
        </w:rPr>
        <w:t>makroekonomiskās attīstības scenāriju, FM ir konsultējusies ar S</w:t>
      </w:r>
      <w:r w:rsidRPr="009A6598">
        <w:rPr>
          <w:rFonts w:eastAsia="Aptos" w:cs="Times New Roman"/>
        </w:rPr>
        <w:t xml:space="preserve">tarptautisko </w:t>
      </w:r>
      <w:r w:rsidR="00074880" w:rsidRPr="009A6598">
        <w:rPr>
          <w:rFonts w:eastAsia="Aptos" w:cs="Times New Roman"/>
        </w:rPr>
        <w:t>V</w:t>
      </w:r>
      <w:r w:rsidRPr="009A6598">
        <w:rPr>
          <w:rFonts w:eastAsia="Aptos" w:cs="Times New Roman"/>
        </w:rPr>
        <w:t>alūtas fondu</w:t>
      </w:r>
      <w:r w:rsidR="00074880" w:rsidRPr="009A6598">
        <w:rPr>
          <w:rFonts w:eastAsia="Aptos" w:cs="Times New Roman"/>
        </w:rPr>
        <w:t>, EK un komercbanku</w:t>
      </w:r>
      <w:r w:rsidR="00074880" w:rsidRPr="002869EC">
        <w:rPr>
          <w:rFonts w:eastAsia="Aptos" w:cs="Times New Roman"/>
        </w:rPr>
        <w:t xml:space="preserve"> ekspertiem. Makroekonomisko rādītāju prognozes ir saskaņotas ar </w:t>
      </w:r>
      <w:r w:rsidR="009A6598">
        <w:rPr>
          <w:rFonts w:eastAsia="Aptos" w:cs="Times New Roman"/>
        </w:rPr>
        <w:t>LB</w:t>
      </w:r>
      <w:r w:rsidR="00074880" w:rsidRPr="002869EC">
        <w:rPr>
          <w:rFonts w:eastAsia="Aptos" w:cs="Times New Roman"/>
        </w:rPr>
        <w:t xml:space="preserve"> un Ekonomikas ministriju, kā arī tās 2024. gada 10. jūnijā ir apstiprinājusi Fiskālās disciplīnas padome. Makroekonomiskās attīstības scenārijs 2025.-2028. gadam paredz Latvijas ekonomikas stabilizēšanos ar mērenu izaugsmi 2024. gadā, kad prognozēts 1,4% </w:t>
      </w:r>
      <w:r w:rsidRPr="002869EC">
        <w:rPr>
          <w:rFonts w:eastAsia="Aptos" w:cs="Times New Roman"/>
        </w:rPr>
        <w:t>IKP</w:t>
      </w:r>
      <w:r w:rsidR="00074880" w:rsidRPr="002869EC">
        <w:rPr>
          <w:rFonts w:eastAsia="Aptos" w:cs="Times New Roman"/>
        </w:rPr>
        <w:t xml:space="preserve"> pieaugums, 2025. gadā izaugsme paātrināsies līdz 2,9%, un nākamajos gados tā turpināsies aptuveni 2,5% apmērā. Ekonomikas atjaunošanos veicinās sabiedriskā un privātā patēriņa pieaugums, kā arī intensīvāka </w:t>
      </w:r>
      <w:r w:rsidRPr="002869EC">
        <w:rPr>
          <w:rFonts w:eastAsia="Aptos" w:cs="Times New Roman"/>
        </w:rPr>
        <w:t>ES</w:t>
      </w:r>
      <w:r w:rsidR="00074880" w:rsidRPr="002869EC">
        <w:rPr>
          <w:rFonts w:eastAsia="Aptos" w:cs="Times New Roman"/>
        </w:rPr>
        <w:t xml:space="preserve"> fondu investīciju apguve un straujāks eksporta kāpums.</w:t>
      </w:r>
    </w:p>
    <w:p w14:paraId="6E103AFC" w14:textId="7472AF85" w:rsidR="00074880" w:rsidRPr="002869EC" w:rsidRDefault="00074880" w:rsidP="006357B3">
      <w:pPr>
        <w:spacing w:line="240" w:lineRule="auto"/>
        <w:rPr>
          <w:rFonts w:eastAsia="Aptos" w:cs="Times New Roman"/>
        </w:rPr>
      </w:pPr>
      <w:r w:rsidRPr="002869EC">
        <w:rPr>
          <w:rFonts w:eastAsia="Aptos" w:cs="Times New Roman"/>
          <w:b/>
          <w:bCs/>
        </w:rPr>
        <w:t>Privātais patēriņš</w:t>
      </w:r>
      <w:r w:rsidRPr="002869EC">
        <w:rPr>
          <w:rFonts w:eastAsia="Aptos" w:cs="Times New Roman"/>
        </w:rPr>
        <w:t xml:space="preserve"> 2024. gadā palielināsies par 1,6%. līdz ar inflācijas atgriešanos mērķa līmenī un pirktspējas atjaunošanos. Nākamajos gados, patērētāju konfidencei uzlabojoties un vienlaikus saglabājoties spēcīgiem darba samaksas pieauguma tempiem, privātā patēriņa pieaugums kļūs straujāks, 2025. gadā sasniedzot 1,8% un nākamajos divos gados palielinoties līdz 2%. Privātā patēriņa pieaugumu veicinās arī procentu likmju mazināšanās, mazinot noguldījumu pievilcību. Privātā patēriņa devums IKP izaugsmē būs ap 1 </w:t>
      </w:r>
      <w:r w:rsidRPr="002869EC">
        <w:rPr>
          <w:rFonts w:eastAsia="Aptos" w:cs="Times New Roman"/>
        </w:rPr>
        <w:lastRenderedPageBreak/>
        <w:t>procentpunktu, īpatsvaram pakāpeniski palielinoties un līdz 2028.</w:t>
      </w:r>
      <w:r w:rsidR="00013CAB" w:rsidRPr="002869EC">
        <w:rPr>
          <w:rFonts w:eastAsia="Aptos" w:cs="Times New Roman"/>
        </w:rPr>
        <w:t> </w:t>
      </w:r>
      <w:r w:rsidRPr="002869EC">
        <w:rPr>
          <w:rFonts w:eastAsia="Aptos" w:cs="Times New Roman"/>
        </w:rPr>
        <w:t xml:space="preserve">gadam pietuvojoties 1,5 procentpunktiem. </w:t>
      </w:r>
      <w:r w:rsidRPr="002869EC">
        <w:rPr>
          <w:rFonts w:eastAsia="Aptos" w:cs="Times New Roman"/>
          <w:b/>
          <w:bCs/>
        </w:rPr>
        <w:t>Sabiedriskais patēriņš</w:t>
      </w:r>
      <w:r w:rsidRPr="002869EC">
        <w:rPr>
          <w:rFonts w:eastAsia="Aptos" w:cs="Times New Roman"/>
        </w:rPr>
        <w:t xml:space="preserve">, ko veicina algu pieaugums sabiedriskajā sektora darbiniekiem, pirmām kārtām </w:t>
      </w:r>
      <w:proofErr w:type="spellStart"/>
      <w:r w:rsidRPr="002869EC">
        <w:rPr>
          <w:rFonts w:eastAsia="Aptos" w:cs="Times New Roman"/>
        </w:rPr>
        <w:t>iekšlietu</w:t>
      </w:r>
      <w:proofErr w:type="spellEnd"/>
      <w:r w:rsidRPr="002869EC">
        <w:rPr>
          <w:rFonts w:eastAsia="Aptos" w:cs="Times New Roman"/>
        </w:rPr>
        <w:t xml:space="preserve"> un izglītības nozarēs, kā arī aizsardzības izdevumu palielinājums, 2024. gadā pieaugs par 4,6%, bet vēlākos gados pieaugums kļūs mērenāks un stabilizēsies ap 2% gadā.</w:t>
      </w:r>
    </w:p>
    <w:p w14:paraId="7FB3C09E" w14:textId="77777777" w:rsidR="00074880" w:rsidRPr="002869EC" w:rsidRDefault="00074880" w:rsidP="006357B3">
      <w:pPr>
        <w:spacing w:line="240" w:lineRule="auto"/>
        <w:rPr>
          <w:rFonts w:eastAsia="Aptos" w:cs="Times New Roman"/>
        </w:rPr>
      </w:pPr>
      <w:r w:rsidRPr="002869EC">
        <w:rPr>
          <w:rFonts w:eastAsia="Aptos" w:cs="Times New Roman"/>
          <w:b/>
          <w:bCs/>
        </w:rPr>
        <w:t>Investīciju</w:t>
      </w:r>
      <w:r w:rsidRPr="002869EC">
        <w:rPr>
          <w:rFonts w:eastAsia="Aptos" w:cs="Times New Roman"/>
        </w:rPr>
        <w:t xml:space="preserve"> pieaugums 2024. gadā būs neliels (0,3%) ES finansējuma apguves kavēšanās dēļ, bet 2025. gadā investīcijas pieaugs par 4,5%, pateicoties aktīvākai ES fondu projektu ieviešanai un lieliem infrastruktūras projektiem, tajā skaitā </w:t>
      </w:r>
      <w:r w:rsidRPr="002869EC">
        <w:rPr>
          <w:rFonts w:eastAsia="Aptos" w:cs="Times New Roman"/>
          <w:i/>
          <w:iCs/>
        </w:rPr>
        <w:t xml:space="preserve">Rail </w:t>
      </w:r>
      <w:proofErr w:type="spellStart"/>
      <w:r w:rsidRPr="002869EC">
        <w:rPr>
          <w:rFonts w:eastAsia="Aptos" w:cs="Times New Roman"/>
          <w:i/>
          <w:iCs/>
        </w:rPr>
        <w:t>Baltica</w:t>
      </w:r>
      <w:proofErr w:type="spellEnd"/>
      <w:r w:rsidRPr="002869EC">
        <w:rPr>
          <w:rFonts w:eastAsia="Aptos" w:cs="Times New Roman"/>
        </w:rPr>
        <w:t>. Nākamajos gados investīcijas pieaugs par aptuveni 2% gadā. Eksports 2024. gadā būs stabils, pieaugot par 0,3%, bet 2025. gadā pieaugums paātrināsies līdz 3,2%.</w:t>
      </w:r>
    </w:p>
    <w:p w14:paraId="2DF15CF8" w14:textId="77777777" w:rsidR="00074880" w:rsidRPr="002869EC" w:rsidRDefault="00074880" w:rsidP="006357B3">
      <w:pPr>
        <w:spacing w:line="240" w:lineRule="auto"/>
        <w:rPr>
          <w:rFonts w:eastAsia="Aptos" w:cs="Times New Roman"/>
        </w:rPr>
      </w:pPr>
      <w:r w:rsidRPr="002869EC">
        <w:rPr>
          <w:rFonts w:eastAsia="Aptos" w:cs="Times New Roman"/>
          <w:b/>
          <w:bCs/>
        </w:rPr>
        <w:t>Inflācija</w:t>
      </w:r>
      <w:r w:rsidRPr="002869EC">
        <w:rPr>
          <w:rFonts w:eastAsia="Aptos" w:cs="Times New Roman"/>
        </w:rPr>
        <w:t xml:space="preserve"> 2024. gadā samazināsies līdz 1,2%, bet 2025. gadā tā pieaugs līdz 2,2%, stabilizējoties ap 2,5% līdz 2028. gadam. Inflācijas dinamiku noteiks energoresursu cenu stabilizācija, kas mazinās ražošanas un transporta izmaksas, un ārējo faktoru, piemēram, lēnākas globālās izaugsmes, vājinātajam spiedienam uz importēto inflāciju. Scenārijs paredz, ka algu kāpums neradīs būtisku inflācijas spiedienu, jo to kompensēs produktivitātes kāpums. Arī privātā un sabiedriskā patēriņa izaugsme būs mērena, kas neizraisīs strauju pieprasījuma pieaugumu, tādējādi palīdzot inflācijai stabilizēties ap 2,5% līmenī līdz 2028. gadam.</w:t>
      </w:r>
    </w:p>
    <w:p w14:paraId="1F885B68" w14:textId="77777777" w:rsidR="00074880" w:rsidRPr="002869EC" w:rsidRDefault="00074880" w:rsidP="006357B3">
      <w:pPr>
        <w:spacing w:line="240" w:lineRule="auto"/>
        <w:rPr>
          <w:rFonts w:eastAsia="Aptos" w:cs="Times New Roman"/>
        </w:rPr>
      </w:pPr>
      <w:r w:rsidRPr="002869EC">
        <w:rPr>
          <w:rFonts w:eastAsia="Aptos" w:cs="Times New Roman"/>
        </w:rPr>
        <w:t xml:space="preserve">2024. gada sākumā mēneša vidējā </w:t>
      </w:r>
      <w:r w:rsidRPr="002869EC">
        <w:rPr>
          <w:rFonts w:eastAsia="Aptos" w:cs="Times New Roman"/>
          <w:b/>
          <w:bCs/>
        </w:rPr>
        <w:t>darba samaksa</w:t>
      </w:r>
      <w:r w:rsidRPr="002869EC">
        <w:rPr>
          <w:rFonts w:eastAsia="Aptos" w:cs="Times New Roman"/>
        </w:rPr>
        <w:t xml:space="preserve"> turpināja strauji pieaugt, ko veicināja minimālās algas palielināšana un valsts budžeta izdevumi sabiedriskajā sektorā. Tiek prognozēts, ka 2024. gadā vidējā bruto darba samaksa pieaugs par 7,7%, bet 2025. gadā par 6,3%. Vidējā termiņā algu pieauguma temps stabilizēsies ap 5%, pielāgojoties produktivitātes pieaugumam.</w:t>
      </w:r>
    </w:p>
    <w:p w14:paraId="0F864D48" w14:textId="5E4AEF5C" w:rsidR="0034054B" w:rsidRPr="002869EC" w:rsidRDefault="00074880" w:rsidP="006357B3">
      <w:pPr>
        <w:spacing w:line="240" w:lineRule="auto"/>
        <w:rPr>
          <w:rFonts w:eastAsia="Aptos" w:cs="Times New Roman"/>
        </w:rPr>
      </w:pPr>
      <w:r w:rsidRPr="002869EC">
        <w:rPr>
          <w:rFonts w:eastAsia="Aptos" w:cs="Times New Roman"/>
          <w:b/>
          <w:bCs/>
        </w:rPr>
        <w:t>Bezdarba līmenis</w:t>
      </w:r>
      <w:r w:rsidRPr="002869EC">
        <w:rPr>
          <w:rFonts w:eastAsia="Aptos" w:cs="Times New Roman"/>
        </w:rPr>
        <w:t>, kas pieauga 2023. gada beigās un 2024. gada sākumā, tiek prognozēts 6,7% apmērā 2024. gadā un 6,3% 2025. gadā. Līdz 2028. gadam bezdarbs pakāpeniski samazināsies līdz 5,0%, galvenokārt darbaspējas vecuma iedzīvotāju skaita samazināšanās un ekonomikas izaugsmes atjaunošanās dēļ. Nodarbināto skaits saglabāsies stabils, ap 884 tūkst</w:t>
      </w:r>
      <w:r w:rsidR="00013CAB" w:rsidRPr="002869EC">
        <w:rPr>
          <w:rFonts w:eastAsia="Aptos" w:cs="Times New Roman"/>
        </w:rPr>
        <w:t>.</w:t>
      </w:r>
      <w:r w:rsidRPr="002869EC">
        <w:rPr>
          <w:rFonts w:eastAsia="Aptos" w:cs="Times New Roman"/>
        </w:rPr>
        <w:t>, ar nelielu samazinājuma tendenci līdz 2028. gadam.</w:t>
      </w:r>
    </w:p>
    <w:p w14:paraId="798B8C7B" w14:textId="569F41E0" w:rsidR="00074880" w:rsidRPr="002869EC" w:rsidRDefault="0034054B" w:rsidP="006357B3">
      <w:pPr>
        <w:spacing w:line="240" w:lineRule="auto"/>
        <w:ind w:firstLine="0"/>
        <w:jc w:val="right"/>
        <w:rPr>
          <w:rFonts w:eastAsia="Calibri" w:cs="Times New Roman"/>
          <w:b/>
          <w:bCs/>
          <w:szCs w:val="24"/>
        </w:rPr>
      </w:pPr>
      <w:r w:rsidRPr="00BB31A6">
        <w:rPr>
          <w:rFonts w:eastAsia="Calibri" w:cs="Times New Roman"/>
          <w:b/>
          <w:bCs/>
          <w:szCs w:val="24"/>
        </w:rPr>
        <w:t>A</w:t>
      </w:r>
      <w:r w:rsidR="00074880" w:rsidRPr="00BB31A6">
        <w:rPr>
          <w:rFonts w:eastAsia="Calibri" w:cs="Times New Roman"/>
          <w:b/>
          <w:bCs/>
          <w:szCs w:val="24"/>
        </w:rPr>
        <w:t>.</w:t>
      </w:r>
      <w:r w:rsidR="00074880" w:rsidRPr="00234244">
        <w:rPr>
          <w:rFonts w:eastAsia="Calibri" w:cs="Times New Roman"/>
          <w:b/>
          <w:bCs/>
          <w:szCs w:val="24"/>
        </w:rPr>
        <w:t xml:space="preserve"> tabula</w:t>
      </w:r>
      <w:r w:rsidR="00074880" w:rsidRPr="002869EC">
        <w:rPr>
          <w:rFonts w:eastAsia="Calibri" w:cs="Times New Roman"/>
          <w:b/>
          <w:bCs/>
          <w:szCs w:val="24"/>
        </w:rPr>
        <w:t xml:space="preserve">. Makroekonomiskie rādītāji 2023. – 2028. gadā </w:t>
      </w:r>
    </w:p>
    <w:tbl>
      <w:tblPr>
        <w:tblW w:w="5000" w:type="pct"/>
        <w:jc w:val="center"/>
        <w:tblLayout w:type="fixed"/>
        <w:tblCellMar>
          <w:left w:w="85" w:type="dxa"/>
          <w:right w:w="85" w:type="dxa"/>
        </w:tblCellMar>
        <w:tblLook w:val="04A0" w:firstRow="1" w:lastRow="0" w:firstColumn="1" w:lastColumn="0" w:noHBand="0" w:noVBand="1"/>
      </w:tblPr>
      <w:tblGrid>
        <w:gridCol w:w="3400"/>
        <w:gridCol w:w="889"/>
        <w:gridCol w:w="954"/>
        <w:gridCol w:w="955"/>
        <w:gridCol w:w="954"/>
        <w:gridCol w:w="955"/>
        <w:gridCol w:w="954"/>
      </w:tblGrid>
      <w:tr w:rsidR="00074880" w:rsidRPr="002869EC" w14:paraId="665B9065" w14:textId="77777777" w:rsidTr="000C5CF0">
        <w:trPr>
          <w:trHeight w:val="300"/>
          <w:jc w:val="center"/>
        </w:trPr>
        <w:tc>
          <w:tcPr>
            <w:tcW w:w="311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9994BB5" w14:textId="77777777" w:rsidR="00074880" w:rsidRPr="008B0C5E" w:rsidRDefault="00074880" w:rsidP="006357B3">
            <w:pPr>
              <w:spacing w:line="240" w:lineRule="auto"/>
              <w:ind w:firstLine="0"/>
              <w:rPr>
                <w:rFonts w:eastAsia="Calibri" w:cs="Times New Roman"/>
                <w:sz w:val="18"/>
                <w:szCs w:val="18"/>
                <w:lang w:eastAsia="lv-LV"/>
              </w:rPr>
            </w:pPr>
          </w:p>
        </w:tc>
        <w:tc>
          <w:tcPr>
            <w:tcW w:w="815" w:type="dxa"/>
            <w:tcBorders>
              <w:top w:val="single" w:sz="4" w:space="0" w:color="auto"/>
              <w:left w:val="nil"/>
              <w:bottom w:val="single" w:sz="4" w:space="0" w:color="auto"/>
              <w:right w:val="single" w:sz="4" w:space="0" w:color="auto"/>
            </w:tcBorders>
            <w:shd w:val="clear" w:color="auto" w:fill="BDD6EE"/>
            <w:noWrap/>
            <w:vAlign w:val="center"/>
            <w:hideMark/>
          </w:tcPr>
          <w:p w14:paraId="08FA56DE" w14:textId="77777777" w:rsidR="00074880" w:rsidRPr="008B0C5E" w:rsidRDefault="00074880" w:rsidP="006357B3">
            <w:pPr>
              <w:spacing w:line="240" w:lineRule="auto"/>
              <w:ind w:firstLine="0"/>
              <w:jc w:val="center"/>
              <w:rPr>
                <w:rFonts w:eastAsia="Calibri" w:cs="Times New Roman"/>
                <w:b/>
                <w:bCs/>
                <w:sz w:val="18"/>
                <w:szCs w:val="18"/>
                <w:lang w:eastAsia="lv-LV"/>
              </w:rPr>
            </w:pPr>
            <w:r w:rsidRPr="008B0C5E">
              <w:rPr>
                <w:rFonts w:eastAsia="Calibri" w:cs="Times New Roman"/>
                <w:b/>
                <w:bCs/>
                <w:sz w:val="18"/>
                <w:szCs w:val="18"/>
                <w:lang w:eastAsia="lv-LV"/>
              </w:rPr>
              <w:t>2023</w:t>
            </w:r>
          </w:p>
        </w:tc>
        <w:tc>
          <w:tcPr>
            <w:tcW w:w="873" w:type="dxa"/>
            <w:tcBorders>
              <w:top w:val="single" w:sz="4" w:space="0" w:color="auto"/>
              <w:left w:val="nil"/>
              <w:bottom w:val="single" w:sz="4" w:space="0" w:color="auto"/>
              <w:right w:val="single" w:sz="4" w:space="0" w:color="auto"/>
            </w:tcBorders>
            <w:shd w:val="clear" w:color="auto" w:fill="BDD6EE"/>
            <w:noWrap/>
            <w:vAlign w:val="center"/>
          </w:tcPr>
          <w:p w14:paraId="06E33CB9" w14:textId="77777777" w:rsidR="00074880" w:rsidRPr="008B0C5E" w:rsidRDefault="00074880" w:rsidP="006357B3">
            <w:pPr>
              <w:spacing w:line="240" w:lineRule="auto"/>
              <w:ind w:firstLine="0"/>
              <w:jc w:val="center"/>
              <w:rPr>
                <w:rFonts w:eastAsia="Calibri" w:cs="Times New Roman"/>
                <w:b/>
                <w:bCs/>
                <w:sz w:val="18"/>
                <w:szCs w:val="18"/>
                <w:lang w:eastAsia="lv-LV"/>
              </w:rPr>
            </w:pPr>
            <w:r w:rsidRPr="008B0C5E">
              <w:rPr>
                <w:rFonts w:eastAsia="Calibri" w:cs="Times New Roman"/>
                <w:b/>
                <w:bCs/>
                <w:sz w:val="18"/>
                <w:szCs w:val="18"/>
                <w:lang w:eastAsia="lv-LV"/>
              </w:rPr>
              <w:t>2024</w:t>
            </w:r>
          </w:p>
        </w:tc>
        <w:tc>
          <w:tcPr>
            <w:tcW w:w="874" w:type="dxa"/>
            <w:tcBorders>
              <w:top w:val="single" w:sz="4" w:space="0" w:color="auto"/>
              <w:left w:val="nil"/>
              <w:bottom w:val="single" w:sz="4" w:space="0" w:color="auto"/>
              <w:right w:val="single" w:sz="4" w:space="0" w:color="auto"/>
            </w:tcBorders>
            <w:shd w:val="clear" w:color="auto" w:fill="BDD6EE"/>
            <w:noWrap/>
            <w:vAlign w:val="center"/>
          </w:tcPr>
          <w:p w14:paraId="569D2FEA" w14:textId="77777777" w:rsidR="00074880" w:rsidRPr="008B0C5E" w:rsidRDefault="00074880" w:rsidP="006357B3">
            <w:pPr>
              <w:spacing w:line="240" w:lineRule="auto"/>
              <w:ind w:firstLine="0"/>
              <w:jc w:val="center"/>
              <w:rPr>
                <w:rFonts w:eastAsia="Calibri" w:cs="Times New Roman"/>
                <w:b/>
                <w:bCs/>
                <w:sz w:val="18"/>
                <w:szCs w:val="18"/>
                <w:lang w:eastAsia="lv-LV"/>
              </w:rPr>
            </w:pPr>
            <w:r w:rsidRPr="008B0C5E">
              <w:rPr>
                <w:rFonts w:eastAsia="Calibri" w:cs="Times New Roman"/>
                <w:b/>
                <w:bCs/>
                <w:sz w:val="18"/>
                <w:szCs w:val="18"/>
                <w:lang w:eastAsia="lv-LV"/>
              </w:rPr>
              <w:t>2025</w:t>
            </w:r>
          </w:p>
        </w:tc>
        <w:tc>
          <w:tcPr>
            <w:tcW w:w="873" w:type="dxa"/>
            <w:tcBorders>
              <w:top w:val="single" w:sz="4" w:space="0" w:color="auto"/>
              <w:left w:val="nil"/>
              <w:bottom w:val="single" w:sz="4" w:space="0" w:color="auto"/>
              <w:right w:val="single" w:sz="4" w:space="0" w:color="auto"/>
            </w:tcBorders>
            <w:shd w:val="clear" w:color="auto" w:fill="BDD6EE"/>
            <w:noWrap/>
            <w:vAlign w:val="center"/>
          </w:tcPr>
          <w:p w14:paraId="67441260" w14:textId="77777777" w:rsidR="00074880" w:rsidRPr="008B0C5E" w:rsidRDefault="00074880" w:rsidP="006357B3">
            <w:pPr>
              <w:spacing w:line="240" w:lineRule="auto"/>
              <w:ind w:firstLine="0"/>
              <w:jc w:val="center"/>
              <w:rPr>
                <w:rFonts w:eastAsia="Calibri" w:cs="Times New Roman"/>
                <w:b/>
                <w:bCs/>
                <w:sz w:val="18"/>
                <w:szCs w:val="18"/>
                <w:lang w:eastAsia="lv-LV"/>
              </w:rPr>
            </w:pPr>
            <w:r w:rsidRPr="008B0C5E">
              <w:rPr>
                <w:rFonts w:eastAsia="Calibri" w:cs="Times New Roman"/>
                <w:b/>
                <w:bCs/>
                <w:sz w:val="18"/>
                <w:szCs w:val="18"/>
                <w:lang w:eastAsia="lv-LV"/>
              </w:rPr>
              <w:t>2026</w:t>
            </w:r>
          </w:p>
        </w:tc>
        <w:tc>
          <w:tcPr>
            <w:tcW w:w="874" w:type="dxa"/>
            <w:tcBorders>
              <w:top w:val="single" w:sz="4" w:space="0" w:color="auto"/>
              <w:left w:val="nil"/>
              <w:bottom w:val="single" w:sz="4" w:space="0" w:color="auto"/>
              <w:right w:val="single" w:sz="4" w:space="0" w:color="auto"/>
            </w:tcBorders>
            <w:shd w:val="clear" w:color="auto" w:fill="BDD6EE"/>
            <w:noWrap/>
            <w:vAlign w:val="center"/>
          </w:tcPr>
          <w:p w14:paraId="3981DC12" w14:textId="77777777" w:rsidR="00074880" w:rsidRPr="008B0C5E" w:rsidRDefault="00074880" w:rsidP="006357B3">
            <w:pPr>
              <w:spacing w:line="240" w:lineRule="auto"/>
              <w:ind w:firstLine="0"/>
              <w:jc w:val="center"/>
              <w:rPr>
                <w:rFonts w:eastAsia="Calibri" w:cs="Times New Roman"/>
                <w:b/>
                <w:bCs/>
                <w:sz w:val="18"/>
                <w:szCs w:val="18"/>
                <w:lang w:eastAsia="lv-LV"/>
              </w:rPr>
            </w:pPr>
            <w:r w:rsidRPr="008B0C5E">
              <w:rPr>
                <w:rFonts w:eastAsia="Calibri" w:cs="Times New Roman"/>
                <w:b/>
                <w:bCs/>
                <w:sz w:val="18"/>
                <w:szCs w:val="18"/>
                <w:lang w:eastAsia="lv-LV"/>
              </w:rPr>
              <w:t>2027</w:t>
            </w:r>
          </w:p>
        </w:tc>
        <w:tc>
          <w:tcPr>
            <w:tcW w:w="873" w:type="dxa"/>
            <w:tcBorders>
              <w:top w:val="single" w:sz="4" w:space="0" w:color="auto"/>
              <w:left w:val="nil"/>
              <w:bottom w:val="single" w:sz="4" w:space="0" w:color="auto"/>
              <w:right w:val="single" w:sz="4" w:space="0" w:color="auto"/>
            </w:tcBorders>
            <w:shd w:val="clear" w:color="auto" w:fill="BDD6EE"/>
            <w:vAlign w:val="center"/>
          </w:tcPr>
          <w:p w14:paraId="45E4674B" w14:textId="77777777" w:rsidR="00074880" w:rsidRPr="008B0C5E" w:rsidRDefault="00074880" w:rsidP="006357B3">
            <w:pPr>
              <w:spacing w:line="240" w:lineRule="auto"/>
              <w:ind w:firstLine="0"/>
              <w:jc w:val="center"/>
              <w:rPr>
                <w:rFonts w:eastAsia="Calibri" w:cs="Times New Roman"/>
                <w:b/>
                <w:bCs/>
                <w:sz w:val="18"/>
                <w:szCs w:val="18"/>
                <w:lang w:eastAsia="lv-LV"/>
              </w:rPr>
            </w:pPr>
            <w:r w:rsidRPr="008B0C5E">
              <w:rPr>
                <w:rFonts w:eastAsia="Calibri" w:cs="Times New Roman"/>
                <w:b/>
                <w:bCs/>
                <w:sz w:val="18"/>
                <w:szCs w:val="18"/>
                <w:lang w:eastAsia="lv-LV"/>
              </w:rPr>
              <w:t>2028</w:t>
            </w:r>
          </w:p>
        </w:tc>
      </w:tr>
      <w:tr w:rsidR="00074880" w:rsidRPr="002869EC" w14:paraId="52210C23" w14:textId="77777777" w:rsidTr="002F3168">
        <w:trPr>
          <w:trHeight w:val="300"/>
          <w:jc w:val="cent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F5EF6" w14:textId="77777777" w:rsidR="00074880" w:rsidRPr="008B0C5E" w:rsidRDefault="00074880" w:rsidP="006357B3">
            <w:pPr>
              <w:spacing w:line="240" w:lineRule="auto"/>
              <w:ind w:firstLine="0"/>
              <w:rPr>
                <w:rFonts w:eastAsia="Calibri" w:cs="Times New Roman"/>
                <w:sz w:val="18"/>
                <w:szCs w:val="18"/>
                <w:lang w:eastAsia="lv-LV"/>
              </w:rPr>
            </w:pPr>
          </w:p>
        </w:tc>
        <w:tc>
          <w:tcPr>
            <w:tcW w:w="815" w:type="dxa"/>
            <w:tcBorders>
              <w:top w:val="single" w:sz="4" w:space="0" w:color="auto"/>
              <w:left w:val="nil"/>
              <w:bottom w:val="single" w:sz="4" w:space="0" w:color="auto"/>
              <w:right w:val="single" w:sz="4" w:space="0" w:color="auto"/>
            </w:tcBorders>
            <w:shd w:val="clear" w:color="auto" w:fill="auto"/>
            <w:noWrap/>
            <w:vAlign w:val="center"/>
          </w:tcPr>
          <w:p w14:paraId="05AAEF45" w14:textId="77777777" w:rsidR="00074880" w:rsidRPr="008B0C5E" w:rsidRDefault="00074880" w:rsidP="006357B3">
            <w:pPr>
              <w:spacing w:line="240" w:lineRule="auto"/>
              <w:ind w:firstLine="0"/>
              <w:jc w:val="center"/>
              <w:rPr>
                <w:rFonts w:eastAsia="Calibri" w:cs="Times New Roman"/>
                <w:sz w:val="18"/>
                <w:szCs w:val="18"/>
                <w:lang w:eastAsia="lv-LV"/>
              </w:rPr>
            </w:pPr>
            <w:r w:rsidRPr="008B0C5E">
              <w:rPr>
                <w:rFonts w:eastAsia="Calibri" w:cs="Times New Roman"/>
                <w:sz w:val="18"/>
                <w:szCs w:val="18"/>
                <w:lang w:eastAsia="lv-LV"/>
              </w:rPr>
              <w:t>fakts</w:t>
            </w:r>
          </w:p>
        </w:tc>
        <w:tc>
          <w:tcPr>
            <w:tcW w:w="4367" w:type="dxa"/>
            <w:gridSpan w:val="5"/>
            <w:tcBorders>
              <w:top w:val="single" w:sz="4" w:space="0" w:color="auto"/>
              <w:left w:val="nil"/>
              <w:bottom w:val="single" w:sz="4" w:space="0" w:color="auto"/>
              <w:right w:val="single" w:sz="4" w:space="0" w:color="auto"/>
            </w:tcBorders>
            <w:shd w:val="clear" w:color="auto" w:fill="DEEAF6"/>
            <w:noWrap/>
            <w:vAlign w:val="center"/>
          </w:tcPr>
          <w:p w14:paraId="09A9CCC3" w14:textId="77777777" w:rsidR="00074880" w:rsidRPr="008B0C5E" w:rsidRDefault="00074880" w:rsidP="006357B3">
            <w:pPr>
              <w:spacing w:line="240" w:lineRule="auto"/>
              <w:ind w:firstLine="0"/>
              <w:jc w:val="center"/>
              <w:rPr>
                <w:rFonts w:eastAsia="Calibri" w:cs="Times New Roman"/>
                <w:sz w:val="18"/>
                <w:szCs w:val="18"/>
                <w:lang w:eastAsia="lv-LV"/>
              </w:rPr>
            </w:pPr>
            <w:r w:rsidRPr="008B0C5E">
              <w:rPr>
                <w:rFonts w:eastAsia="Calibri" w:cs="Times New Roman"/>
                <w:sz w:val="18"/>
                <w:szCs w:val="18"/>
                <w:lang w:eastAsia="lv-LV"/>
              </w:rPr>
              <w:t>prognoze</w:t>
            </w:r>
          </w:p>
        </w:tc>
      </w:tr>
      <w:tr w:rsidR="00074880" w:rsidRPr="002869EC" w14:paraId="0820F66D" w14:textId="77777777" w:rsidTr="002F3168">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8DB7680" w14:textId="12DD383A" w:rsidR="00074880" w:rsidRPr="008B0C5E" w:rsidRDefault="00EE7219" w:rsidP="006357B3">
            <w:pPr>
              <w:spacing w:line="240" w:lineRule="auto"/>
              <w:ind w:firstLine="0"/>
              <w:jc w:val="left"/>
              <w:rPr>
                <w:rFonts w:eastAsia="Calibri" w:cs="Times New Roman"/>
                <w:sz w:val="18"/>
                <w:szCs w:val="18"/>
                <w:lang w:eastAsia="lv-LV"/>
              </w:rPr>
            </w:pPr>
            <w:r w:rsidRPr="008B0C5E">
              <w:rPr>
                <w:rFonts w:eastAsia="Calibri" w:cs="Times New Roman"/>
                <w:sz w:val="18"/>
                <w:szCs w:val="18"/>
                <w:lang w:eastAsia="lv-LV"/>
              </w:rPr>
              <w:t>IKP</w:t>
            </w:r>
            <w:r w:rsidR="00074880" w:rsidRPr="008B0C5E">
              <w:rPr>
                <w:rFonts w:eastAsia="Calibri" w:cs="Times New Roman"/>
                <w:sz w:val="18"/>
                <w:szCs w:val="18"/>
                <w:lang w:eastAsia="lv-LV"/>
              </w:rPr>
              <w:t xml:space="preserve">, milj. </w:t>
            </w:r>
            <w:proofErr w:type="spellStart"/>
            <w:r w:rsidR="00074880" w:rsidRPr="008B0C5E">
              <w:rPr>
                <w:rFonts w:eastAsia="Calibri" w:cs="Times New Roman"/>
                <w:i/>
                <w:sz w:val="18"/>
                <w:szCs w:val="18"/>
                <w:lang w:eastAsia="lv-LV"/>
              </w:rPr>
              <w:t>euro</w:t>
            </w:r>
            <w:proofErr w:type="spellEnd"/>
          </w:p>
        </w:tc>
        <w:tc>
          <w:tcPr>
            <w:tcW w:w="815" w:type="dxa"/>
            <w:tcBorders>
              <w:top w:val="single" w:sz="4" w:space="0" w:color="auto"/>
              <w:left w:val="nil"/>
              <w:bottom w:val="single" w:sz="4" w:space="0" w:color="auto"/>
              <w:right w:val="single" w:sz="4" w:space="0" w:color="auto"/>
            </w:tcBorders>
            <w:shd w:val="clear" w:color="auto" w:fill="auto"/>
            <w:noWrap/>
            <w:tcMar>
              <w:right w:w="170" w:type="dxa"/>
            </w:tcMar>
            <w:vAlign w:val="center"/>
          </w:tcPr>
          <w:p w14:paraId="765DF9E4"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40 348</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0E48A787"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41 894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144F97B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44 379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4C7C5817"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46 836</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594C59EC"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49 349</w:t>
            </w:r>
          </w:p>
        </w:tc>
        <w:tc>
          <w:tcPr>
            <w:tcW w:w="873" w:type="dxa"/>
            <w:tcBorders>
              <w:top w:val="nil"/>
              <w:left w:val="nil"/>
              <w:bottom w:val="single" w:sz="4" w:space="0" w:color="auto"/>
              <w:right w:val="single" w:sz="4" w:space="0" w:color="auto"/>
            </w:tcBorders>
            <w:shd w:val="clear" w:color="auto" w:fill="DEEAF6"/>
            <w:vAlign w:val="center"/>
          </w:tcPr>
          <w:p w14:paraId="61229E54"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51 851</w:t>
            </w:r>
          </w:p>
        </w:tc>
      </w:tr>
      <w:tr w:rsidR="00074880" w:rsidRPr="002869EC" w14:paraId="4DE7D008" w14:textId="77777777" w:rsidTr="002F3168">
        <w:trPr>
          <w:trHeight w:val="235"/>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39A7B60" w14:textId="77777777" w:rsidR="00074880" w:rsidRPr="008B0C5E" w:rsidRDefault="00074880" w:rsidP="006357B3">
            <w:pPr>
              <w:spacing w:line="240" w:lineRule="auto"/>
              <w:ind w:left="174" w:firstLine="0"/>
              <w:jc w:val="left"/>
              <w:rPr>
                <w:rFonts w:eastAsia="Calibri" w:cs="Times New Roman"/>
                <w:sz w:val="18"/>
                <w:szCs w:val="18"/>
                <w:lang w:eastAsia="lv-LV"/>
              </w:rPr>
            </w:pPr>
            <w:r w:rsidRPr="008B0C5E">
              <w:rPr>
                <w:rFonts w:eastAsia="Calibri" w:cs="Times New Roman"/>
                <w:sz w:val="18"/>
                <w:szCs w:val="18"/>
                <w:lang w:eastAsia="lv-LV"/>
              </w:rPr>
              <w:t>izmaiņas faktiskajās cenās, %</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087C1288"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5,1</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1ADF9A3D"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3,8</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0F2CDDCB"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4745811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5,5</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50767971"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5,4</w:t>
            </w:r>
          </w:p>
        </w:tc>
        <w:tc>
          <w:tcPr>
            <w:tcW w:w="873" w:type="dxa"/>
            <w:tcBorders>
              <w:top w:val="nil"/>
              <w:left w:val="nil"/>
              <w:bottom w:val="single" w:sz="4" w:space="0" w:color="auto"/>
              <w:right w:val="single" w:sz="4" w:space="0" w:color="auto"/>
            </w:tcBorders>
            <w:shd w:val="clear" w:color="auto" w:fill="DEEAF6"/>
            <w:vAlign w:val="center"/>
          </w:tcPr>
          <w:p w14:paraId="6C1DCA53"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5,1</w:t>
            </w:r>
          </w:p>
        </w:tc>
      </w:tr>
      <w:tr w:rsidR="00074880" w:rsidRPr="002869EC" w14:paraId="39B603EC" w14:textId="77777777" w:rsidTr="002F3168">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124A2BD" w14:textId="77777777" w:rsidR="00074880" w:rsidRPr="008B0C5E" w:rsidRDefault="00074880" w:rsidP="006357B3">
            <w:pPr>
              <w:spacing w:line="240" w:lineRule="auto"/>
              <w:ind w:left="174" w:firstLine="0"/>
              <w:jc w:val="left"/>
              <w:rPr>
                <w:rFonts w:eastAsia="Calibri" w:cs="Times New Roman"/>
                <w:sz w:val="18"/>
                <w:szCs w:val="18"/>
                <w:lang w:eastAsia="lv-LV"/>
              </w:rPr>
            </w:pPr>
            <w:r w:rsidRPr="008B0C5E">
              <w:rPr>
                <w:rFonts w:eastAsia="Calibri" w:cs="Times New Roman"/>
                <w:sz w:val="18"/>
                <w:szCs w:val="18"/>
                <w:lang w:eastAsia="lv-LV"/>
              </w:rPr>
              <w:t xml:space="preserve">izmaiņas </w:t>
            </w:r>
            <w:proofErr w:type="spellStart"/>
            <w:r w:rsidRPr="008B0C5E">
              <w:rPr>
                <w:rFonts w:eastAsia="Calibri" w:cs="Times New Roman"/>
                <w:sz w:val="18"/>
                <w:szCs w:val="18"/>
                <w:lang w:eastAsia="lv-LV"/>
              </w:rPr>
              <w:t>salīdzin</w:t>
            </w:r>
            <w:proofErr w:type="spellEnd"/>
            <w:r w:rsidRPr="008B0C5E">
              <w:rPr>
                <w:rFonts w:eastAsia="Calibri" w:cs="Times New Roman"/>
                <w:sz w:val="18"/>
                <w:szCs w:val="18"/>
                <w:lang w:eastAsia="lv-LV"/>
              </w:rPr>
              <w:t>. cenās, %</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058412B7"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-0,3</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36CEB918"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339F938E"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0BEC6D28"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2,8</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08243E5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2,6</w:t>
            </w:r>
          </w:p>
        </w:tc>
        <w:tc>
          <w:tcPr>
            <w:tcW w:w="873" w:type="dxa"/>
            <w:tcBorders>
              <w:top w:val="nil"/>
              <w:left w:val="nil"/>
              <w:bottom w:val="single" w:sz="4" w:space="0" w:color="auto"/>
              <w:right w:val="single" w:sz="4" w:space="0" w:color="auto"/>
            </w:tcBorders>
            <w:shd w:val="clear" w:color="auto" w:fill="DEEAF6"/>
            <w:vAlign w:val="center"/>
          </w:tcPr>
          <w:p w14:paraId="71789340"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2,3</w:t>
            </w:r>
          </w:p>
        </w:tc>
      </w:tr>
      <w:tr w:rsidR="00074880" w:rsidRPr="002869EC" w14:paraId="3D08F25C" w14:textId="77777777" w:rsidTr="002F3168">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6C15060" w14:textId="77777777" w:rsidR="00074880" w:rsidRPr="008B0C5E" w:rsidRDefault="00074880" w:rsidP="006357B3">
            <w:pPr>
              <w:spacing w:line="240" w:lineRule="auto"/>
              <w:ind w:left="174" w:firstLine="0"/>
              <w:jc w:val="left"/>
              <w:rPr>
                <w:rFonts w:eastAsia="Calibri" w:cs="Times New Roman"/>
                <w:sz w:val="18"/>
                <w:szCs w:val="18"/>
                <w:lang w:eastAsia="lv-LV"/>
              </w:rPr>
            </w:pPr>
            <w:proofErr w:type="spellStart"/>
            <w:r w:rsidRPr="008B0C5E">
              <w:rPr>
                <w:rFonts w:eastAsia="Calibri" w:cs="Times New Roman"/>
                <w:sz w:val="18"/>
                <w:szCs w:val="18"/>
                <w:lang w:eastAsia="lv-LV"/>
              </w:rPr>
              <w:t>deflators</w:t>
            </w:r>
            <w:proofErr w:type="spellEnd"/>
            <w:r w:rsidRPr="008B0C5E">
              <w:rPr>
                <w:rFonts w:eastAsia="Calibri" w:cs="Times New Roman"/>
                <w:sz w:val="18"/>
                <w:szCs w:val="18"/>
                <w:lang w:eastAsia="lv-LV"/>
              </w:rPr>
              <w:t xml:space="preserve"> (gads pret gadu), %</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11352BF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5,4</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3FE4B2AB"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43A72156"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7DB6CA90"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2,7</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6885ECD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2,7</w:t>
            </w:r>
          </w:p>
        </w:tc>
        <w:tc>
          <w:tcPr>
            <w:tcW w:w="873" w:type="dxa"/>
            <w:tcBorders>
              <w:top w:val="nil"/>
              <w:left w:val="nil"/>
              <w:bottom w:val="single" w:sz="4" w:space="0" w:color="auto"/>
              <w:right w:val="single" w:sz="4" w:space="0" w:color="auto"/>
            </w:tcBorders>
            <w:shd w:val="clear" w:color="auto" w:fill="DEEAF6"/>
            <w:vAlign w:val="center"/>
          </w:tcPr>
          <w:p w14:paraId="74DC2874"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2,7</w:t>
            </w:r>
          </w:p>
        </w:tc>
      </w:tr>
      <w:tr w:rsidR="00074880" w:rsidRPr="002869EC" w14:paraId="00FD9FCA" w14:textId="77777777" w:rsidTr="002F3168">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B4695F5" w14:textId="77777777" w:rsidR="00074880" w:rsidRPr="008B0C5E" w:rsidRDefault="00074880" w:rsidP="006357B3">
            <w:pPr>
              <w:spacing w:line="240" w:lineRule="auto"/>
              <w:ind w:firstLine="0"/>
              <w:jc w:val="left"/>
              <w:rPr>
                <w:rFonts w:eastAsia="Calibri" w:cs="Times New Roman"/>
                <w:sz w:val="18"/>
                <w:szCs w:val="18"/>
                <w:lang w:eastAsia="lv-LV"/>
              </w:rPr>
            </w:pPr>
            <w:r w:rsidRPr="008B0C5E">
              <w:rPr>
                <w:rFonts w:eastAsia="Calibri" w:cs="Times New Roman"/>
                <w:sz w:val="18"/>
                <w:szCs w:val="18"/>
                <w:lang w:eastAsia="lv-LV"/>
              </w:rPr>
              <w:t>PCI (gads pret gadu), %</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7DF38602"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8,9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0268E8CD"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1,2</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0DB7AD82"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2,2</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5A880E12"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2,5</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3090C213"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2,5</w:t>
            </w:r>
          </w:p>
        </w:tc>
        <w:tc>
          <w:tcPr>
            <w:tcW w:w="873" w:type="dxa"/>
            <w:tcBorders>
              <w:top w:val="nil"/>
              <w:left w:val="nil"/>
              <w:bottom w:val="single" w:sz="4" w:space="0" w:color="auto"/>
              <w:right w:val="single" w:sz="4" w:space="0" w:color="auto"/>
            </w:tcBorders>
            <w:shd w:val="clear" w:color="auto" w:fill="DEEAF6"/>
            <w:vAlign w:val="center"/>
          </w:tcPr>
          <w:p w14:paraId="3C721E35"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2,5</w:t>
            </w:r>
          </w:p>
        </w:tc>
      </w:tr>
      <w:tr w:rsidR="00074880" w:rsidRPr="002869EC" w14:paraId="207EED21" w14:textId="77777777" w:rsidTr="002F3168">
        <w:trPr>
          <w:trHeight w:val="6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CE7B544" w14:textId="77777777" w:rsidR="00074880" w:rsidRPr="008B0C5E" w:rsidRDefault="00074880" w:rsidP="006357B3">
            <w:pPr>
              <w:spacing w:line="240" w:lineRule="auto"/>
              <w:ind w:firstLine="0"/>
              <w:jc w:val="left"/>
              <w:rPr>
                <w:rFonts w:eastAsia="Calibri" w:cs="Times New Roman"/>
                <w:sz w:val="18"/>
                <w:szCs w:val="18"/>
                <w:lang w:eastAsia="lv-LV"/>
              </w:rPr>
            </w:pPr>
            <w:r w:rsidRPr="008B0C5E">
              <w:rPr>
                <w:rFonts w:eastAsia="Calibri" w:cs="Times New Roman"/>
                <w:sz w:val="18"/>
                <w:szCs w:val="18"/>
                <w:lang w:eastAsia="lv-LV"/>
              </w:rPr>
              <w:t xml:space="preserve">Nodarbināto </w:t>
            </w:r>
            <w:proofErr w:type="spellStart"/>
            <w:r w:rsidRPr="008B0C5E">
              <w:rPr>
                <w:rFonts w:eastAsia="Calibri" w:cs="Times New Roman"/>
                <w:sz w:val="18"/>
                <w:szCs w:val="18"/>
                <w:lang w:eastAsia="lv-LV"/>
              </w:rPr>
              <w:t>mēn</w:t>
            </w:r>
            <w:proofErr w:type="spellEnd"/>
            <w:r w:rsidRPr="008B0C5E">
              <w:rPr>
                <w:rFonts w:eastAsia="Calibri" w:cs="Times New Roman"/>
                <w:sz w:val="18"/>
                <w:szCs w:val="18"/>
                <w:lang w:eastAsia="lv-LV"/>
              </w:rPr>
              <w:t xml:space="preserve">. vid. bruto darba samaksa, </w:t>
            </w:r>
            <w:proofErr w:type="spellStart"/>
            <w:r w:rsidRPr="008B0C5E">
              <w:rPr>
                <w:rFonts w:eastAsia="Calibri" w:cs="Times New Roman"/>
                <w:i/>
                <w:sz w:val="18"/>
                <w:szCs w:val="18"/>
                <w:lang w:eastAsia="lv-LV"/>
              </w:rPr>
              <w:t>euro</w:t>
            </w:r>
            <w:proofErr w:type="spellEnd"/>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0021C3FB"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1 537</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2A681DBC"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1 655</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77497133"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1 760</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5788B570"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1 865</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32A56E51"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1 958</w:t>
            </w:r>
          </w:p>
        </w:tc>
        <w:tc>
          <w:tcPr>
            <w:tcW w:w="873" w:type="dxa"/>
            <w:tcBorders>
              <w:top w:val="nil"/>
              <w:left w:val="nil"/>
              <w:bottom w:val="single" w:sz="4" w:space="0" w:color="auto"/>
              <w:right w:val="single" w:sz="4" w:space="0" w:color="auto"/>
            </w:tcBorders>
            <w:shd w:val="clear" w:color="auto" w:fill="DEEAF6"/>
            <w:vAlign w:val="center"/>
          </w:tcPr>
          <w:p w14:paraId="0F85F118"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2 056</w:t>
            </w:r>
          </w:p>
        </w:tc>
      </w:tr>
      <w:tr w:rsidR="00074880" w:rsidRPr="002869EC" w14:paraId="45FC533E" w14:textId="77777777" w:rsidTr="002F3168">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405BC26F" w14:textId="77777777" w:rsidR="00074880" w:rsidRPr="008B0C5E" w:rsidRDefault="00074880" w:rsidP="006357B3">
            <w:pPr>
              <w:spacing w:line="240" w:lineRule="auto"/>
              <w:ind w:left="174" w:firstLine="0"/>
              <w:jc w:val="left"/>
              <w:rPr>
                <w:rFonts w:eastAsia="Calibri" w:cs="Times New Roman"/>
                <w:sz w:val="18"/>
                <w:szCs w:val="18"/>
                <w:lang w:eastAsia="lv-LV"/>
              </w:rPr>
            </w:pPr>
            <w:r w:rsidRPr="008B0C5E">
              <w:rPr>
                <w:rFonts w:eastAsia="Calibri" w:cs="Times New Roman"/>
                <w:sz w:val="18"/>
                <w:szCs w:val="18"/>
                <w:lang w:eastAsia="lv-LV"/>
              </w:rPr>
              <w:t>izmaiņas faktiskajās cenās, %</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1B3F060D"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11,9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5BD7DF83"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7,7</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03A686AD"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6,3</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2689456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6,0</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7B388736"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5,0</w:t>
            </w:r>
          </w:p>
        </w:tc>
        <w:tc>
          <w:tcPr>
            <w:tcW w:w="873" w:type="dxa"/>
            <w:tcBorders>
              <w:top w:val="nil"/>
              <w:left w:val="nil"/>
              <w:bottom w:val="single" w:sz="4" w:space="0" w:color="auto"/>
              <w:right w:val="single" w:sz="4" w:space="0" w:color="auto"/>
            </w:tcBorders>
            <w:shd w:val="clear" w:color="auto" w:fill="DEEAF6"/>
            <w:vAlign w:val="center"/>
          </w:tcPr>
          <w:p w14:paraId="42A81A0E"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5,0</w:t>
            </w:r>
          </w:p>
        </w:tc>
      </w:tr>
      <w:tr w:rsidR="00074880" w:rsidRPr="002869EC" w14:paraId="715EE9ED" w14:textId="77777777" w:rsidTr="002F3168">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C124849" w14:textId="77777777" w:rsidR="00074880" w:rsidRPr="008B0C5E" w:rsidRDefault="00074880" w:rsidP="006357B3">
            <w:pPr>
              <w:spacing w:line="240" w:lineRule="auto"/>
              <w:ind w:left="174" w:firstLine="0"/>
              <w:jc w:val="left"/>
              <w:rPr>
                <w:rFonts w:eastAsia="Calibri" w:cs="Times New Roman"/>
                <w:sz w:val="18"/>
                <w:szCs w:val="18"/>
                <w:lang w:eastAsia="lv-LV"/>
              </w:rPr>
            </w:pPr>
            <w:r w:rsidRPr="008B0C5E">
              <w:rPr>
                <w:rFonts w:eastAsia="Calibri" w:cs="Times New Roman"/>
                <w:sz w:val="18"/>
                <w:szCs w:val="18"/>
                <w:lang w:eastAsia="lv-LV"/>
              </w:rPr>
              <w:t xml:space="preserve">izmaiņas </w:t>
            </w:r>
            <w:proofErr w:type="spellStart"/>
            <w:r w:rsidRPr="008B0C5E">
              <w:rPr>
                <w:rFonts w:eastAsia="Calibri" w:cs="Times New Roman"/>
                <w:sz w:val="18"/>
                <w:szCs w:val="18"/>
                <w:lang w:eastAsia="lv-LV"/>
              </w:rPr>
              <w:t>salīdzin</w:t>
            </w:r>
            <w:proofErr w:type="spellEnd"/>
            <w:r w:rsidRPr="008B0C5E">
              <w:rPr>
                <w:rFonts w:eastAsia="Calibri" w:cs="Times New Roman"/>
                <w:sz w:val="18"/>
                <w:szCs w:val="18"/>
                <w:lang w:eastAsia="lv-LV"/>
              </w:rPr>
              <w:t>. cenās, %</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646C25C2"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2,8</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23F16C74"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6,4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7FDA63F8"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4,0</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783A2C62"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3,4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6AC59F37"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2,4</w:t>
            </w:r>
          </w:p>
        </w:tc>
        <w:tc>
          <w:tcPr>
            <w:tcW w:w="873" w:type="dxa"/>
            <w:tcBorders>
              <w:top w:val="nil"/>
              <w:left w:val="nil"/>
              <w:bottom w:val="single" w:sz="4" w:space="0" w:color="auto"/>
              <w:right w:val="single" w:sz="4" w:space="0" w:color="auto"/>
            </w:tcBorders>
            <w:shd w:val="clear" w:color="auto" w:fill="DEEAF6"/>
            <w:vAlign w:val="center"/>
          </w:tcPr>
          <w:p w14:paraId="3A79E54F"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2,4</w:t>
            </w:r>
          </w:p>
        </w:tc>
      </w:tr>
      <w:tr w:rsidR="00074880" w:rsidRPr="002869EC" w14:paraId="0A176616" w14:textId="77777777" w:rsidTr="002F3168">
        <w:trPr>
          <w:trHeight w:val="6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1412E52" w14:textId="77777777" w:rsidR="00074880" w:rsidRPr="008B0C5E" w:rsidRDefault="00074880" w:rsidP="006357B3">
            <w:pPr>
              <w:spacing w:line="240" w:lineRule="auto"/>
              <w:ind w:firstLine="0"/>
              <w:jc w:val="left"/>
              <w:rPr>
                <w:rFonts w:eastAsia="Calibri" w:cs="Times New Roman"/>
                <w:sz w:val="18"/>
                <w:szCs w:val="18"/>
                <w:lang w:eastAsia="lv-LV"/>
              </w:rPr>
            </w:pPr>
            <w:r w:rsidRPr="008B0C5E">
              <w:rPr>
                <w:rFonts w:eastAsia="Calibri" w:cs="Times New Roman"/>
                <w:sz w:val="18"/>
                <w:szCs w:val="18"/>
                <w:lang w:eastAsia="lv-LV"/>
              </w:rPr>
              <w:t xml:space="preserve">Nodarbinātība, tūkst. iedzīvotāju (atbilstoši darbaspēka </w:t>
            </w:r>
            <w:proofErr w:type="spellStart"/>
            <w:r w:rsidRPr="008B0C5E">
              <w:rPr>
                <w:rFonts w:eastAsia="Calibri" w:cs="Times New Roman"/>
                <w:sz w:val="18"/>
                <w:szCs w:val="18"/>
                <w:lang w:eastAsia="lv-LV"/>
              </w:rPr>
              <w:t>apsekoj</w:t>
            </w:r>
            <w:proofErr w:type="spellEnd"/>
            <w:r w:rsidRPr="008B0C5E">
              <w:rPr>
                <w:rFonts w:eastAsia="Calibri" w:cs="Times New Roman"/>
                <w:sz w:val="18"/>
                <w:szCs w:val="18"/>
                <w:lang w:eastAsia="lv-LV"/>
              </w:rPr>
              <w:t>.)</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1C9AD822"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884</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7B6249BE"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884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04B4037A"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884</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08F5FFC5"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883</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6061CEA1"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882</w:t>
            </w:r>
          </w:p>
        </w:tc>
        <w:tc>
          <w:tcPr>
            <w:tcW w:w="873" w:type="dxa"/>
            <w:tcBorders>
              <w:top w:val="nil"/>
              <w:left w:val="nil"/>
              <w:bottom w:val="single" w:sz="4" w:space="0" w:color="auto"/>
              <w:right w:val="single" w:sz="4" w:space="0" w:color="auto"/>
            </w:tcBorders>
            <w:shd w:val="clear" w:color="auto" w:fill="DEEAF6"/>
            <w:vAlign w:val="center"/>
          </w:tcPr>
          <w:p w14:paraId="2340DAD2"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878</w:t>
            </w:r>
          </w:p>
        </w:tc>
      </w:tr>
      <w:tr w:rsidR="00074880" w:rsidRPr="002869EC" w14:paraId="6345C03F" w14:textId="77777777" w:rsidTr="002F3168">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EB40B85" w14:textId="77777777" w:rsidR="00074880" w:rsidRPr="008B0C5E" w:rsidRDefault="00074880" w:rsidP="006357B3">
            <w:pPr>
              <w:spacing w:line="240" w:lineRule="auto"/>
              <w:ind w:left="174" w:firstLine="0"/>
              <w:jc w:val="left"/>
              <w:rPr>
                <w:rFonts w:eastAsia="Calibri" w:cs="Times New Roman"/>
                <w:sz w:val="18"/>
                <w:szCs w:val="18"/>
                <w:lang w:eastAsia="lv-LV"/>
              </w:rPr>
            </w:pPr>
            <w:r w:rsidRPr="008B0C5E">
              <w:rPr>
                <w:rFonts w:eastAsia="Calibri" w:cs="Times New Roman"/>
                <w:sz w:val="18"/>
                <w:szCs w:val="18"/>
                <w:lang w:eastAsia="lv-LV"/>
              </w:rPr>
              <w:t>izmaiņas, %</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1C2AC9A1"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-0,2</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3085F6F0"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0,0</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1E5F19AD"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0,0</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4168B613"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-0,1</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691DC187"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-0,2</w:t>
            </w:r>
          </w:p>
        </w:tc>
        <w:tc>
          <w:tcPr>
            <w:tcW w:w="873" w:type="dxa"/>
            <w:tcBorders>
              <w:top w:val="nil"/>
              <w:left w:val="nil"/>
              <w:bottom w:val="single" w:sz="4" w:space="0" w:color="auto"/>
              <w:right w:val="single" w:sz="4" w:space="0" w:color="auto"/>
            </w:tcBorders>
            <w:shd w:val="clear" w:color="auto" w:fill="DEEAF6"/>
            <w:vAlign w:val="center"/>
          </w:tcPr>
          <w:p w14:paraId="359654F3"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-0,4</w:t>
            </w:r>
          </w:p>
        </w:tc>
      </w:tr>
      <w:tr w:rsidR="00074880" w:rsidRPr="002869EC" w14:paraId="7ABE65C2" w14:textId="77777777" w:rsidTr="002F3168">
        <w:trPr>
          <w:trHeight w:val="300"/>
          <w:jc w:val="cent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D2627" w14:textId="77777777" w:rsidR="00074880" w:rsidRPr="008B0C5E" w:rsidRDefault="00074880" w:rsidP="006357B3">
            <w:pPr>
              <w:spacing w:line="240" w:lineRule="auto"/>
              <w:ind w:firstLine="0"/>
              <w:jc w:val="left"/>
              <w:rPr>
                <w:rFonts w:eastAsia="Calibri" w:cs="Times New Roman"/>
                <w:sz w:val="18"/>
                <w:szCs w:val="18"/>
                <w:lang w:eastAsia="lv-LV"/>
              </w:rPr>
            </w:pPr>
            <w:r w:rsidRPr="008B0C5E">
              <w:rPr>
                <w:rFonts w:eastAsia="Calibri" w:cs="Times New Roman"/>
                <w:sz w:val="18"/>
                <w:szCs w:val="18"/>
                <w:lang w:eastAsia="lv-LV"/>
              </w:rPr>
              <w:t>Bezdarba līmenis (gada vidējais),</w:t>
            </w:r>
            <w:r w:rsidRPr="008B0C5E">
              <w:rPr>
                <w:rFonts w:eastAsia="Calibri" w:cs="Times New Roman"/>
                <w:sz w:val="18"/>
                <w:szCs w:val="18"/>
                <w:lang w:eastAsia="lv-LV"/>
              </w:rPr>
              <w:br/>
              <w:t xml:space="preserve">% no ekon. aktīviem </w:t>
            </w:r>
            <w:proofErr w:type="spellStart"/>
            <w:r w:rsidRPr="008B0C5E">
              <w:rPr>
                <w:rFonts w:eastAsia="Calibri" w:cs="Times New Roman"/>
                <w:sz w:val="18"/>
                <w:szCs w:val="18"/>
                <w:lang w:eastAsia="lv-LV"/>
              </w:rPr>
              <w:t>iedzīv</w:t>
            </w:r>
            <w:proofErr w:type="spellEnd"/>
            <w:r w:rsidRPr="008B0C5E">
              <w:rPr>
                <w:rFonts w:eastAsia="Calibri" w:cs="Times New Roman"/>
                <w:sz w:val="18"/>
                <w:szCs w:val="18"/>
                <w:lang w:eastAsia="lv-LV"/>
              </w:rPr>
              <w:t>.</w:t>
            </w:r>
          </w:p>
        </w:tc>
        <w:tc>
          <w:tcPr>
            <w:tcW w:w="815" w:type="dxa"/>
            <w:tcBorders>
              <w:top w:val="single" w:sz="4" w:space="0" w:color="auto"/>
              <w:left w:val="nil"/>
              <w:bottom w:val="single" w:sz="4" w:space="0" w:color="auto"/>
              <w:right w:val="single" w:sz="4" w:space="0" w:color="auto"/>
            </w:tcBorders>
            <w:shd w:val="clear" w:color="auto" w:fill="auto"/>
            <w:noWrap/>
            <w:tcMar>
              <w:right w:w="170" w:type="dxa"/>
            </w:tcMar>
            <w:vAlign w:val="center"/>
          </w:tcPr>
          <w:p w14:paraId="75DD63E8"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6,5</w:t>
            </w:r>
          </w:p>
        </w:tc>
        <w:tc>
          <w:tcPr>
            <w:tcW w:w="873" w:type="dxa"/>
            <w:tcBorders>
              <w:top w:val="single" w:sz="4" w:space="0" w:color="auto"/>
              <w:left w:val="nil"/>
              <w:bottom w:val="single" w:sz="4" w:space="0" w:color="auto"/>
              <w:right w:val="single" w:sz="4" w:space="0" w:color="auto"/>
            </w:tcBorders>
            <w:shd w:val="clear" w:color="auto" w:fill="DEEAF6"/>
            <w:noWrap/>
            <w:tcMar>
              <w:right w:w="170" w:type="dxa"/>
            </w:tcMar>
            <w:vAlign w:val="center"/>
          </w:tcPr>
          <w:p w14:paraId="494EAEE5"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6,7</w:t>
            </w:r>
          </w:p>
        </w:tc>
        <w:tc>
          <w:tcPr>
            <w:tcW w:w="874" w:type="dxa"/>
            <w:tcBorders>
              <w:top w:val="single" w:sz="4" w:space="0" w:color="auto"/>
              <w:left w:val="nil"/>
              <w:bottom w:val="single" w:sz="4" w:space="0" w:color="auto"/>
              <w:right w:val="single" w:sz="4" w:space="0" w:color="auto"/>
            </w:tcBorders>
            <w:shd w:val="clear" w:color="auto" w:fill="DEEAF6"/>
            <w:noWrap/>
            <w:tcMar>
              <w:right w:w="170" w:type="dxa"/>
            </w:tcMar>
            <w:vAlign w:val="center"/>
          </w:tcPr>
          <w:p w14:paraId="6A986B85"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6,3</w:t>
            </w:r>
          </w:p>
        </w:tc>
        <w:tc>
          <w:tcPr>
            <w:tcW w:w="873" w:type="dxa"/>
            <w:tcBorders>
              <w:top w:val="single" w:sz="4" w:space="0" w:color="auto"/>
              <w:left w:val="nil"/>
              <w:bottom w:val="single" w:sz="4" w:space="0" w:color="auto"/>
              <w:right w:val="single" w:sz="4" w:space="0" w:color="auto"/>
            </w:tcBorders>
            <w:shd w:val="clear" w:color="auto" w:fill="DEEAF6"/>
            <w:noWrap/>
            <w:tcMar>
              <w:right w:w="170" w:type="dxa"/>
            </w:tcMar>
            <w:vAlign w:val="center"/>
          </w:tcPr>
          <w:p w14:paraId="7461AF78"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6,0</w:t>
            </w:r>
          </w:p>
        </w:tc>
        <w:tc>
          <w:tcPr>
            <w:tcW w:w="874" w:type="dxa"/>
            <w:tcBorders>
              <w:top w:val="single" w:sz="4" w:space="0" w:color="auto"/>
              <w:left w:val="nil"/>
              <w:bottom w:val="single" w:sz="4" w:space="0" w:color="auto"/>
              <w:right w:val="single" w:sz="4" w:space="0" w:color="auto"/>
            </w:tcBorders>
            <w:shd w:val="clear" w:color="auto" w:fill="DEEAF6"/>
            <w:noWrap/>
            <w:tcMar>
              <w:right w:w="170" w:type="dxa"/>
            </w:tcMar>
            <w:vAlign w:val="center"/>
          </w:tcPr>
          <w:p w14:paraId="62958CD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5,5</w:t>
            </w:r>
          </w:p>
        </w:tc>
        <w:tc>
          <w:tcPr>
            <w:tcW w:w="873" w:type="dxa"/>
            <w:tcBorders>
              <w:top w:val="single" w:sz="4" w:space="0" w:color="auto"/>
              <w:left w:val="nil"/>
              <w:bottom w:val="single" w:sz="4" w:space="0" w:color="auto"/>
              <w:right w:val="single" w:sz="4" w:space="0" w:color="auto"/>
            </w:tcBorders>
            <w:shd w:val="clear" w:color="auto" w:fill="DEEAF6"/>
            <w:vAlign w:val="center"/>
          </w:tcPr>
          <w:p w14:paraId="1E493D39" w14:textId="77777777" w:rsidR="00074880" w:rsidRPr="008B0C5E" w:rsidRDefault="00074880" w:rsidP="006357B3">
            <w:pPr>
              <w:spacing w:line="240" w:lineRule="auto"/>
              <w:ind w:firstLine="0"/>
              <w:jc w:val="right"/>
              <w:rPr>
                <w:rFonts w:eastAsia="Calibri" w:cs="Times New Roman"/>
                <w:sz w:val="18"/>
                <w:szCs w:val="18"/>
              </w:rPr>
            </w:pPr>
            <w:r w:rsidRPr="008B0C5E">
              <w:rPr>
                <w:rFonts w:eastAsia="Calibri" w:cs="Times New Roman"/>
                <w:sz w:val="18"/>
                <w:szCs w:val="18"/>
              </w:rPr>
              <w:t>4,9</w:t>
            </w:r>
          </w:p>
        </w:tc>
      </w:tr>
    </w:tbl>
    <w:p w14:paraId="7F5867ED" w14:textId="4BC2D01A" w:rsidR="00074880" w:rsidRPr="002869EC" w:rsidRDefault="00074880" w:rsidP="006357B3">
      <w:pPr>
        <w:spacing w:after="160" w:line="240" w:lineRule="auto"/>
        <w:ind w:firstLine="0"/>
        <w:jc w:val="center"/>
        <w:rPr>
          <w:rFonts w:eastAsia="Aptos" w:cs="Times New Roman"/>
          <w:b/>
          <w:bCs/>
        </w:rPr>
      </w:pPr>
      <w:r w:rsidRPr="002869EC">
        <w:rPr>
          <w:rFonts w:eastAsia="Aptos" w:cs="Times New Roman"/>
          <w:b/>
          <w:bCs/>
        </w:rPr>
        <w:lastRenderedPageBreak/>
        <w:t>IKP ilgtermiņa prognoze, potenciālā IKP dinamika</w:t>
      </w:r>
    </w:p>
    <w:p w14:paraId="7D97E39C" w14:textId="77777777" w:rsidR="00074880" w:rsidRPr="002869EC" w:rsidRDefault="00074880" w:rsidP="006357B3">
      <w:pPr>
        <w:spacing w:after="160" w:line="240" w:lineRule="auto"/>
        <w:rPr>
          <w:rFonts w:eastAsia="Aptos" w:cs="Times New Roman"/>
        </w:rPr>
      </w:pPr>
      <w:r w:rsidRPr="002869EC">
        <w:rPr>
          <w:rFonts w:eastAsia="Aptos" w:cs="Times New Roman"/>
        </w:rPr>
        <w:t>Potenciālā IKP pieaugums tiek prognozēts ap 2,2% apmērā 2025.-2028. gadu periodam, salīdzinājumam tas ir zemāks nekā vidējā ekonomiskā attīstība pēdējos 10 gados jeb 2,6%. Potenciālā IKP izaugsmi kāpinās potenciālā kapitāla uzkrāšana un potenciālās kopējās produktivitātes pieaugums, kas vidēji prognožu periodā veido attiecīgi 0,8 un 1,7 procentpunktus no potenciālā IKP pieauguma. Savukārt potenciālais darbaspēka apjoms ierobežos potenciālā IKP pieaugumu, prognožu periodā vidēji samazinot to par 0,3 procentpunktiem. Šāda dinamika atbilst Latvijas demogrāfijas tendencēm, proti, samazinās nodarbināto skaits, kas tiek kompensēts ar produktivitātes pieaugumu.</w:t>
      </w:r>
    </w:p>
    <w:p w14:paraId="4703C2E5" w14:textId="0BB656C8" w:rsidR="00074880" w:rsidRPr="002869EC" w:rsidRDefault="00EE7219" w:rsidP="006357B3">
      <w:pPr>
        <w:spacing w:line="240" w:lineRule="auto"/>
        <w:ind w:firstLine="0"/>
        <w:jc w:val="right"/>
        <w:rPr>
          <w:rFonts w:eastAsia="Calibri" w:cs="Times New Roman"/>
          <w:b/>
          <w:bCs/>
          <w:szCs w:val="24"/>
        </w:rPr>
      </w:pPr>
      <w:r w:rsidRPr="00BB31A6">
        <w:rPr>
          <w:rFonts w:eastAsia="Calibri" w:cs="Times New Roman"/>
          <w:b/>
          <w:bCs/>
          <w:szCs w:val="24"/>
        </w:rPr>
        <w:t>B</w:t>
      </w:r>
      <w:r w:rsidR="00074880" w:rsidRPr="00BB31A6">
        <w:rPr>
          <w:rFonts w:eastAsia="Calibri" w:cs="Times New Roman"/>
          <w:b/>
          <w:bCs/>
          <w:szCs w:val="24"/>
        </w:rPr>
        <w:t>.</w:t>
      </w:r>
      <w:r w:rsidR="00074880" w:rsidRPr="00234244">
        <w:rPr>
          <w:rFonts w:eastAsia="Calibri" w:cs="Times New Roman"/>
          <w:b/>
          <w:bCs/>
          <w:szCs w:val="24"/>
        </w:rPr>
        <w:t xml:space="preserve"> tabula. Potenciālā</w:t>
      </w:r>
      <w:r w:rsidR="00074880" w:rsidRPr="002869EC">
        <w:rPr>
          <w:rFonts w:eastAsia="Calibri" w:cs="Times New Roman"/>
          <w:b/>
          <w:bCs/>
          <w:szCs w:val="24"/>
        </w:rPr>
        <w:t xml:space="preserve"> IKP dinamika un faktoru devums 2023. – 2028. gadā </w:t>
      </w:r>
    </w:p>
    <w:tbl>
      <w:tblPr>
        <w:tblW w:w="5000" w:type="pct"/>
        <w:jc w:val="center"/>
        <w:tblLayout w:type="fixed"/>
        <w:tblCellMar>
          <w:left w:w="85" w:type="dxa"/>
          <w:right w:w="85" w:type="dxa"/>
        </w:tblCellMar>
        <w:tblLook w:val="04A0" w:firstRow="1" w:lastRow="0" w:firstColumn="1" w:lastColumn="0" w:noHBand="0" w:noVBand="1"/>
      </w:tblPr>
      <w:tblGrid>
        <w:gridCol w:w="3400"/>
        <w:gridCol w:w="889"/>
        <w:gridCol w:w="954"/>
        <w:gridCol w:w="955"/>
        <w:gridCol w:w="954"/>
        <w:gridCol w:w="955"/>
        <w:gridCol w:w="954"/>
      </w:tblGrid>
      <w:tr w:rsidR="00074880" w:rsidRPr="002869EC" w14:paraId="3F54040D" w14:textId="77777777" w:rsidTr="000C5CF0">
        <w:trPr>
          <w:trHeight w:val="300"/>
          <w:jc w:val="center"/>
        </w:trPr>
        <w:tc>
          <w:tcPr>
            <w:tcW w:w="311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658A254" w14:textId="77777777" w:rsidR="00074880" w:rsidRPr="002869EC" w:rsidRDefault="00074880" w:rsidP="006357B3">
            <w:pPr>
              <w:spacing w:line="240" w:lineRule="auto"/>
              <w:ind w:firstLine="0"/>
              <w:rPr>
                <w:rFonts w:eastAsia="Calibri" w:cs="Times New Roman"/>
                <w:sz w:val="20"/>
                <w:szCs w:val="20"/>
                <w:lang w:eastAsia="lv-LV"/>
              </w:rPr>
            </w:pPr>
          </w:p>
        </w:tc>
        <w:tc>
          <w:tcPr>
            <w:tcW w:w="815" w:type="dxa"/>
            <w:tcBorders>
              <w:top w:val="single" w:sz="4" w:space="0" w:color="auto"/>
              <w:left w:val="nil"/>
              <w:bottom w:val="single" w:sz="4" w:space="0" w:color="auto"/>
              <w:right w:val="single" w:sz="4" w:space="0" w:color="auto"/>
            </w:tcBorders>
            <w:shd w:val="clear" w:color="auto" w:fill="BDD6EE"/>
            <w:noWrap/>
            <w:vAlign w:val="center"/>
            <w:hideMark/>
          </w:tcPr>
          <w:p w14:paraId="41587A3C" w14:textId="77777777" w:rsidR="00074880" w:rsidRPr="002869EC" w:rsidRDefault="00074880" w:rsidP="00D05EC7">
            <w:pPr>
              <w:spacing w:line="240" w:lineRule="auto"/>
              <w:ind w:firstLine="0"/>
              <w:jc w:val="center"/>
              <w:rPr>
                <w:rFonts w:eastAsia="Calibri" w:cs="Times New Roman"/>
                <w:b/>
                <w:bCs/>
                <w:sz w:val="20"/>
                <w:szCs w:val="20"/>
                <w:lang w:eastAsia="lv-LV"/>
              </w:rPr>
            </w:pPr>
            <w:r w:rsidRPr="002869EC">
              <w:rPr>
                <w:rFonts w:eastAsia="Calibri" w:cs="Times New Roman"/>
                <w:b/>
                <w:bCs/>
                <w:sz w:val="20"/>
                <w:szCs w:val="20"/>
                <w:lang w:eastAsia="lv-LV"/>
              </w:rPr>
              <w:t>2023</w:t>
            </w:r>
          </w:p>
        </w:tc>
        <w:tc>
          <w:tcPr>
            <w:tcW w:w="873" w:type="dxa"/>
            <w:tcBorders>
              <w:top w:val="single" w:sz="4" w:space="0" w:color="auto"/>
              <w:left w:val="nil"/>
              <w:bottom w:val="single" w:sz="4" w:space="0" w:color="auto"/>
              <w:right w:val="single" w:sz="4" w:space="0" w:color="auto"/>
            </w:tcBorders>
            <w:shd w:val="clear" w:color="auto" w:fill="BDD6EE"/>
            <w:noWrap/>
            <w:vAlign w:val="center"/>
          </w:tcPr>
          <w:p w14:paraId="7A56243D" w14:textId="77777777" w:rsidR="00074880" w:rsidRPr="002869EC" w:rsidRDefault="00074880" w:rsidP="00D05EC7">
            <w:pPr>
              <w:spacing w:line="240" w:lineRule="auto"/>
              <w:ind w:firstLine="0"/>
              <w:jc w:val="center"/>
              <w:rPr>
                <w:rFonts w:eastAsia="Calibri" w:cs="Times New Roman"/>
                <w:b/>
                <w:bCs/>
                <w:sz w:val="20"/>
                <w:szCs w:val="20"/>
                <w:lang w:eastAsia="lv-LV"/>
              </w:rPr>
            </w:pPr>
            <w:r w:rsidRPr="002869EC">
              <w:rPr>
                <w:rFonts w:eastAsia="Calibri" w:cs="Times New Roman"/>
                <w:b/>
                <w:bCs/>
                <w:sz w:val="20"/>
                <w:szCs w:val="20"/>
                <w:lang w:eastAsia="lv-LV"/>
              </w:rPr>
              <w:t>2024</w:t>
            </w:r>
          </w:p>
        </w:tc>
        <w:tc>
          <w:tcPr>
            <w:tcW w:w="874" w:type="dxa"/>
            <w:tcBorders>
              <w:top w:val="single" w:sz="4" w:space="0" w:color="auto"/>
              <w:left w:val="nil"/>
              <w:bottom w:val="single" w:sz="4" w:space="0" w:color="auto"/>
              <w:right w:val="single" w:sz="4" w:space="0" w:color="auto"/>
            </w:tcBorders>
            <w:shd w:val="clear" w:color="auto" w:fill="BDD6EE"/>
            <w:noWrap/>
            <w:vAlign w:val="center"/>
          </w:tcPr>
          <w:p w14:paraId="55B92D32" w14:textId="77777777" w:rsidR="00074880" w:rsidRPr="002869EC" w:rsidRDefault="00074880" w:rsidP="00D05EC7">
            <w:pPr>
              <w:spacing w:line="240" w:lineRule="auto"/>
              <w:ind w:firstLine="0"/>
              <w:jc w:val="center"/>
              <w:rPr>
                <w:rFonts w:eastAsia="Calibri" w:cs="Times New Roman"/>
                <w:b/>
                <w:bCs/>
                <w:sz w:val="20"/>
                <w:szCs w:val="20"/>
                <w:lang w:eastAsia="lv-LV"/>
              </w:rPr>
            </w:pPr>
            <w:r w:rsidRPr="002869EC">
              <w:rPr>
                <w:rFonts w:eastAsia="Calibri" w:cs="Times New Roman"/>
                <w:b/>
                <w:bCs/>
                <w:sz w:val="20"/>
                <w:szCs w:val="20"/>
                <w:lang w:eastAsia="lv-LV"/>
              </w:rPr>
              <w:t>2025</w:t>
            </w:r>
          </w:p>
        </w:tc>
        <w:tc>
          <w:tcPr>
            <w:tcW w:w="873" w:type="dxa"/>
            <w:tcBorders>
              <w:top w:val="single" w:sz="4" w:space="0" w:color="auto"/>
              <w:left w:val="nil"/>
              <w:bottom w:val="single" w:sz="4" w:space="0" w:color="auto"/>
              <w:right w:val="single" w:sz="4" w:space="0" w:color="auto"/>
            </w:tcBorders>
            <w:shd w:val="clear" w:color="auto" w:fill="BDD6EE"/>
            <w:noWrap/>
            <w:vAlign w:val="center"/>
          </w:tcPr>
          <w:p w14:paraId="3C07CCE1" w14:textId="77777777" w:rsidR="00074880" w:rsidRPr="002869EC" w:rsidRDefault="00074880" w:rsidP="00D05EC7">
            <w:pPr>
              <w:spacing w:line="240" w:lineRule="auto"/>
              <w:ind w:firstLine="0"/>
              <w:jc w:val="center"/>
              <w:rPr>
                <w:rFonts w:eastAsia="Calibri" w:cs="Times New Roman"/>
                <w:b/>
                <w:bCs/>
                <w:sz w:val="20"/>
                <w:szCs w:val="20"/>
                <w:lang w:eastAsia="lv-LV"/>
              </w:rPr>
            </w:pPr>
            <w:r w:rsidRPr="002869EC">
              <w:rPr>
                <w:rFonts w:eastAsia="Calibri" w:cs="Times New Roman"/>
                <w:b/>
                <w:bCs/>
                <w:sz w:val="20"/>
                <w:szCs w:val="20"/>
                <w:lang w:eastAsia="lv-LV"/>
              </w:rPr>
              <w:t>2026</w:t>
            </w:r>
          </w:p>
        </w:tc>
        <w:tc>
          <w:tcPr>
            <w:tcW w:w="874" w:type="dxa"/>
            <w:tcBorders>
              <w:top w:val="single" w:sz="4" w:space="0" w:color="auto"/>
              <w:left w:val="nil"/>
              <w:bottom w:val="single" w:sz="4" w:space="0" w:color="auto"/>
              <w:right w:val="single" w:sz="4" w:space="0" w:color="auto"/>
            </w:tcBorders>
            <w:shd w:val="clear" w:color="auto" w:fill="BDD6EE"/>
            <w:noWrap/>
            <w:vAlign w:val="center"/>
          </w:tcPr>
          <w:p w14:paraId="124B94EE" w14:textId="77777777" w:rsidR="00074880" w:rsidRPr="002869EC" w:rsidRDefault="00074880" w:rsidP="00D05EC7">
            <w:pPr>
              <w:spacing w:line="240" w:lineRule="auto"/>
              <w:ind w:firstLine="0"/>
              <w:jc w:val="center"/>
              <w:rPr>
                <w:rFonts w:eastAsia="Calibri" w:cs="Times New Roman"/>
                <w:b/>
                <w:bCs/>
                <w:sz w:val="20"/>
                <w:szCs w:val="20"/>
                <w:lang w:eastAsia="lv-LV"/>
              </w:rPr>
            </w:pPr>
            <w:r w:rsidRPr="002869EC">
              <w:rPr>
                <w:rFonts w:eastAsia="Calibri" w:cs="Times New Roman"/>
                <w:b/>
                <w:bCs/>
                <w:sz w:val="20"/>
                <w:szCs w:val="20"/>
                <w:lang w:eastAsia="lv-LV"/>
              </w:rPr>
              <w:t>2027</w:t>
            </w:r>
          </w:p>
        </w:tc>
        <w:tc>
          <w:tcPr>
            <w:tcW w:w="873" w:type="dxa"/>
            <w:tcBorders>
              <w:top w:val="single" w:sz="4" w:space="0" w:color="auto"/>
              <w:left w:val="nil"/>
              <w:bottom w:val="single" w:sz="4" w:space="0" w:color="auto"/>
              <w:right w:val="single" w:sz="4" w:space="0" w:color="auto"/>
            </w:tcBorders>
            <w:shd w:val="clear" w:color="auto" w:fill="BDD6EE"/>
            <w:vAlign w:val="center"/>
          </w:tcPr>
          <w:p w14:paraId="789D22FC" w14:textId="77777777" w:rsidR="00074880" w:rsidRPr="002869EC" w:rsidRDefault="00074880" w:rsidP="00D05EC7">
            <w:pPr>
              <w:spacing w:line="240" w:lineRule="auto"/>
              <w:ind w:firstLine="0"/>
              <w:jc w:val="center"/>
              <w:rPr>
                <w:rFonts w:eastAsia="Calibri" w:cs="Times New Roman"/>
                <w:b/>
                <w:bCs/>
                <w:sz w:val="20"/>
                <w:szCs w:val="20"/>
                <w:lang w:eastAsia="lv-LV"/>
              </w:rPr>
            </w:pPr>
            <w:r w:rsidRPr="002869EC">
              <w:rPr>
                <w:rFonts w:eastAsia="Calibri" w:cs="Times New Roman"/>
                <w:b/>
                <w:bCs/>
                <w:sz w:val="20"/>
                <w:szCs w:val="20"/>
                <w:lang w:eastAsia="lv-LV"/>
              </w:rPr>
              <w:t>2028</w:t>
            </w:r>
          </w:p>
        </w:tc>
      </w:tr>
      <w:tr w:rsidR="00074880" w:rsidRPr="002869EC" w14:paraId="2E539585" w14:textId="77777777" w:rsidTr="00D05EC7">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52C2CC9" w14:textId="77777777" w:rsidR="00074880" w:rsidRPr="002869EC" w:rsidRDefault="00074880" w:rsidP="006357B3">
            <w:pPr>
              <w:spacing w:line="240" w:lineRule="auto"/>
              <w:ind w:firstLine="0"/>
              <w:jc w:val="left"/>
              <w:rPr>
                <w:rFonts w:eastAsia="Calibri" w:cs="Times New Roman"/>
                <w:sz w:val="20"/>
                <w:szCs w:val="20"/>
                <w:lang w:eastAsia="lv-LV"/>
              </w:rPr>
            </w:pPr>
            <w:r w:rsidRPr="002869EC">
              <w:rPr>
                <w:rFonts w:eastAsia="Times New Roman" w:cs="Times New Roman"/>
                <w:sz w:val="20"/>
                <w:szCs w:val="20"/>
                <w:lang w:eastAsia="lv-LV"/>
              </w:rPr>
              <w:t>Potenciālā IKP pieaugums, %</w:t>
            </w:r>
          </w:p>
        </w:tc>
        <w:tc>
          <w:tcPr>
            <w:tcW w:w="815" w:type="dxa"/>
            <w:tcBorders>
              <w:top w:val="single" w:sz="4" w:space="0" w:color="auto"/>
              <w:left w:val="nil"/>
              <w:bottom w:val="single" w:sz="4" w:space="0" w:color="auto"/>
              <w:right w:val="single" w:sz="4" w:space="0" w:color="auto"/>
            </w:tcBorders>
            <w:shd w:val="clear" w:color="auto" w:fill="auto"/>
            <w:noWrap/>
            <w:tcMar>
              <w:right w:w="170" w:type="dxa"/>
            </w:tcMar>
            <w:vAlign w:val="center"/>
          </w:tcPr>
          <w:p w14:paraId="5ABEC820"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2,3</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64105ACD"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2,2</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627848E1"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2,2</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3B90DAD9"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2,2</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3F287B04"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2,2</w:t>
            </w:r>
          </w:p>
        </w:tc>
        <w:tc>
          <w:tcPr>
            <w:tcW w:w="873" w:type="dxa"/>
            <w:tcBorders>
              <w:top w:val="nil"/>
              <w:left w:val="nil"/>
              <w:bottom w:val="single" w:sz="4" w:space="0" w:color="auto"/>
              <w:right w:val="single" w:sz="4" w:space="0" w:color="auto"/>
            </w:tcBorders>
            <w:shd w:val="clear" w:color="auto" w:fill="DEEAF6"/>
            <w:vAlign w:val="center"/>
          </w:tcPr>
          <w:p w14:paraId="0F042D89"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2,1</w:t>
            </w:r>
          </w:p>
        </w:tc>
      </w:tr>
      <w:tr w:rsidR="00074880" w:rsidRPr="002869EC" w14:paraId="5EC26AAF" w14:textId="77777777" w:rsidTr="00D05EC7">
        <w:trPr>
          <w:trHeight w:val="235"/>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579BE45C" w14:textId="0F4036DE" w:rsidR="00074880" w:rsidRPr="002869EC" w:rsidRDefault="00074880" w:rsidP="006357B3">
            <w:pPr>
              <w:spacing w:line="240" w:lineRule="auto"/>
              <w:ind w:left="174" w:firstLine="0"/>
              <w:jc w:val="left"/>
              <w:rPr>
                <w:rFonts w:eastAsia="Calibri" w:cs="Times New Roman"/>
                <w:sz w:val="20"/>
                <w:szCs w:val="20"/>
                <w:lang w:eastAsia="lv-LV"/>
              </w:rPr>
            </w:pPr>
            <w:r w:rsidRPr="002869EC">
              <w:rPr>
                <w:rFonts w:eastAsia="Times New Roman" w:cs="Times New Roman"/>
                <w:sz w:val="20"/>
                <w:szCs w:val="20"/>
                <w:lang w:eastAsia="lv-LV"/>
              </w:rPr>
              <w:t xml:space="preserve">Darbaspēks, devums </w:t>
            </w:r>
            <w:r w:rsidR="00D05EC7">
              <w:rPr>
                <w:rFonts w:eastAsia="Times New Roman" w:cs="Times New Roman"/>
                <w:sz w:val="20"/>
                <w:szCs w:val="20"/>
                <w:lang w:eastAsia="lv-LV"/>
              </w:rPr>
              <w:t>procentpunktos</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12947D7C"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0,0</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659EAC47"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0,1</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1343FC68"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-0,3</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3236E8BD"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7F8B7505"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-0,4</w:t>
            </w:r>
          </w:p>
        </w:tc>
        <w:tc>
          <w:tcPr>
            <w:tcW w:w="873" w:type="dxa"/>
            <w:tcBorders>
              <w:top w:val="nil"/>
              <w:left w:val="nil"/>
              <w:bottom w:val="single" w:sz="4" w:space="0" w:color="auto"/>
              <w:right w:val="single" w:sz="4" w:space="0" w:color="auto"/>
            </w:tcBorders>
            <w:shd w:val="clear" w:color="auto" w:fill="DEEAF6"/>
            <w:vAlign w:val="center"/>
          </w:tcPr>
          <w:p w14:paraId="24154345"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-0,6</w:t>
            </w:r>
          </w:p>
        </w:tc>
      </w:tr>
      <w:tr w:rsidR="00074880" w:rsidRPr="002869EC" w14:paraId="6332C81F" w14:textId="77777777" w:rsidTr="00D05EC7">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3839363" w14:textId="10D607B2" w:rsidR="00074880" w:rsidRPr="002869EC" w:rsidRDefault="00074880" w:rsidP="006357B3">
            <w:pPr>
              <w:spacing w:line="240" w:lineRule="auto"/>
              <w:ind w:left="174" w:firstLine="0"/>
              <w:jc w:val="left"/>
              <w:rPr>
                <w:rFonts w:eastAsia="Calibri" w:cs="Times New Roman"/>
                <w:sz w:val="20"/>
                <w:szCs w:val="20"/>
                <w:lang w:eastAsia="lv-LV"/>
              </w:rPr>
            </w:pPr>
            <w:r w:rsidRPr="002869EC">
              <w:rPr>
                <w:rFonts w:eastAsia="Times New Roman" w:cs="Times New Roman"/>
                <w:sz w:val="20"/>
                <w:szCs w:val="20"/>
                <w:lang w:eastAsia="lv-LV"/>
              </w:rPr>
              <w:t>Kapitāls, devums p</w:t>
            </w:r>
            <w:r w:rsidR="00D05EC7">
              <w:rPr>
                <w:rFonts w:eastAsia="Times New Roman" w:cs="Times New Roman"/>
                <w:sz w:val="20"/>
                <w:szCs w:val="20"/>
                <w:lang w:eastAsia="lv-LV"/>
              </w:rPr>
              <w:t>rocentpunktos</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49BA38AC"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081CF40E"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0,8</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59CB8132"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0,9</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6F283945"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0,9</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752A11A9"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0,8</w:t>
            </w:r>
          </w:p>
        </w:tc>
        <w:tc>
          <w:tcPr>
            <w:tcW w:w="873" w:type="dxa"/>
            <w:tcBorders>
              <w:top w:val="nil"/>
              <w:left w:val="nil"/>
              <w:bottom w:val="single" w:sz="4" w:space="0" w:color="auto"/>
              <w:right w:val="single" w:sz="4" w:space="0" w:color="auto"/>
            </w:tcBorders>
            <w:shd w:val="clear" w:color="auto" w:fill="DEEAF6"/>
            <w:vAlign w:val="center"/>
          </w:tcPr>
          <w:p w14:paraId="69F47B80"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0,8</w:t>
            </w:r>
          </w:p>
        </w:tc>
      </w:tr>
      <w:tr w:rsidR="00074880" w:rsidRPr="002869EC" w14:paraId="367B9CCC" w14:textId="77777777" w:rsidTr="00D05EC7">
        <w:trPr>
          <w:trHeight w:val="300"/>
          <w:jc w:val="center"/>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E34394F" w14:textId="6B6C6537" w:rsidR="00074880" w:rsidRPr="002869EC" w:rsidRDefault="00074880" w:rsidP="006357B3">
            <w:pPr>
              <w:spacing w:line="240" w:lineRule="auto"/>
              <w:ind w:left="174" w:firstLine="0"/>
              <w:jc w:val="left"/>
              <w:rPr>
                <w:rFonts w:eastAsia="Calibri" w:cs="Times New Roman"/>
                <w:sz w:val="20"/>
                <w:szCs w:val="20"/>
                <w:lang w:eastAsia="lv-LV"/>
              </w:rPr>
            </w:pPr>
            <w:r w:rsidRPr="002869EC">
              <w:rPr>
                <w:rFonts w:eastAsia="Times New Roman" w:cs="Times New Roman"/>
                <w:sz w:val="20"/>
                <w:szCs w:val="20"/>
                <w:lang w:eastAsia="lv-LV"/>
              </w:rPr>
              <w:t xml:space="preserve">Faktoru produktivitāte, devums </w:t>
            </w:r>
            <w:r w:rsidR="00D05EC7">
              <w:rPr>
                <w:rFonts w:eastAsia="Times New Roman" w:cs="Times New Roman"/>
                <w:sz w:val="20"/>
                <w:szCs w:val="20"/>
                <w:lang w:eastAsia="lv-LV"/>
              </w:rPr>
              <w:t>procentpunktos</w:t>
            </w:r>
          </w:p>
        </w:tc>
        <w:tc>
          <w:tcPr>
            <w:tcW w:w="815" w:type="dxa"/>
            <w:tcBorders>
              <w:top w:val="nil"/>
              <w:left w:val="nil"/>
              <w:bottom w:val="single" w:sz="4" w:space="0" w:color="auto"/>
              <w:right w:val="single" w:sz="4" w:space="0" w:color="auto"/>
            </w:tcBorders>
            <w:shd w:val="clear" w:color="auto" w:fill="auto"/>
            <w:noWrap/>
            <w:tcMar>
              <w:right w:w="170" w:type="dxa"/>
            </w:tcMar>
            <w:vAlign w:val="center"/>
          </w:tcPr>
          <w:p w14:paraId="248762B1"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1,4</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78E1F5B7"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1,4</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0F9C7062"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1,6</w:t>
            </w:r>
          </w:p>
        </w:tc>
        <w:tc>
          <w:tcPr>
            <w:tcW w:w="873" w:type="dxa"/>
            <w:tcBorders>
              <w:top w:val="nil"/>
              <w:left w:val="nil"/>
              <w:bottom w:val="single" w:sz="4" w:space="0" w:color="auto"/>
              <w:right w:val="single" w:sz="4" w:space="0" w:color="auto"/>
            </w:tcBorders>
            <w:shd w:val="clear" w:color="auto" w:fill="DEEAF6"/>
            <w:noWrap/>
            <w:tcMar>
              <w:right w:w="170" w:type="dxa"/>
            </w:tcMar>
            <w:vAlign w:val="center"/>
          </w:tcPr>
          <w:p w14:paraId="7F901FA9"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1,8</w:t>
            </w:r>
          </w:p>
        </w:tc>
        <w:tc>
          <w:tcPr>
            <w:tcW w:w="874" w:type="dxa"/>
            <w:tcBorders>
              <w:top w:val="nil"/>
              <w:left w:val="nil"/>
              <w:bottom w:val="single" w:sz="4" w:space="0" w:color="auto"/>
              <w:right w:val="single" w:sz="4" w:space="0" w:color="auto"/>
            </w:tcBorders>
            <w:shd w:val="clear" w:color="auto" w:fill="DEEAF6"/>
            <w:noWrap/>
            <w:tcMar>
              <w:right w:w="170" w:type="dxa"/>
            </w:tcMar>
            <w:vAlign w:val="center"/>
          </w:tcPr>
          <w:p w14:paraId="571BA236"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1,8</w:t>
            </w:r>
          </w:p>
        </w:tc>
        <w:tc>
          <w:tcPr>
            <w:tcW w:w="873" w:type="dxa"/>
            <w:tcBorders>
              <w:top w:val="nil"/>
              <w:left w:val="nil"/>
              <w:bottom w:val="single" w:sz="4" w:space="0" w:color="auto"/>
              <w:right w:val="single" w:sz="4" w:space="0" w:color="auto"/>
            </w:tcBorders>
            <w:shd w:val="clear" w:color="auto" w:fill="DEEAF6"/>
            <w:vAlign w:val="center"/>
          </w:tcPr>
          <w:p w14:paraId="5A2AC95B" w14:textId="77777777" w:rsidR="00074880" w:rsidRPr="002869EC" w:rsidRDefault="00074880" w:rsidP="00D05EC7">
            <w:pPr>
              <w:spacing w:line="240" w:lineRule="auto"/>
              <w:ind w:firstLine="0"/>
              <w:jc w:val="center"/>
              <w:rPr>
                <w:rFonts w:eastAsia="Calibri" w:cs="Times New Roman"/>
                <w:sz w:val="20"/>
                <w:szCs w:val="20"/>
              </w:rPr>
            </w:pPr>
            <w:r w:rsidRPr="002869EC">
              <w:rPr>
                <w:rFonts w:eastAsia="Aptos" w:cs="Times New Roman"/>
                <w:color w:val="000000"/>
                <w:sz w:val="20"/>
                <w:szCs w:val="20"/>
              </w:rPr>
              <w:t>1,9</w:t>
            </w:r>
          </w:p>
        </w:tc>
      </w:tr>
    </w:tbl>
    <w:p w14:paraId="3F3B17CD" w14:textId="77777777" w:rsidR="00074880" w:rsidRPr="002869EC" w:rsidRDefault="00074880" w:rsidP="006357B3">
      <w:pPr>
        <w:spacing w:after="160" w:line="240" w:lineRule="auto"/>
        <w:ind w:firstLine="0"/>
        <w:rPr>
          <w:rFonts w:eastAsia="Aptos" w:cs="Times New Roman"/>
        </w:rPr>
      </w:pPr>
    </w:p>
    <w:p w14:paraId="590CD735" w14:textId="487A0F42" w:rsidR="00074880" w:rsidRPr="002869EC" w:rsidRDefault="00074880" w:rsidP="006357B3">
      <w:pPr>
        <w:spacing w:after="160" w:line="240" w:lineRule="auto"/>
        <w:rPr>
          <w:rFonts w:eastAsia="Aptos" w:cs="Times New Roman"/>
        </w:rPr>
      </w:pPr>
      <w:r w:rsidRPr="002869EC">
        <w:rPr>
          <w:rFonts w:eastAsia="Aptos" w:cs="Times New Roman"/>
        </w:rPr>
        <w:t xml:space="preserve">Jāatzīmē, ka potenciālā IKP pieaugums pēc </w:t>
      </w:r>
      <w:r w:rsidR="00013CAB" w:rsidRPr="002869EC">
        <w:rPr>
          <w:rFonts w:eastAsia="Aptos" w:cs="Times New Roman"/>
        </w:rPr>
        <w:t>EK</w:t>
      </w:r>
      <w:r w:rsidRPr="002869EC">
        <w:rPr>
          <w:rFonts w:eastAsia="Aptos" w:cs="Times New Roman"/>
        </w:rPr>
        <w:t xml:space="preserve"> aprēķiniem ir zemāks, 1,3% apmērā. Šī atšķirība pamatā skaidrojama ar atšķirīgiem pieņēmumiem par iedzīvotāju līdzdalības līmeni darba tirgū. </w:t>
      </w:r>
      <w:r w:rsidR="00013CAB" w:rsidRPr="002869EC">
        <w:rPr>
          <w:rFonts w:eastAsia="Aptos" w:cs="Times New Roman"/>
        </w:rPr>
        <w:t>FM</w:t>
      </w:r>
      <w:r w:rsidRPr="002869EC">
        <w:rPr>
          <w:rFonts w:eastAsia="Aptos" w:cs="Times New Roman"/>
        </w:rPr>
        <w:t xml:space="preserve"> pieņem, ka līdzdalības līmenis tuvosies 70% no iedzīvotāju skaita darbaspējas vecumā (15-74 gadi), jo tas atbilst valdības politikai un pēdējām darbaspēka tirgus tendencēm, kamēr EK pieņem, ka šis rādītājs prognožu periodā samazināsies. Viens šis pieņēmums izskaidro 0,4 procentpunktu atšķirību starp FM un EK prognozēm, tikmēr pārējo rādītāju, proti, potenciālā kapitāla un potenciālās produktivitātes dinamika prognožu periodā ir līdzīga.</w:t>
      </w:r>
    </w:p>
    <w:p w14:paraId="76623768" w14:textId="77777777" w:rsidR="008B0C5E" w:rsidRDefault="008B0C5E">
      <w:pPr>
        <w:spacing w:after="160" w:line="259"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pPr>
      <w:r>
        <w:rPr>
          <w:sz w:val="32"/>
          <w:szCs w:val="32"/>
        </w:rPr>
        <w:br w:type="page"/>
      </w:r>
    </w:p>
    <w:p w14:paraId="3FEEE4D6" w14:textId="4BB83F53" w:rsidR="00EF14FD" w:rsidRPr="002869EC" w:rsidRDefault="005A4348" w:rsidP="006357B3">
      <w:pPr>
        <w:pStyle w:val="Heading1"/>
        <w:spacing w:before="0" w:after="240" w:line="240" w:lineRule="auto"/>
        <w:rPr>
          <w:sz w:val="32"/>
          <w:szCs w:val="32"/>
        </w:rPr>
      </w:pPr>
      <w:bookmarkStart w:id="19" w:name="_Toc179540623"/>
      <w:r w:rsidRPr="002869EC">
        <w:rPr>
          <w:sz w:val="32"/>
          <w:szCs w:val="32"/>
        </w:rPr>
        <w:lastRenderedPageBreak/>
        <w:t>4</w:t>
      </w:r>
      <w:r w:rsidR="00BF4753" w:rsidRPr="002869EC">
        <w:rPr>
          <w:sz w:val="32"/>
          <w:szCs w:val="32"/>
        </w:rPr>
        <w:t xml:space="preserve">. </w:t>
      </w:r>
      <w:bookmarkEnd w:id="8"/>
      <w:bookmarkEnd w:id="9"/>
      <w:r w:rsidRPr="002869EC">
        <w:rPr>
          <w:sz w:val="32"/>
          <w:szCs w:val="32"/>
        </w:rPr>
        <w:t>Fiskālā situācija</w:t>
      </w:r>
      <w:bookmarkEnd w:id="19"/>
    </w:p>
    <w:p w14:paraId="5870A9CA" w14:textId="1269C4C5" w:rsidR="00BF4753" w:rsidRPr="002869EC" w:rsidRDefault="005A4348" w:rsidP="006357B3">
      <w:pPr>
        <w:pStyle w:val="Heading2"/>
        <w:numPr>
          <w:ilvl w:val="0"/>
          <w:numId w:val="0"/>
        </w:numPr>
        <w:spacing w:before="240" w:after="240" w:line="240" w:lineRule="auto"/>
        <w:ind w:left="578"/>
        <w:rPr>
          <w:rFonts w:eastAsia="Times New Roman" w:cs="Times New Roman"/>
          <w:sz w:val="28"/>
          <w:szCs w:val="24"/>
        </w:rPr>
      </w:pPr>
      <w:bookmarkStart w:id="20" w:name="_Toc179540624"/>
      <w:r w:rsidRPr="002869EC">
        <w:rPr>
          <w:rFonts w:eastAsia="Times New Roman" w:cs="Times New Roman"/>
          <w:sz w:val="28"/>
          <w:szCs w:val="24"/>
        </w:rPr>
        <w:t>4</w:t>
      </w:r>
      <w:r w:rsidR="00BF4753" w:rsidRPr="002869EC">
        <w:rPr>
          <w:rFonts w:eastAsia="Times New Roman" w:cs="Times New Roman"/>
          <w:sz w:val="28"/>
          <w:szCs w:val="24"/>
        </w:rPr>
        <w:t xml:space="preserve">.1. </w:t>
      </w:r>
      <w:r w:rsidRPr="002869EC">
        <w:rPr>
          <w:rFonts w:eastAsia="Times New Roman" w:cs="Times New Roman"/>
          <w:sz w:val="28"/>
          <w:szCs w:val="24"/>
        </w:rPr>
        <w:t>Fiskālie rādītāji 2023. gadā un prognozes 2024. gadam</w:t>
      </w:r>
      <w:bookmarkEnd w:id="20"/>
    </w:p>
    <w:p w14:paraId="1026884C" w14:textId="77777777" w:rsidR="001E0F9A" w:rsidRPr="00FC3DA6" w:rsidRDefault="001E0F9A" w:rsidP="006357B3">
      <w:pPr>
        <w:spacing w:line="240" w:lineRule="auto"/>
        <w:rPr>
          <w:rFonts w:eastAsia="Calibri" w:cs="Times New Roman"/>
          <w:szCs w:val="24"/>
        </w:rPr>
      </w:pPr>
      <w:bookmarkStart w:id="21" w:name="_Toc5627371"/>
      <w:r w:rsidRPr="002869EC">
        <w:rPr>
          <w:rFonts w:eastAsia="Calibri" w:cs="Times New Roman"/>
          <w:szCs w:val="24"/>
        </w:rPr>
        <w:t xml:space="preserve">Atbilstoši </w:t>
      </w:r>
      <w:r w:rsidRPr="00FC3DA6">
        <w:rPr>
          <w:rFonts w:eastAsia="Times New Roman" w:cs="Times New Roman"/>
          <w:color w:val="000000"/>
          <w:szCs w:val="24"/>
          <w:shd w:val="clear" w:color="auto" w:fill="FFFFFF"/>
        </w:rPr>
        <w:t>vispārējās valdības budžeta deficīta un parāda notifikācijas rezultātiem, kas publicēti 2024. gada aprīlī</w:t>
      </w:r>
      <w:r w:rsidRPr="00FC3DA6">
        <w:rPr>
          <w:rFonts w:eastAsia="Times New Roman" w:cs="Times New Roman"/>
          <w:szCs w:val="20"/>
          <w:shd w:val="clear" w:color="auto" w:fill="FFFFFF"/>
          <w:vertAlign w:val="superscript"/>
        </w:rPr>
        <w:footnoteReference w:id="2"/>
      </w:r>
      <w:r w:rsidRPr="00FC3DA6">
        <w:rPr>
          <w:rFonts w:eastAsia="Times New Roman" w:cs="Times New Roman"/>
          <w:color w:val="000000"/>
          <w:szCs w:val="24"/>
          <w:shd w:val="clear" w:color="auto" w:fill="FFFFFF"/>
        </w:rPr>
        <w:t xml:space="preserve">, </w:t>
      </w:r>
      <w:r w:rsidRPr="002869EC">
        <w:rPr>
          <w:rFonts w:eastAsia="Calibri" w:cs="Times New Roman"/>
          <w:szCs w:val="24"/>
        </w:rPr>
        <w:t xml:space="preserve">vispārējās valdības budžetā 2023. gadā bija deficīts 893,1 </w:t>
      </w:r>
      <w:r w:rsidRPr="00FC3DA6">
        <w:rPr>
          <w:rFonts w:eastAsia="Calibri" w:cs="Times New Roman"/>
          <w:szCs w:val="24"/>
        </w:rPr>
        <w:t xml:space="preserve">milj. </w:t>
      </w:r>
      <w:proofErr w:type="spellStart"/>
      <w:r w:rsidRPr="00FC3DA6">
        <w:rPr>
          <w:rFonts w:eastAsia="Calibri" w:cs="Times New Roman"/>
          <w:i/>
          <w:szCs w:val="24"/>
        </w:rPr>
        <w:t>euro</w:t>
      </w:r>
      <w:proofErr w:type="spellEnd"/>
      <w:r w:rsidRPr="00FC3DA6">
        <w:rPr>
          <w:rFonts w:eastAsia="Calibri" w:cs="Times New Roman"/>
          <w:szCs w:val="24"/>
        </w:rPr>
        <w:t xml:space="preserve"> apmērā jeb 2,2% no IKP.</w:t>
      </w:r>
    </w:p>
    <w:p w14:paraId="31478382" w14:textId="77777777" w:rsidR="001E0F9A" w:rsidRPr="002869EC" w:rsidRDefault="001E0F9A" w:rsidP="006357B3">
      <w:pPr>
        <w:spacing w:line="240" w:lineRule="auto"/>
        <w:rPr>
          <w:rFonts w:eastAsia="Times New Roman" w:cs="Times New Roman"/>
          <w:color w:val="000000"/>
          <w:szCs w:val="24"/>
          <w:shd w:val="clear" w:color="auto" w:fill="FFFFFF"/>
        </w:rPr>
      </w:pPr>
      <w:r w:rsidRPr="002869EC">
        <w:rPr>
          <w:rFonts w:eastAsia="Times New Roman" w:cs="Times New Roman"/>
          <w:color w:val="000000"/>
          <w:szCs w:val="24"/>
          <w:shd w:val="clear" w:color="auto" w:fill="FFFFFF"/>
        </w:rPr>
        <w:t xml:space="preserve">Salīdzinot ar 2022. gadu, kad vispārējās valdības budžeta deficīts bija 4,6% no IKP, 2023. gadā bilance uzlabojās par 2,4 procentpunktiem, būtiski samazinoties Covid-19 atbalstam un </w:t>
      </w:r>
      <w:proofErr w:type="spellStart"/>
      <w:r w:rsidRPr="00FC3DA6">
        <w:rPr>
          <w:rFonts w:eastAsia="Times New Roman" w:cs="Times New Roman"/>
          <w:color w:val="000000"/>
          <w:szCs w:val="24"/>
          <w:shd w:val="clear" w:color="auto" w:fill="FFFFFF"/>
        </w:rPr>
        <w:t>energoatbalstam</w:t>
      </w:r>
      <w:proofErr w:type="spellEnd"/>
      <w:r w:rsidRPr="00FC3DA6">
        <w:rPr>
          <w:rFonts w:eastAsia="Times New Roman" w:cs="Times New Roman"/>
          <w:color w:val="000000"/>
          <w:szCs w:val="24"/>
          <w:shd w:val="clear" w:color="auto" w:fill="FFFFFF"/>
        </w:rPr>
        <w:t>.</w:t>
      </w:r>
      <w:r w:rsidRPr="002869EC">
        <w:rPr>
          <w:rFonts w:eastAsia="Times New Roman" w:cs="Times New Roman"/>
          <w:color w:val="000000"/>
          <w:szCs w:val="24"/>
          <w:shd w:val="clear" w:color="auto" w:fill="FFFFFF"/>
        </w:rPr>
        <w:t xml:space="preserve"> Ja kopējā atbalsta ietekme uz bilanci bija negatīva un 2020. gadā veidoja ap 1 mljrd</w:t>
      </w:r>
      <w:r w:rsidRPr="00FC3DA6">
        <w:rPr>
          <w:rFonts w:eastAsia="Times New Roman" w:cs="Times New Roman"/>
          <w:color w:val="000000"/>
          <w:szCs w:val="24"/>
          <w:shd w:val="clear" w:color="auto" w:fill="FFFFFF"/>
        </w:rPr>
        <w:t xml:space="preserve">. </w:t>
      </w:r>
      <w:proofErr w:type="spellStart"/>
      <w:r w:rsidRPr="00FC3DA6">
        <w:rPr>
          <w:rFonts w:eastAsia="Times New Roman" w:cs="Times New Roman"/>
          <w:i/>
          <w:iCs/>
          <w:color w:val="000000"/>
          <w:szCs w:val="24"/>
          <w:shd w:val="clear" w:color="auto" w:fill="FFFFFF"/>
        </w:rPr>
        <w:t>euro</w:t>
      </w:r>
      <w:proofErr w:type="spellEnd"/>
      <w:r w:rsidRPr="00FC3DA6">
        <w:rPr>
          <w:rFonts w:eastAsia="Times New Roman" w:cs="Times New Roman"/>
          <w:color w:val="000000"/>
          <w:szCs w:val="24"/>
          <w:shd w:val="clear" w:color="auto" w:fill="FFFFFF"/>
        </w:rPr>
        <w:t xml:space="preserve"> jeb 3,2% no IKP, 2021. gadā ap 2,1 mljrd. </w:t>
      </w:r>
      <w:proofErr w:type="spellStart"/>
      <w:r w:rsidRPr="00FC3DA6">
        <w:rPr>
          <w:rFonts w:eastAsia="Times New Roman" w:cs="Times New Roman"/>
          <w:i/>
          <w:iCs/>
          <w:color w:val="000000"/>
          <w:szCs w:val="24"/>
          <w:shd w:val="clear" w:color="auto" w:fill="FFFFFF"/>
        </w:rPr>
        <w:t>euro</w:t>
      </w:r>
      <w:proofErr w:type="spellEnd"/>
      <w:r w:rsidRPr="00FC3DA6">
        <w:rPr>
          <w:rFonts w:eastAsia="Times New Roman" w:cs="Times New Roman"/>
          <w:color w:val="000000"/>
          <w:szCs w:val="24"/>
          <w:shd w:val="clear" w:color="auto" w:fill="FFFFFF"/>
        </w:rPr>
        <w:t xml:space="preserve"> jeb 6,3% no IKP un 2022. gadā ap 1,5 mljrd. </w:t>
      </w:r>
      <w:proofErr w:type="spellStart"/>
      <w:r w:rsidRPr="00FC3DA6">
        <w:rPr>
          <w:rFonts w:eastAsia="Times New Roman" w:cs="Times New Roman"/>
          <w:i/>
          <w:iCs/>
          <w:color w:val="000000"/>
          <w:szCs w:val="24"/>
          <w:shd w:val="clear" w:color="auto" w:fill="FFFFFF"/>
        </w:rPr>
        <w:t>euro</w:t>
      </w:r>
      <w:proofErr w:type="spellEnd"/>
      <w:r w:rsidRPr="00FC3DA6">
        <w:rPr>
          <w:rFonts w:eastAsia="Times New Roman" w:cs="Times New Roman"/>
          <w:color w:val="000000"/>
          <w:szCs w:val="24"/>
          <w:shd w:val="clear" w:color="auto" w:fill="FFFFFF"/>
        </w:rPr>
        <w:t xml:space="preserve"> jeb 3,9% no IKP, tad pēc FM novērtējuma kopējais atbalsts 2023. gadā sasniedza ap 0,6 mljrd. </w:t>
      </w:r>
      <w:proofErr w:type="spellStart"/>
      <w:r w:rsidRPr="00FC3DA6">
        <w:rPr>
          <w:rFonts w:eastAsia="Times New Roman" w:cs="Times New Roman"/>
          <w:i/>
          <w:iCs/>
          <w:color w:val="000000"/>
          <w:szCs w:val="24"/>
          <w:shd w:val="clear" w:color="auto" w:fill="FFFFFF"/>
        </w:rPr>
        <w:t>euro</w:t>
      </w:r>
      <w:proofErr w:type="spellEnd"/>
      <w:r w:rsidRPr="00FC3DA6">
        <w:rPr>
          <w:rFonts w:eastAsia="Times New Roman" w:cs="Times New Roman"/>
          <w:color w:val="000000"/>
          <w:szCs w:val="24"/>
          <w:shd w:val="clear" w:color="auto" w:fill="FFFFFF"/>
        </w:rPr>
        <w:t xml:space="preserve"> jeb 1,5% no IKP, no kura vairāk kā 70% veidoja atbalsts energoresursu patērētājiem</w:t>
      </w:r>
      <w:r w:rsidRPr="002869EC">
        <w:rPr>
          <w:rFonts w:eastAsia="Times New Roman" w:cs="Times New Roman"/>
          <w:color w:val="000000"/>
          <w:szCs w:val="24"/>
          <w:shd w:val="clear" w:color="auto" w:fill="FFFFFF"/>
        </w:rPr>
        <w:t xml:space="preserve"> cenu pieauguma apstākļos.</w:t>
      </w:r>
    </w:p>
    <w:p w14:paraId="1F8CD909" w14:textId="4984A917" w:rsidR="001E0F9A" w:rsidRPr="00FC3DA6" w:rsidRDefault="001E0F9A" w:rsidP="006357B3">
      <w:pPr>
        <w:spacing w:line="240" w:lineRule="auto"/>
        <w:rPr>
          <w:rFonts w:eastAsia="Times New Roman" w:cs="Times New Roman"/>
          <w:szCs w:val="24"/>
        </w:rPr>
      </w:pPr>
      <w:r w:rsidRPr="00FC3DA6">
        <w:rPr>
          <w:rFonts w:eastAsia="Times New Roman" w:cs="Times New Roman"/>
          <w:szCs w:val="24"/>
        </w:rPr>
        <w:t>Ņemot vērā būtisku nodokļu ieņēmumu kāpumu un mazākus izdevumus atbalstam, 2023. gadā bilance centrālajā valdībā salīdzinājumā ar 2022. gadu uzlabojās, taču joprojām šajā sektorā bija vērojams deficīts</w:t>
      </w:r>
      <w:r w:rsidR="0034054B" w:rsidRPr="00FC3DA6">
        <w:rPr>
          <w:rFonts w:eastAsia="Times New Roman" w:cs="Times New Roman"/>
          <w:szCs w:val="24"/>
        </w:rPr>
        <w:t xml:space="preserve"> </w:t>
      </w:r>
      <w:r w:rsidRPr="00FC3DA6">
        <w:rPr>
          <w:rFonts w:eastAsia="Times New Roman" w:cs="Times New Roman"/>
          <w:szCs w:val="24"/>
        </w:rPr>
        <w:t xml:space="preserve">– 1,1 miljards </w:t>
      </w:r>
      <w:proofErr w:type="spellStart"/>
      <w:r w:rsidRPr="00FC3DA6">
        <w:rPr>
          <w:rFonts w:eastAsia="Times New Roman" w:cs="Times New Roman"/>
          <w:i/>
          <w:iCs/>
          <w:szCs w:val="24"/>
        </w:rPr>
        <w:t>euro</w:t>
      </w:r>
      <w:proofErr w:type="spellEnd"/>
      <w:r w:rsidRPr="00FC3DA6">
        <w:rPr>
          <w:rFonts w:eastAsia="Times New Roman" w:cs="Times New Roman"/>
          <w:szCs w:val="24"/>
        </w:rPr>
        <w:t>. Arī vietējās valdības budžetā, izdevumiem būtiski augot visās izdevumu grupās, bilance pasliktinājās, un bija deficīts 136,9 milj. </w:t>
      </w:r>
      <w:proofErr w:type="spellStart"/>
      <w:r w:rsidRPr="00FC3DA6">
        <w:rPr>
          <w:rFonts w:eastAsia="Times New Roman" w:cs="Times New Roman"/>
          <w:i/>
          <w:iCs/>
          <w:szCs w:val="24"/>
        </w:rPr>
        <w:t>euro</w:t>
      </w:r>
      <w:proofErr w:type="spellEnd"/>
      <w:r w:rsidRPr="00FC3DA6">
        <w:rPr>
          <w:rFonts w:eastAsia="Times New Roman" w:cs="Times New Roman"/>
          <w:szCs w:val="24"/>
        </w:rPr>
        <w:t xml:space="preserve">. Savukārt, sociālās nodrošināšanas fondā bilance salīdzinājumā ar 2022. gadu uzlabojās, ieņēmumiem augot straujāk par izdevumiem, un saglabājās budžeta pārpalikums 314,5 milj. </w:t>
      </w:r>
      <w:proofErr w:type="spellStart"/>
      <w:r w:rsidRPr="00FC3DA6">
        <w:rPr>
          <w:rFonts w:eastAsia="Times New Roman" w:cs="Times New Roman"/>
          <w:i/>
          <w:iCs/>
          <w:szCs w:val="24"/>
        </w:rPr>
        <w:t>euro</w:t>
      </w:r>
      <w:proofErr w:type="spellEnd"/>
      <w:r w:rsidRPr="00FC3DA6">
        <w:rPr>
          <w:rFonts w:eastAsia="Times New Roman" w:cs="Times New Roman"/>
          <w:szCs w:val="24"/>
        </w:rPr>
        <w:t xml:space="preserve"> (skat. 4.1. attēlu).</w:t>
      </w:r>
    </w:p>
    <w:p w14:paraId="796EFAB1" w14:textId="77777777" w:rsidR="001E0F9A" w:rsidRPr="00FC3DA6" w:rsidRDefault="001E0F9A" w:rsidP="006357B3">
      <w:pPr>
        <w:spacing w:line="240" w:lineRule="auto"/>
        <w:ind w:firstLine="0"/>
        <w:rPr>
          <w:rFonts w:eastAsia="Times New Roman" w:cs="Times New Roman"/>
          <w:szCs w:val="24"/>
          <w:highlight w:val="yellow"/>
        </w:rPr>
        <w:sectPr w:rsidR="001E0F9A" w:rsidRPr="00FC3DA6" w:rsidSect="00B42F99">
          <w:footerReference w:type="default" r:id="rId17"/>
          <w:type w:val="continuous"/>
          <w:pgSz w:w="11906" w:h="16838"/>
          <w:pgMar w:top="1418" w:right="1134" w:bottom="567" w:left="1701" w:header="1418" w:footer="1134" w:gutter="0"/>
          <w:cols w:space="709"/>
          <w:titlePg/>
          <w:docGrid w:linePitch="360"/>
        </w:sectPr>
      </w:pPr>
      <w:r w:rsidRPr="00AA65A7">
        <w:rPr>
          <w:rFonts w:eastAsia="Times New Roman" w:cs="Times New Roman"/>
          <w:noProof/>
          <w:szCs w:val="24"/>
        </w:rPr>
        <w:drawing>
          <wp:anchor distT="0" distB="0" distL="114300" distR="114300" simplePos="0" relativeHeight="251668480" behindDoc="0" locked="0" layoutInCell="1" allowOverlap="1" wp14:anchorId="4705F26B" wp14:editId="4A31D613">
            <wp:simplePos x="0" y="0"/>
            <wp:positionH relativeFrom="column">
              <wp:posOffset>2950210</wp:posOffset>
            </wp:positionH>
            <wp:positionV relativeFrom="paragraph">
              <wp:posOffset>85090</wp:posOffset>
            </wp:positionV>
            <wp:extent cx="2878455" cy="2654935"/>
            <wp:effectExtent l="0" t="0" r="0" b="0"/>
            <wp:wrapSquare wrapText="bothSides"/>
            <wp:docPr id="1102229809" name="Picture 1" descr="A graph of different colored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29809" name="Picture 1" descr="A graph of different colored columns"/>
                    <pic:cNvPicPr/>
                  </pic:nvPicPr>
                  <pic:blipFill>
                    <a:blip r:embed="rId18">
                      <a:extLst>
                        <a:ext uri="{28A0092B-C50C-407E-A947-70E740481C1C}">
                          <a14:useLocalDpi xmlns:a14="http://schemas.microsoft.com/office/drawing/2010/main" val="0"/>
                        </a:ext>
                      </a:extLst>
                    </a:blip>
                    <a:stretch>
                      <a:fillRect/>
                    </a:stretch>
                  </pic:blipFill>
                  <pic:spPr>
                    <a:xfrm>
                      <a:off x="0" y="0"/>
                      <a:ext cx="2878455" cy="2654935"/>
                    </a:xfrm>
                    <a:prstGeom prst="rect">
                      <a:avLst/>
                    </a:prstGeom>
                  </pic:spPr>
                </pic:pic>
              </a:graphicData>
            </a:graphic>
            <wp14:sizeRelH relativeFrom="margin">
              <wp14:pctWidth>0</wp14:pctWidth>
            </wp14:sizeRelH>
            <wp14:sizeRelV relativeFrom="margin">
              <wp14:pctHeight>0</wp14:pctHeight>
            </wp14:sizeRelV>
          </wp:anchor>
        </w:drawing>
      </w:r>
      <w:r w:rsidRPr="00AA65A7">
        <w:rPr>
          <w:rFonts w:eastAsia="Times New Roman" w:cs="Times New Roman"/>
          <w:noProof/>
          <w:szCs w:val="24"/>
        </w:rPr>
        <w:drawing>
          <wp:anchor distT="0" distB="0" distL="114300" distR="114300" simplePos="0" relativeHeight="251669504" behindDoc="0" locked="0" layoutInCell="1" allowOverlap="1" wp14:anchorId="74EE839F" wp14:editId="7D3C5A1A">
            <wp:simplePos x="0" y="0"/>
            <wp:positionH relativeFrom="margin">
              <wp:posOffset>2870</wp:posOffset>
            </wp:positionH>
            <wp:positionV relativeFrom="paragraph">
              <wp:posOffset>23114</wp:posOffset>
            </wp:positionV>
            <wp:extent cx="2880995" cy="2727960"/>
            <wp:effectExtent l="0" t="0" r="0" b="0"/>
            <wp:wrapSquare wrapText="bothSides"/>
            <wp:docPr id="912722568" name="Picture 1" descr="A graph with numbers an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22568" name="Picture 1" descr="A graph with numbers and lines"/>
                    <pic:cNvPicPr/>
                  </pic:nvPicPr>
                  <pic:blipFill>
                    <a:blip r:embed="rId19">
                      <a:extLst>
                        <a:ext uri="{28A0092B-C50C-407E-A947-70E740481C1C}">
                          <a14:useLocalDpi xmlns:a14="http://schemas.microsoft.com/office/drawing/2010/main" val="0"/>
                        </a:ext>
                      </a:extLst>
                    </a:blip>
                    <a:stretch>
                      <a:fillRect/>
                    </a:stretch>
                  </pic:blipFill>
                  <pic:spPr>
                    <a:xfrm>
                      <a:off x="0" y="0"/>
                      <a:ext cx="2880995" cy="2727960"/>
                    </a:xfrm>
                    <a:prstGeom prst="rect">
                      <a:avLst/>
                    </a:prstGeom>
                  </pic:spPr>
                </pic:pic>
              </a:graphicData>
            </a:graphic>
            <wp14:sizeRelH relativeFrom="margin">
              <wp14:pctWidth>0</wp14:pctWidth>
            </wp14:sizeRelH>
            <wp14:sizeRelV relativeFrom="margin">
              <wp14:pctHeight>0</wp14:pctHeight>
            </wp14:sizeRelV>
          </wp:anchor>
        </w:drawing>
      </w:r>
    </w:p>
    <w:p w14:paraId="319462FF" w14:textId="767F5C91" w:rsidR="001E0F9A" w:rsidRPr="00702199" w:rsidRDefault="001E0F9A" w:rsidP="006357B3">
      <w:pPr>
        <w:spacing w:line="240" w:lineRule="auto"/>
        <w:ind w:firstLine="0"/>
        <w:jc w:val="center"/>
        <w:rPr>
          <w:rFonts w:eastAsia="Calibri" w:cs="Times New Roman"/>
          <w:b/>
          <w:i/>
          <w:iCs/>
          <w:szCs w:val="24"/>
        </w:rPr>
      </w:pPr>
      <w:bookmarkStart w:id="22" w:name="_Hlk178965895"/>
      <w:r w:rsidRPr="00702199">
        <w:rPr>
          <w:rFonts w:eastAsia="Calibri" w:cs="Times New Roman"/>
          <w:b/>
          <w:i/>
          <w:iCs/>
          <w:szCs w:val="24"/>
        </w:rPr>
        <w:t>4.1.</w:t>
      </w:r>
      <w:r w:rsidR="00BF055E" w:rsidRPr="00702199">
        <w:rPr>
          <w:rFonts w:eastAsia="Calibri" w:cs="Times New Roman"/>
          <w:b/>
          <w:i/>
          <w:iCs/>
          <w:szCs w:val="24"/>
        </w:rPr>
        <w:t xml:space="preserve"> </w:t>
      </w:r>
      <w:r w:rsidRPr="00702199">
        <w:rPr>
          <w:rFonts w:eastAsia="Calibri" w:cs="Times New Roman"/>
          <w:b/>
          <w:i/>
          <w:iCs/>
          <w:szCs w:val="24"/>
        </w:rPr>
        <w:t xml:space="preserve">att. Vispārējās valdības budžeta bilance sadalījumā pa </w:t>
      </w:r>
      <w:proofErr w:type="spellStart"/>
      <w:r w:rsidRPr="00702199">
        <w:rPr>
          <w:rFonts w:eastAsia="Calibri" w:cs="Times New Roman"/>
          <w:b/>
          <w:i/>
          <w:iCs/>
          <w:szCs w:val="24"/>
        </w:rPr>
        <w:t>apakšsektoriem</w:t>
      </w:r>
      <w:proofErr w:type="spellEnd"/>
      <w:r w:rsidRPr="00702199">
        <w:rPr>
          <w:rFonts w:eastAsia="Calibri" w:cs="Times New Roman"/>
          <w:b/>
          <w:i/>
          <w:iCs/>
          <w:szCs w:val="24"/>
        </w:rPr>
        <w:t xml:space="preserve">, </w:t>
      </w:r>
      <w:r w:rsidRPr="00702199">
        <w:rPr>
          <w:rFonts w:eastAsia="Calibri" w:cs="Times New Roman"/>
          <w:b/>
          <w:i/>
          <w:iCs/>
          <w:szCs w:val="24"/>
        </w:rPr>
        <w:br/>
        <w:t xml:space="preserve">% no IKP </w:t>
      </w:r>
      <w:bookmarkEnd w:id="22"/>
      <w:r w:rsidRPr="00702199">
        <w:rPr>
          <w:rFonts w:eastAsia="Calibri" w:cs="Times New Roman"/>
          <w:b/>
          <w:i/>
          <w:iCs/>
          <w:szCs w:val="24"/>
        </w:rPr>
        <w:t xml:space="preserve">(Datu avots: </w:t>
      </w:r>
      <w:proofErr w:type="spellStart"/>
      <w:r w:rsidRPr="00702199">
        <w:rPr>
          <w:rFonts w:eastAsia="Calibri" w:cs="Times New Roman"/>
          <w:b/>
          <w:i/>
          <w:iCs/>
          <w:szCs w:val="24"/>
        </w:rPr>
        <w:t>Eurostat</w:t>
      </w:r>
      <w:proofErr w:type="spellEnd"/>
      <w:r w:rsidRPr="00702199">
        <w:rPr>
          <w:rFonts w:eastAsia="Calibri" w:cs="Times New Roman"/>
          <w:b/>
          <w:i/>
          <w:iCs/>
          <w:szCs w:val="24"/>
        </w:rPr>
        <w:t>, FM)</w:t>
      </w:r>
    </w:p>
    <w:p w14:paraId="24A68C82" w14:textId="4D66A972" w:rsidR="001E0F9A" w:rsidRPr="00702199" w:rsidRDefault="001E0F9A" w:rsidP="006357B3">
      <w:pPr>
        <w:spacing w:line="240" w:lineRule="auto"/>
        <w:ind w:firstLine="0"/>
        <w:jc w:val="center"/>
        <w:rPr>
          <w:rFonts w:eastAsia="Times New Roman" w:cs="Times New Roman"/>
          <w:i/>
          <w:iCs/>
          <w:szCs w:val="24"/>
        </w:rPr>
        <w:sectPr w:rsidR="001E0F9A" w:rsidRPr="00702199" w:rsidSect="00795CD8">
          <w:type w:val="continuous"/>
          <w:pgSz w:w="11906" w:h="16838"/>
          <w:pgMar w:top="1418" w:right="1134" w:bottom="568" w:left="1701" w:header="1417" w:footer="1134" w:gutter="0"/>
          <w:cols w:num="2" w:space="709"/>
          <w:titlePg/>
          <w:docGrid w:linePitch="360"/>
        </w:sectPr>
      </w:pPr>
      <w:r w:rsidRPr="00702199">
        <w:rPr>
          <w:rFonts w:eastAsia="Calibri" w:cs="Times New Roman"/>
          <w:b/>
          <w:i/>
          <w:iCs/>
          <w:szCs w:val="24"/>
        </w:rPr>
        <w:t>4.2.</w:t>
      </w:r>
      <w:r w:rsidR="00BF055E" w:rsidRPr="00702199">
        <w:rPr>
          <w:rFonts w:eastAsia="Calibri" w:cs="Times New Roman"/>
          <w:b/>
          <w:i/>
          <w:iCs/>
          <w:szCs w:val="24"/>
        </w:rPr>
        <w:t xml:space="preserve"> </w:t>
      </w:r>
      <w:r w:rsidRPr="00702199">
        <w:rPr>
          <w:rFonts w:eastAsia="Calibri" w:cs="Times New Roman"/>
          <w:b/>
          <w:i/>
          <w:iCs/>
          <w:szCs w:val="24"/>
        </w:rPr>
        <w:t>att. Vispārējās valdības ieņēmumi un izdevumi,</w:t>
      </w:r>
      <w:r w:rsidR="0034054B" w:rsidRPr="00702199">
        <w:rPr>
          <w:rFonts w:eastAsia="Calibri" w:cs="Times New Roman"/>
          <w:b/>
          <w:i/>
          <w:iCs/>
          <w:szCs w:val="24"/>
        </w:rPr>
        <w:t xml:space="preserve"> </w:t>
      </w:r>
      <w:r w:rsidRPr="00702199">
        <w:rPr>
          <w:rFonts w:eastAsia="Calibri" w:cs="Times New Roman"/>
          <w:b/>
          <w:i/>
          <w:iCs/>
          <w:szCs w:val="24"/>
        </w:rPr>
        <w:t>% no IKP</w:t>
      </w:r>
      <w:r w:rsidRPr="00702199">
        <w:rPr>
          <w:rFonts w:eastAsia="Calibri" w:cs="Times New Roman"/>
          <w:b/>
          <w:i/>
          <w:iCs/>
          <w:szCs w:val="24"/>
        </w:rPr>
        <w:br/>
        <w:t xml:space="preserve">(Datu avots: </w:t>
      </w:r>
      <w:proofErr w:type="spellStart"/>
      <w:r w:rsidRPr="00702199">
        <w:rPr>
          <w:rFonts w:eastAsia="Calibri" w:cs="Times New Roman"/>
          <w:b/>
          <w:i/>
          <w:iCs/>
          <w:szCs w:val="24"/>
        </w:rPr>
        <w:t>Eurostat</w:t>
      </w:r>
      <w:proofErr w:type="spellEnd"/>
      <w:r w:rsidRPr="00702199">
        <w:rPr>
          <w:rFonts w:eastAsia="Calibri" w:cs="Times New Roman"/>
          <w:b/>
          <w:i/>
          <w:iCs/>
          <w:szCs w:val="24"/>
        </w:rPr>
        <w:t>, FM)</w:t>
      </w:r>
    </w:p>
    <w:p w14:paraId="24690FB9" w14:textId="797BC8AF" w:rsidR="001E0F9A" w:rsidRPr="00FC3DA6" w:rsidRDefault="001E0F9A" w:rsidP="006357B3">
      <w:pPr>
        <w:spacing w:line="240" w:lineRule="auto"/>
        <w:rPr>
          <w:rFonts w:eastAsia="Calibri" w:cs="Times New Roman"/>
          <w:szCs w:val="24"/>
          <w:highlight w:val="yellow"/>
        </w:rPr>
      </w:pPr>
      <w:bookmarkStart w:id="23" w:name="_Hlk177728048"/>
      <w:bookmarkStart w:id="24" w:name="_Hlk177729205"/>
      <w:r w:rsidRPr="00FC3DA6">
        <w:rPr>
          <w:rFonts w:eastAsia="Calibri" w:cs="Times New Roman"/>
          <w:szCs w:val="24"/>
        </w:rPr>
        <w:t xml:space="preserve">2023. gadā, salīdzinot ar 2022. gadu, vispārējās valdības budžeta ieņēmumi pieauguši par 1,7 mljrd. </w:t>
      </w:r>
      <w:proofErr w:type="spellStart"/>
      <w:r w:rsidRPr="00FC3DA6">
        <w:rPr>
          <w:rFonts w:eastAsia="Calibri" w:cs="Times New Roman"/>
          <w:i/>
          <w:iCs/>
          <w:szCs w:val="24"/>
        </w:rPr>
        <w:t>euro</w:t>
      </w:r>
      <w:proofErr w:type="spellEnd"/>
      <w:r w:rsidRPr="00FC3DA6">
        <w:rPr>
          <w:rFonts w:eastAsia="Calibri" w:cs="Times New Roman"/>
          <w:szCs w:val="24"/>
        </w:rPr>
        <w:t xml:space="preserve"> jeb 12,3%, sasniedzot 15,6 mljrd. </w:t>
      </w:r>
      <w:proofErr w:type="spellStart"/>
      <w:r w:rsidRPr="00FC3DA6">
        <w:rPr>
          <w:rFonts w:eastAsia="Calibri" w:cs="Times New Roman"/>
          <w:i/>
          <w:iCs/>
          <w:szCs w:val="24"/>
        </w:rPr>
        <w:t>euro</w:t>
      </w:r>
      <w:proofErr w:type="spellEnd"/>
      <w:r w:rsidRPr="00FC3DA6">
        <w:rPr>
          <w:rFonts w:eastAsia="Calibri" w:cs="Times New Roman"/>
          <w:szCs w:val="24"/>
        </w:rPr>
        <w:t xml:space="preserve"> jeb 38,7% no IKP (skat. 4.2. attēlu), galvenokārt par 1,1 mljrd. </w:t>
      </w:r>
      <w:proofErr w:type="spellStart"/>
      <w:r w:rsidRPr="00FC3DA6">
        <w:rPr>
          <w:rFonts w:eastAsia="Calibri" w:cs="Times New Roman"/>
          <w:i/>
          <w:iCs/>
          <w:szCs w:val="24"/>
        </w:rPr>
        <w:t>euro</w:t>
      </w:r>
      <w:proofErr w:type="spellEnd"/>
      <w:r w:rsidRPr="00FC3DA6">
        <w:rPr>
          <w:rFonts w:eastAsia="Calibri" w:cs="Times New Roman"/>
          <w:szCs w:val="24"/>
        </w:rPr>
        <w:t xml:space="preserve"> jeb 9,1% pieaugot nodokļu ieņēmumiem (nodokļu slogs), kas 13,0 mljrd.</w:t>
      </w:r>
      <w:r w:rsidRPr="002869EC">
        <w:rPr>
          <w:rFonts w:ascii="Calibri" w:eastAsia="Times New Roman" w:hAnsi="Calibri" w:cs="Times New Roman"/>
          <w:sz w:val="22"/>
        </w:rPr>
        <w:t> </w:t>
      </w:r>
      <w:proofErr w:type="spellStart"/>
      <w:r w:rsidRPr="00FC3DA6">
        <w:rPr>
          <w:rFonts w:eastAsia="Calibri" w:cs="Times New Roman"/>
          <w:i/>
          <w:iCs/>
          <w:szCs w:val="24"/>
        </w:rPr>
        <w:t>euro</w:t>
      </w:r>
      <w:proofErr w:type="spellEnd"/>
      <w:r w:rsidRPr="00FC3DA6">
        <w:rPr>
          <w:rFonts w:eastAsia="Calibri" w:cs="Times New Roman"/>
          <w:i/>
          <w:iCs/>
          <w:szCs w:val="24"/>
        </w:rPr>
        <w:t xml:space="preserve"> </w:t>
      </w:r>
      <w:r w:rsidRPr="00FC3DA6">
        <w:rPr>
          <w:rFonts w:eastAsia="Calibri" w:cs="Times New Roman"/>
          <w:szCs w:val="24"/>
        </w:rPr>
        <w:t xml:space="preserve">apmērā veidoja lielāko ieņēmumu daļu. Starp nodokļu ieņēmumiem lielākais </w:t>
      </w:r>
      <w:r w:rsidRPr="00FC3DA6">
        <w:rPr>
          <w:rFonts w:eastAsia="Calibri" w:cs="Times New Roman"/>
          <w:szCs w:val="24"/>
        </w:rPr>
        <w:lastRenderedPageBreak/>
        <w:t xml:space="preserve">pieaugums bija sociālās apdrošināšanas iemaksām (D.61) un ienākuma un mantas kārtējiem nodokļiem (D.5). 2023. gadā nodokļu ieņēmumi sasniedza 32,3% no IKP, kas ir par 1,1 procentpunktu vairāk kā 2022. gadā. </w:t>
      </w:r>
      <w:bookmarkEnd w:id="23"/>
      <w:r w:rsidRPr="00FC3DA6">
        <w:rPr>
          <w:rFonts w:eastAsia="Calibri" w:cs="Times New Roman"/>
          <w:szCs w:val="24"/>
        </w:rPr>
        <w:t xml:space="preserve">Attiecīgi vispārējās valdības budžeta ieņēmumu īpatsvars </w:t>
      </w:r>
      <w:r w:rsidR="00EE7219" w:rsidRPr="00FC3DA6">
        <w:rPr>
          <w:rFonts w:eastAsia="Calibri" w:cs="Times New Roman"/>
          <w:szCs w:val="24"/>
        </w:rPr>
        <w:t>IKP</w:t>
      </w:r>
      <w:r w:rsidRPr="00FC3DA6">
        <w:rPr>
          <w:rFonts w:eastAsia="Calibri" w:cs="Times New Roman"/>
          <w:szCs w:val="24"/>
        </w:rPr>
        <w:t xml:space="preserve"> 2023. gadā palielinājās par 2,5 procentpunktiem.</w:t>
      </w:r>
    </w:p>
    <w:p w14:paraId="6D8D0465" w14:textId="77777777" w:rsidR="001E0F9A" w:rsidRPr="00FC3DA6" w:rsidRDefault="001E0F9A" w:rsidP="006357B3">
      <w:pPr>
        <w:spacing w:line="240" w:lineRule="auto"/>
        <w:rPr>
          <w:rFonts w:eastAsia="Times New Roman" w:cs="Times New Roman"/>
          <w:szCs w:val="24"/>
        </w:rPr>
      </w:pPr>
      <w:r w:rsidRPr="00FC3DA6">
        <w:rPr>
          <w:rFonts w:eastAsia="Times New Roman" w:cs="Times New Roman"/>
          <w:szCs w:val="24"/>
        </w:rPr>
        <w:t xml:space="preserve">Vispārējās valdības budžeta izdevumi 2023. gadā pieauga par 822,5 milj. </w:t>
      </w:r>
      <w:proofErr w:type="spellStart"/>
      <w:r w:rsidRPr="00FC3DA6">
        <w:rPr>
          <w:rFonts w:eastAsia="Calibri" w:cs="Times New Roman"/>
          <w:i/>
          <w:szCs w:val="24"/>
        </w:rPr>
        <w:t>euro</w:t>
      </w:r>
      <w:proofErr w:type="spellEnd"/>
      <w:r w:rsidRPr="00FC3DA6">
        <w:rPr>
          <w:rFonts w:eastAsia="Times New Roman" w:cs="Times New Roman"/>
          <w:szCs w:val="24"/>
        </w:rPr>
        <w:t xml:space="preserve"> jeb 5,2%, sasniedzot 16,5 mljrd. </w:t>
      </w:r>
      <w:proofErr w:type="spellStart"/>
      <w:r w:rsidRPr="00FC3DA6">
        <w:rPr>
          <w:rFonts w:eastAsia="Calibri" w:cs="Times New Roman"/>
          <w:i/>
          <w:szCs w:val="24"/>
        </w:rPr>
        <w:t>euro</w:t>
      </w:r>
      <w:proofErr w:type="spellEnd"/>
      <w:r w:rsidRPr="00FC3DA6">
        <w:rPr>
          <w:rFonts w:eastAsia="Times New Roman" w:cs="Times New Roman"/>
          <w:szCs w:val="24"/>
        </w:rPr>
        <w:t xml:space="preserve"> jeb 41% no IKP (skat. 4.2. attēlu). Zemāks 2023. gada izdevumu pieaugums par ieņēmumiem ir skaidrojams ar lielākiem izdevumiem 2022. gadā stratēģisko gāzes rezervju izveidei, kā arī ar būtiski zemākiem valdības tēriņiem 2023. gadā Covid-19 atbalsta pasākumu finansēšanai. Lielākais izdevumu kāpums (par 584,4 milj.</w:t>
      </w:r>
      <w:r w:rsidRPr="00FC3DA6">
        <w:rPr>
          <w:rFonts w:eastAsia="Times New Roman" w:cs="Times New Roman"/>
          <w:i/>
          <w:iCs/>
          <w:szCs w:val="24"/>
        </w:rPr>
        <w:t xml:space="preserve"> </w:t>
      </w:r>
      <w:proofErr w:type="spellStart"/>
      <w:r w:rsidRPr="00FC3DA6">
        <w:rPr>
          <w:rFonts w:eastAsia="Times New Roman" w:cs="Times New Roman"/>
          <w:i/>
          <w:iCs/>
          <w:szCs w:val="24"/>
        </w:rPr>
        <w:t>euro</w:t>
      </w:r>
      <w:proofErr w:type="spellEnd"/>
      <w:r w:rsidRPr="00FC3DA6">
        <w:rPr>
          <w:rFonts w:eastAsia="Times New Roman" w:cs="Times New Roman"/>
          <w:szCs w:val="24"/>
        </w:rPr>
        <w:t xml:space="preserve"> jeb 14,2%) 2023. gadā bija izdevumiem atalgojumam (D.1) 4,7 mljrd. </w:t>
      </w:r>
      <w:proofErr w:type="spellStart"/>
      <w:r w:rsidRPr="00FC3DA6">
        <w:rPr>
          <w:rFonts w:eastAsia="Times New Roman" w:cs="Times New Roman"/>
          <w:i/>
          <w:iCs/>
          <w:szCs w:val="24"/>
        </w:rPr>
        <w:t>euro</w:t>
      </w:r>
      <w:proofErr w:type="spellEnd"/>
      <w:r w:rsidRPr="00FC3DA6">
        <w:rPr>
          <w:rFonts w:eastAsia="Times New Roman" w:cs="Times New Roman"/>
          <w:szCs w:val="24"/>
        </w:rPr>
        <w:t xml:space="preserve"> apmērā, ko veicināja gan minimālās algas paaugstināšana valstī no 500 </w:t>
      </w:r>
      <w:proofErr w:type="spellStart"/>
      <w:r w:rsidRPr="00FC3DA6">
        <w:rPr>
          <w:rFonts w:eastAsia="Times New Roman" w:cs="Times New Roman"/>
          <w:i/>
          <w:iCs/>
          <w:szCs w:val="24"/>
        </w:rPr>
        <w:t>euro</w:t>
      </w:r>
      <w:proofErr w:type="spellEnd"/>
      <w:r w:rsidRPr="00FC3DA6">
        <w:rPr>
          <w:rFonts w:eastAsia="Times New Roman" w:cs="Times New Roman"/>
          <w:i/>
          <w:iCs/>
          <w:szCs w:val="24"/>
        </w:rPr>
        <w:t xml:space="preserve"> </w:t>
      </w:r>
      <w:r w:rsidRPr="00FC3DA6">
        <w:rPr>
          <w:rFonts w:eastAsia="Times New Roman" w:cs="Times New Roman"/>
          <w:szCs w:val="24"/>
        </w:rPr>
        <w:t xml:space="preserve">līdz 620 </w:t>
      </w:r>
      <w:proofErr w:type="spellStart"/>
      <w:r w:rsidRPr="00FC3DA6">
        <w:rPr>
          <w:rFonts w:eastAsia="Times New Roman" w:cs="Times New Roman"/>
          <w:i/>
          <w:iCs/>
          <w:szCs w:val="24"/>
        </w:rPr>
        <w:t>euro</w:t>
      </w:r>
      <w:proofErr w:type="spellEnd"/>
      <w:r w:rsidRPr="00FC3DA6">
        <w:rPr>
          <w:rFonts w:eastAsia="Times New Roman" w:cs="Times New Roman"/>
          <w:i/>
          <w:iCs/>
          <w:szCs w:val="24"/>
        </w:rPr>
        <w:t xml:space="preserve"> </w:t>
      </w:r>
      <w:r w:rsidRPr="00FC3DA6">
        <w:rPr>
          <w:rFonts w:eastAsia="Times New Roman" w:cs="Times New Roman"/>
          <w:szCs w:val="24"/>
        </w:rPr>
        <w:t xml:space="preserve">ar 2023. gada 1. janvāri, gan pedagogu darba samaksas celšana vietējās valdības budžetā un lielāki centrālas valdības izdevumi atalgojumam, galvenokārt, aizsardzības, </w:t>
      </w:r>
      <w:proofErr w:type="spellStart"/>
      <w:r w:rsidRPr="00FC3DA6">
        <w:rPr>
          <w:rFonts w:eastAsia="Times New Roman" w:cs="Times New Roman"/>
          <w:szCs w:val="24"/>
        </w:rPr>
        <w:t>iekšlietu</w:t>
      </w:r>
      <w:proofErr w:type="spellEnd"/>
      <w:r w:rsidRPr="00FC3DA6">
        <w:rPr>
          <w:rFonts w:eastAsia="Times New Roman" w:cs="Times New Roman"/>
          <w:szCs w:val="24"/>
        </w:rPr>
        <w:t xml:space="preserve"> un tieslietu struktūrās. Pieaugums vērojams arī izdevumiem sociālajiem pabalstiem (D.632 un D.62) par 270,1 milj. </w:t>
      </w:r>
      <w:proofErr w:type="spellStart"/>
      <w:r w:rsidRPr="00FC3DA6">
        <w:rPr>
          <w:rFonts w:eastAsia="Times New Roman" w:cs="Times New Roman"/>
          <w:i/>
          <w:iCs/>
          <w:szCs w:val="24"/>
        </w:rPr>
        <w:t>euro</w:t>
      </w:r>
      <w:proofErr w:type="spellEnd"/>
      <w:r w:rsidRPr="00FC3DA6">
        <w:rPr>
          <w:rFonts w:eastAsia="Times New Roman" w:cs="Times New Roman"/>
          <w:i/>
          <w:iCs/>
          <w:szCs w:val="24"/>
        </w:rPr>
        <w:t xml:space="preserve"> </w:t>
      </w:r>
      <w:r w:rsidRPr="00FC3DA6">
        <w:rPr>
          <w:rFonts w:eastAsia="Times New Roman" w:cs="Times New Roman"/>
          <w:szCs w:val="24"/>
        </w:rPr>
        <w:t>jeb 5,3%,</w:t>
      </w:r>
      <w:r w:rsidRPr="00FC3DA6">
        <w:rPr>
          <w:rFonts w:ascii="Garamond" w:eastAsia="Times New Roman" w:hAnsi="Garamond" w:cs="Times New Roman"/>
          <w:szCs w:val="20"/>
        </w:rPr>
        <w:t xml:space="preserve"> </w:t>
      </w:r>
      <w:r w:rsidRPr="00FC3DA6">
        <w:rPr>
          <w:rFonts w:eastAsia="Times New Roman" w:cs="Times New Roman"/>
          <w:szCs w:val="24"/>
        </w:rPr>
        <w:t>kur sociālās nodrošināšanas fondā, ņemot vērā 2023. gada ļoti augsto pensiju indeksācijas koeficientu, vērojami augstāki izdevumi vecuma un invaliditātes pensijām.</w:t>
      </w:r>
    </w:p>
    <w:bookmarkEnd w:id="24"/>
    <w:p w14:paraId="19A1EFAF" w14:textId="26B9E072" w:rsidR="003F7970" w:rsidRPr="00FC3DA6" w:rsidRDefault="001E0F9A" w:rsidP="006357B3">
      <w:pPr>
        <w:spacing w:before="120" w:line="240" w:lineRule="auto"/>
        <w:rPr>
          <w:rFonts w:eastAsia="Times New Roman" w:cs="Times New Roman"/>
          <w:szCs w:val="24"/>
          <w:lang w:eastAsia="lv-LV"/>
        </w:rPr>
      </w:pPr>
      <w:r w:rsidRPr="00FC3DA6">
        <w:rPr>
          <w:rFonts w:eastAsia="Times New Roman" w:cs="Times New Roman"/>
          <w:szCs w:val="24"/>
          <w:lang w:eastAsia="lv-LV"/>
        </w:rPr>
        <w:t xml:space="preserve">Ja analizē aktuālāko budžeta izpildi pēc naudas plūsmas metodoloģijas, 2024. gada astoņi mēneši konsolidētajā kopbudžetā noslēgti ar 650,1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lielu pārpalikumu, kas ir būtiski augstāks nekā 68,8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pārpalikums astoņos mēnešos pērn. Pārpalikums ir izveidojies visos budžeta līmeņos. Pārpalikumu kopbudžetā sekmēja nozīmīgs ieņēmumu kāpums par 1,5 mljrd.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14,1% salīdzinājumā ar iepriekšējā gada attiecīgo periodu, ieņēmumiem veidojot 11,9 mljrd. </w:t>
      </w:r>
      <w:proofErr w:type="spellStart"/>
      <w:r w:rsidRPr="00FC3DA6">
        <w:rPr>
          <w:rFonts w:eastAsia="Times New Roman" w:cs="Times New Roman"/>
          <w:i/>
          <w:iCs/>
          <w:szCs w:val="24"/>
          <w:lang w:eastAsia="lv-LV"/>
        </w:rPr>
        <w:t>euro</w:t>
      </w:r>
      <w:proofErr w:type="spellEnd"/>
      <w:r w:rsidRPr="00FC3DA6">
        <w:rPr>
          <w:rFonts w:eastAsia="Times New Roman" w:cs="Times New Roman"/>
          <w:i/>
          <w:iCs/>
          <w:szCs w:val="24"/>
          <w:lang w:eastAsia="lv-LV"/>
        </w:rPr>
        <w:t>.</w:t>
      </w:r>
      <w:r w:rsidRPr="00FC3DA6">
        <w:rPr>
          <w:rFonts w:eastAsia="Times New Roman" w:cs="Times New Roman"/>
          <w:szCs w:val="24"/>
          <w:lang w:eastAsia="lv-LV"/>
        </w:rPr>
        <w:t xml:space="preserve"> Kopbudžeta ieņēmumu kāpumu pamatā skaidro saņemtie ārvalstu finanšu palīdzības (turpmāk – ĀFP) ieņēmumi par īstenotajiem ES fondu projektiem, kas 2024. gada astoņos mēnešos saņemti gandrīz 1,7 mljrd.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apmērā un ir par 672,4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66,2% vairāk nekā gadu iepriekš. Atbilstoši Eiropas kontu sistēmas (EKS) metodoloģijai šie ieņēmumi tiks uzskaitīti izlietoto izdevumu apmērā ES fondu projektiem.</w:t>
      </w:r>
    </w:p>
    <w:p w14:paraId="3BEC0EB4" w14:textId="017C53A7" w:rsidR="001E0F9A" w:rsidRPr="00FC3DA6" w:rsidRDefault="001E0F9A" w:rsidP="006357B3">
      <w:pPr>
        <w:spacing w:line="240" w:lineRule="auto"/>
        <w:rPr>
          <w:rFonts w:eastAsia="Times New Roman" w:cs="Times New Roman"/>
          <w:szCs w:val="24"/>
          <w:lang w:eastAsia="lv-LV"/>
        </w:rPr>
        <w:sectPr w:rsidR="001E0F9A" w:rsidRPr="00FC3DA6" w:rsidSect="003F7970">
          <w:type w:val="continuous"/>
          <w:pgSz w:w="11906" w:h="16838"/>
          <w:pgMar w:top="1134" w:right="1134" w:bottom="567" w:left="1418" w:header="1418" w:footer="1134" w:gutter="0"/>
          <w:cols w:space="709"/>
          <w:titlePg/>
          <w:docGrid w:linePitch="360"/>
        </w:sectPr>
      </w:pPr>
      <w:r w:rsidRPr="00FC3DA6">
        <w:rPr>
          <w:rFonts w:eastAsia="Times New Roman" w:cs="Times New Roman"/>
          <w:szCs w:val="24"/>
          <w:lang w:eastAsia="lv-LV"/>
        </w:rPr>
        <w:t xml:space="preserve">Kopbudžeta nodokļu ieņēmumi (ieskaitot atlikumu vienotajā nodokļu kontā un neiekļaujot iemaksas valsts </w:t>
      </w:r>
      <w:proofErr w:type="spellStart"/>
      <w:r w:rsidRPr="00FC3DA6">
        <w:rPr>
          <w:rFonts w:eastAsia="Times New Roman" w:cs="Times New Roman"/>
          <w:szCs w:val="24"/>
          <w:lang w:eastAsia="lv-LV"/>
        </w:rPr>
        <w:t>fondēto</w:t>
      </w:r>
      <w:proofErr w:type="spellEnd"/>
      <w:r w:rsidRPr="00FC3DA6">
        <w:rPr>
          <w:rFonts w:eastAsia="Times New Roman" w:cs="Times New Roman"/>
          <w:szCs w:val="24"/>
          <w:lang w:eastAsia="lv-LV"/>
        </w:rPr>
        <w:t xml:space="preserve"> pensiju shēmā) šā gada astoņos mēnešos iekasēti 8,9 mljrd.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apmērā, kas ir par 605,7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7,3% vairāk salīdzinājumā ar 2023. gada attiecīgo periodu. Ieņēmumu kāpumu turpina nodrošināt lielāki darbaspēka nodokļu ieņēmumi (IIN pieauga par 203,8 milj. </w:t>
      </w:r>
      <w:proofErr w:type="spellStart"/>
      <w:r w:rsidRPr="00FC3DA6">
        <w:rPr>
          <w:rFonts w:eastAsia="Times New Roman" w:cs="Times New Roman"/>
          <w:i/>
          <w:iCs/>
          <w:szCs w:val="24"/>
          <w:lang w:eastAsia="lv-LV"/>
        </w:rPr>
        <w:t>euro</w:t>
      </w:r>
      <w:proofErr w:type="spellEnd"/>
      <w:r w:rsidRPr="00FC3DA6">
        <w:rPr>
          <w:rFonts w:eastAsia="Times New Roman" w:cs="Times New Roman"/>
          <w:i/>
          <w:iCs/>
          <w:szCs w:val="24"/>
          <w:lang w:eastAsia="lv-LV"/>
        </w:rPr>
        <w:t xml:space="preserve"> </w:t>
      </w:r>
      <w:r w:rsidRPr="00FC3DA6">
        <w:rPr>
          <w:rFonts w:eastAsia="Times New Roman" w:cs="Times New Roman"/>
          <w:szCs w:val="24"/>
          <w:lang w:eastAsia="lv-LV"/>
        </w:rPr>
        <w:t xml:space="preserve">jeb 12,9% un ieņēmumi no valsts obligātajām sociālajām iemaksām pieauga par 292,2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11%), kas saistāms ar būtisku darba samaksas kāpumu nodarbinātajiem sabiedriskajā sektorā (galvenokārt izglītības un aizsardzības nozarē). Taču jāatzīmē darba samaksas kāpums arī privātā sektora veselības un izglītības nozarēs, kā arī elektroapgādes un būvniecības nozarēs. Savukārt, PVN ieņēmumi 2024. gada astoņos mēnešos iekasēti par 99,3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3,8% mazāk nekā pērn, veidojot 2,5 mljrd.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galvenokārt samazinoties PVN iemaksām energoapgādes nozarē (dēļ cenu samazinājuma šā gada sākumā) un tirdzniecības nozarē. </w:t>
      </w:r>
    </w:p>
    <w:p w14:paraId="69FCD55F" w14:textId="77777777" w:rsidR="001E0F9A" w:rsidRPr="00FC3DA6" w:rsidRDefault="001E0F9A" w:rsidP="006357B3">
      <w:pPr>
        <w:spacing w:line="240" w:lineRule="auto"/>
        <w:rPr>
          <w:rFonts w:eastAsia="Times New Roman" w:cs="Times New Roman"/>
          <w:szCs w:val="24"/>
          <w:lang w:eastAsia="lv-LV"/>
        </w:rPr>
      </w:pPr>
      <w:r w:rsidRPr="00FC3DA6">
        <w:rPr>
          <w:rFonts w:eastAsia="Times New Roman" w:cs="Times New Roman"/>
          <w:szCs w:val="24"/>
          <w:lang w:eastAsia="lv-LV"/>
        </w:rPr>
        <w:t xml:space="preserve">Konsolidētā kopbudžeta izdevumi 2024. gada astoņos mēnešos bija 11,2 mljrd.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kas ir par 883,6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8,6% vairāk salīdzinājumā ar atbilstošo periodu pērn. Lielākais izdevumu pieaugums kopbudžetā vērojams atlīdzībai (t.i., ieskaitot izdevumus darba devēja valsts sociālās apdrošināšanas iemaksām) – par 387,6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17,3%. Kāpumu veicināja gan minimālās algas paaugstināšana valstī no 620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uz 700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ar 2024. gada 1. janvāri, kā arī atalgojuma pieaugums aizsardzības, </w:t>
      </w:r>
      <w:proofErr w:type="spellStart"/>
      <w:r w:rsidRPr="00FC3DA6">
        <w:rPr>
          <w:rFonts w:eastAsia="Times New Roman" w:cs="Times New Roman"/>
          <w:szCs w:val="24"/>
          <w:lang w:eastAsia="lv-LV"/>
        </w:rPr>
        <w:t>iekšlietu</w:t>
      </w:r>
      <w:proofErr w:type="spellEnd"/>
      <w:r w:rsidRPr="00FC3DA6">
        <w:rPr>
          <w:rFonts w:eastAsia="Times New Roman" w:cs="Times New Roman"/>
          <w:szCs w:val="24"/>
          <w:lang w:eastAsia="lv-LV"/>
        </w:rPr>
        <w:t xml:space="preserve"> un tieslietu sektorā strādājošajiem, tostarp izdienas pabalstu izmaksa </w:t>
      </w:r>
      <w:proofErr w:type="spellStart"/>
      <w:r w:rsidRPr="00FC3DA6">
        <w:rPr>
          <w:rFonts w:eastAsia="Times New Roman" w:cs="Times New Roman"/>
          <w:szCs w:val="24"/>
          <w:lang w:eastAsia="lv-LV"/>
        </w:rPr>
        <w:t>iekšlietu</w:t>
      </w:r>
      <w:proofErr w:type="spellEnd"/>
      <w:r w:rsidRPr="00FC3DA6">
        <w:rPr>
          <w:rFonts w:eastAsia="Times New Roman" w:cs="Times New Roman"/>
          <w:szCs w:val="24"/>
          <w:lang w:eastAsia="lv-LV"/>
        </w:rPr>
        <w:t xml:space="preserve"> un tieslietu resora amatpersonām ar speciālajām dienesta pakāpēm par katriem pieciem nepārtrauktas izdienas gadiem. Arī pašvaldību budžetā izdevumi atlīdzībai būtiski pieauga, kas lielā mērā saistāms ar lielākiem izdevumiem pedagogu darba samaksai. </w:t>
      </w:r>
    </w:p>
    <w:p w14:paraId="23929061" w14:textId="27FDCB15" w:rsidR="001E0F9A" w:rsidRPr="00FC3DA6" w:rsidRDefault="001E0F9A" w:rsidP="006357B3">
      <w:pPr>
        <w:spacing w:line="240" w:lineRule="auto"/>
        <w:rPr>
          <w:rFonts w:eastAsia="Times New Roman" w:cs="Times New Roman"/>
        </w:rPr>
      </w:pPr>
      <w:r w:rsidRPr="00FC3DA6">
        <w:rPr>
          <w:rFonts w:eastAsia="Times New Roman" w:cs="Times New Roman"/>
          <w:szCs w:val="24"/>
          <w:lang w:eastAsia="lv-LV"/>
        </w:rPr>
        <w:t xml:space="preserve">Kopbudžeta kapitālie izdevumi šā gada astoņos mēnešos bija 810 miljonu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kas ir par 84,2 miljoniem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11,6% vairāk nekā gadu iepriekš. Tostarp valsts pamatbudžeta izdevumi </w:t>
      </w:r>
      <w:r w:rsidRPr="00FC3DA6">
        <w:rPr>
          <w:rFonts w:eastAsia="Times New Roman" w:cs="Times New Roman"/>
          <w:szCs w:val="24"/>
          <w:lang w:eastAsia="lv-LV"/>
        </w:rPr>
        <w:lastRenderedPageBreak/>
        <w:t>bruto pamatkapitāla veidošanai šā gada astoņos mēnešos auguši par 147, 2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jeb 53,3%, sasniedzot 423,4 milj. </w:t>
      </w:r>
      <w:proofErr w:type="spellStart"/>
      <w:r w:rsidRPr="00FC3DA6">
        <w:rPr>
          <w:rFonts w:eastAsia="Times New Roman" w:cs="Times New Roman"/>
          <w:i/>
          <w:iCs/>
          <w:szCs w:val="24"/>
          <w:lang w:eastAsia="lv-LV"/>
        </w:rPr>
        <w:t>euro</w:t>
      </w:r>
      <w:proofErr w:type="spellEnd"/>
      <w:r w:rsidRPr="00FC3DA6">
        <w:rPr>
          <w:rFonts w:eastAsia="Times New Roman" w:cs="Times New Roman"/>
          <w:szCs w:val="24"/>
          <w:lang w:eastAsia="lv-LV"/>
        </w:rPr>
        <w:t xml:space="preserve">, kur pamatbudžeta pamatfunkciju veikšanai aizsardzības resorā šā gada februārī veikts nozīmīgs avansa maksājums bruņojuma iegādei, kas attiecīgi pēc EKS metodoloģijas tiks uzskaitīts bruņojuma piegādes brīdī. </w:t>
      </w:r>
      <w:r w:rsidRPr="00FC3DA6">
        <w:rPr>
          <w:rFonts w:eastAsia="Times New Roman" w:cs="Times New Roman"/>
        </w:rPr>
        <w:t xml:space="preserve">Savukārt, pamatbudžeta kapitālie izdevumi ĀFP projektiem, noslēdzoties iepriekšējam plānošanas periodam, 2024. gada astoņos mēnešos ir samazinājušies – par 9,2 milj. </w:t>
      </w:r>
      <w:proofErr w:type="spellStart"/>
      <w:r w:rsidRPr="00FC3DA6">
        <w:rPr>
          <w:rFonts w:eastAsia="Times New Roman" w:cs="Times New Roman"/>
          <w:i/>
          <w:iCs/>
        </w:rPr>
        <w:t>euro</w:t>
      </w:r>
      <w:proofErr w:type="spellEnd"/>
      <w:r w:rsidRPr="00FC3DA6">
        <w:rPr>
          <w:rFonts w:eastAsia="Times New Roman" w:cs="Times New Roman"/>
        </w:rPr>
        <w:t xml:space="preserve"> jeb 5,9%. Šobrīd, divu periodu pārejā, jaunās investīciju iespējas ir normatīvās bāzes un projektu atlašu posmā, līdz ar to jaunu investīciju apjoma pieaugums sagaidāms turpmākos gados. </w:t>
      </w:r>
      <w:bookmarkStart w:id="25" w:name="_Hlk177736274"/>
      <w:r w:rsidRPr="008B0C5E">
        <w:rPr>
          <w:rFonts w:eastAsia="Times New Roman" w:cs="Times New Roman"/>
          <w:i/>
          <w:iCs/>
        </w:rPr>
        <w:t>Rail</w:t>
      </w:r>
      <w:r w:rsidR="008B0C5E" w:rsidRPr="008B0C5E">
        <w:rPr>
          <w:rFonts w:eastAsia="Times New Roman" w:cs="Times New Roman"/>
          <w:i/>
          <w:iCs/>
        </w:rPr>
        <w:t xml:space="preserve"> </w:t>
      </w:r>
      <w:proofErr w:type="spellStart"/>
      <w:r w:rsidRPr="008B0C5E">
        <w:rPr>
          <w:rFonts w:eastAsia="Times New Roman" w:cs="Times New Roman"/>
          <w:i/>
          <w:iCs/>
        </w:rPr>
        <w:t>Baltica</w:t>
      </w:r>
      <w:proofErr w:type="spellEnd"/>
      <w:r w:rsidRPr="00FC3DA6">
        <w:rPr>
          <w:rFonts w:eastAsia="Times New Roman" w:cs="Times New Roman"/>
        </w:rPr>
        <w:t xml:space="preserve"> projekta izdevumi 2024. gada astoņos mēnešos valsts pamatbudžetā bija 90,4 milj. </w:t>
      </w:r>
      <w:proofErr w:type="spellStart"/>
      <w:r w:rsidRPr="00FC3DA6">
        <w:rPr>
          <w:rFonts w:eastAsia="Times New Roman" w:cs="Times New Roman"/>
          <w:i/>
          <w:iCs/>
        </w:rPr>
        <w:t>euro</w:t>
      </w:r>
      <w:proofErr w:type="spellEnd"/>
      <w:r w:rsidRPr="00FC3DA6">
        <w:rPr>
          <w:rFonts w:eastAsia="Times New Roman" w:cs="Times New Roman"/>
          <w:i/>
          <w:iCs/>
        </w:rPr>
        <w:t xml:space="preserve"> </w:t>
      </w:r>
      <w:r w:rsidRPr="00FC3DA6">
        <w:rPr>
          <w:rFonts w:eastAsia="Times New Roman" w:cs="Times New Roman"/>
        </w:rPr>
        <w:t xml:space="preserve">(tostarp 81,1 milj. </w:t>
      </w:r>
      <w:proofErr w:type="spellStart"/>
      <w:r w:rsidRPr="00FC3DA6">
        <w:rPr>
          <w:rFonts w:eastAsia="Times New Roman" w:cs="Times New Roman"/>
          <w:i/>
          <w:iCs/>
        </w:rPr>
        <w:t>euro</w:t>
      </w:r>
      <w:proofErr w:type="spellEnd"/>
      <w:r w:rsidRPr="00FC3DA6">
        <w:rPr>
          <w:rFonts w:eastAsia="Times New Roman" w:cs="Times New Roman"/>
          <w:i/>
          <w:iCs/>
        </w:rPr>
        <w:t xml:space="preserve"> </w:t>
      </w:r>
      <w:r w:rsidRPr="00FC3DA6">
        <w:rPr>
          <w:rFonts w:eastAsia="Times New Roman" w:cs="Times New Roman"/>
        </w:rPr>
        <w:t xml:space="preserve">kapitālie izdevumi), kas ir par 14,1 miljonu </w:t>
      </w:r>
      <w:proofErr w:type="spellStart"/>
      <w:r w:rsidRPr="006628B5">
        <w:rPr>
          <w:rFonts w:eastAsia="Times New Roman" w:cs="Times New Roman"/>
          <w:i/>
          <w:iCs/>
        </w:rPr>
        <w:t>e</w:t>
      </w:r>
      <w:r w:rsidR="006628B5" w:rsidRPr="006628B5">
        <w:rPr>
          <w:rFonts w:eastAsia="Times New Roman" w:cs="Times New Roman"/>
          <w:i/>
          <w:iCs/>
        </w:rPr>
        <w:t>u</w:t>
      </w:r>
      <w:r w:rsidRPr="006628B5">
        <w:rPr>
          <w:rFonts w:eastAsia="Times New Roman" w:cs="Times New Roman"/>
          <w:i/>
          <w:iCs/>
        </w:rPr>
        <w:t>ro</w:t>
      </w:r>
      <w:proofErr w:type="spellEnd"/>
      <w:r w:rsidRPr="00FC3DA6">
        <w:rPr>
          <w:rFonts w:eastAsia="Times New Roman" w:cs="Times New Roman"/>
        </w:rPr>
        <w:t xml:space="preserve"> jeb 13,5% nekā atbilstošā periodā pērn. </w:t>
      </w:r>
      <w:r w:rsidR="008B0C5E">
        <w:rPr>
          <w:rFonts w:eastAsia="Times New Roman" w:cs="Times New Roman"/>
        </w:rPr>
        <w:t>ANM</w:t>
      </w:r>
      <w:r w:rsidRPr="00FC3DA6">
        <w:rPr>
          <w:rFonts w:eastAsia="Times New Roman" w:cs="Times New Roman"/>
        </w:rPr>
        <w:t xml:space="preserve"> projektiem astoņos mēnešos veikti maksājumi 172,1 milj.</w:t>
      </w:r>
      <w:r w:rsidRPr="00FC3DA6">
        <w:rPr>
          <w:rFonts w:eastAsia="Times New Roman" w:cs="Times New Roman"/>
          <w:i/>
          <w:iCs/>
        </w:rPr>
        <w:t xml:space="preserve"> </w:t>
      </w:r>
      <w:proofErr w:type="spellStart"/>
      <w:r w:rsidRPr="00FC3DA6">
        <w:rPr>
          <w:rFonts w:eastAsia="Times New Roman" w:cs="Times New Roman"/>
          <w:i/>
          <w:iCs/>
        </w:rPr>
        <w:t>euro</w:t>
      </w:r>
      <w:proofErr w:type="spellEnd"/>
      <w:r w:rsidRPr="00FC3DA6">
        <w:rPr>
          <w:rFonts w:eastAsia="Times New Roman" w:cs="Times New Roman"/>
        </w:rPr>
        <w:t xml:space="preserve"> apmērā (tostarp 45,7 milj. </w:t>
      </w:r>
      <w:proofErr w:type="spellStart"/>
      <w:r w:rsidRPr="00FC3DA6">
        <w:rPr>
          <w:rFonts w:eastAsia="Times New Roman" w:cs="Times New Roman"/>
          <w:i/>
          <w:iCs/>
        </w:rPr>
        <w:t>euro</w:t>
      </w:r>
      <w:proofErr w:type="spellEnd"/>
      <w:r w:rsidRPr="00FC3DA6">
        <w:rPr>
          <w:rFonts w:eastAsia="Times New Roman" w:cs="Times New Roman"/>
        </w:rPr>
        <w:t xml:space="preserve"> kapitālie izdevumi)</w:t>
      </w:r>
      <w:bookmarkEnd w:id="25"/>
      <w:r w:rsidRPr="00FC3DA6">
        <w:rPr>
          <w:rFonts w:eastAsia="Times New Roman" w:cs="Times New Roman"/>
        </w:rPr>
        <w:t xml:space="preserve">, kas ir par 49,2 milj. </w:t>
      </w:r>
      <w:proofErr w:type="spellStart"/>
      <w:r w:rsidRPr="00FC3DA6">
        <w:rPr>
          <w:rFonts w:eastAsia="Times New Roman" w:cs="Times New Roman"/>
          <w:i/>
          <w:iCs/>
        </w:rPr>
        <w:t>euro</w:t>
      </w:r>
      <w:proofErr w:type="spellEnd"/>
      <w:r w:rsidRPr="00FC3DA6">
        <w:rPr>
          <w:rFonts w:eastAsia="Times New Roman" w:cs="Times New Roman"/>
        </w:rPr>
        <w:t xml:space="preserve"> jeb 40,1% vairāk nekā pērn.</w:t>
      </w:r>
    </w:p>
    <w:p w14:paraId="48B99E2C" w14:textId="0E751D76" w:rsidR="001E0F9A" w:rsidRPr="00FC3DA6" w:rsidRDefault="001E0F9A" w:rsidP="006357B3">
      <w:pPr>
        <w:spacing w:before="120" w:line="240" w:lineRule="auto"/>
        <w:rPr>
          <w:rFonts w:eastAsia="Times New Roman" w:cs="Times New Roman"/>
        </w:rPr>
      </w:pPr>
      <w:r w:rsidRPr="00FC3DA6">
        <w:rPr>
          <w:rFonts w:eastAsia="Times New Roman" w:cs="Times New Roman"/>
        </w:rPr>
        <w:t xml:space="preserve">Atbilstoši FM novērtējumam vispārējās valdības budžeta deficīts 2024. gadā sasniegs 2,6% no IKP, un tas ir par 0,3 procentpunktiem zemāks nekā tika prognozēts šā gada aprīļa sākumā, izstrādājot Stabilitātes programmu 2024.-2028. gadam, un par 0,2 procentpunktiem zemāks kā pieļaujamais vispārējās valdības budžeta deficīts, kas noteikts likumā “Par valsts budžetu 2024. gadam un budžeta ietvaru 2024., 2025. un 2026. gadam”. Salīdzinot ar apstiprināto budžetu, tiek prognozēti mazāki izdevumi un attiecīgi nacionālais līdzfinansējums ārvalstu finanšu palīdzības projektiem, ņemot vērā iepriekšējā plānošanas perioda noslēgšanos un jaunā plānošanas perioda Kohēzijas politikas fondu un </w:t>
      </w:r>
      <w:r w:rsidR="008B0C5E">
        <w:rPr>
          <w:rFonts w:eastAsia="Times New Roman" w:cs="Times New Roman"/>
        </w:rPr>
        <w:t>ANM</w:t>
      </w:r>
      <w:r w:rsidRPr="00FC3DA6">
        <w:rPr>
          <w:rFonts w:eastAsia="Times New Roman" w:cs="Times New Roman"/>
        </w:rPr>
        <w:t xml:space="preserve"> projektu lēnāku uzsākšanos, attiecīgi FM samazinot šo izdevumu prognozi 2024. gadam un pārceļot plānotos izdevumus uz turpmākajiem gadiem. Tāpat lielāki pret plānoto tiek prognozēti </w:t>
      </w:r>
      <w:proofErr w:type="spellStart"/>
      <w:r w:rsidRPr="00FC3DA6">
        <w:rPr>
          <w:rFonts w:eastAsia="Times New Roman" w:cs="Times New Roman"/>
        </w:rPr>
        <w:t>nenodokļu</w:t>
      </w:r>
      <w:proofErr w:type="spellEnd"/>
      <w:r w:rsidRPr="00FC3DA6">
        <w:rPr>
          <w:rFonts w:eastAsia="Times New Roman" w:cs="Times New Roman"/>
        </w:rPr>
        <w:t xml:space="preserve"> un pašu ieņēmumi. </w:t>
      </w:r>
    </w:p>
    <w:p w14:paraId="4EF9EE4E" w14:textId="38D180D6" w:rsidR="00EF14FD" w:rsidRPr="00FC3DA6" w:rsidRDefault="001E0F9A" w:rsidP="006357B3">
      <w:pPr>
        <w:spacing w:before="120" w:line="240" w:lineRule="auto"/>
        <w:rPr>
          <w:rFonts w:eastAsia="Times New Roman" w:cs="Times New Roman"/>
        </w:rPr>
      </w:pPr>
      <w:r w:rsidRPr="00FC3DA6">
        <w:rPr>
          <w:rFonts w:eastAsia="Times New Roman" w:cs="Times New Roman"/>
        </w:rPr>
        <w:t xml:space="preserve">Jāatzīmē, ka plaša </w:t>
      </w:r>
      <w:proofErr w:type="spellStart"/>
      <w:r w:rsidRPr="00FC3DA6">
        <w:rPr>
          <w:rFonts w:eastAsia="Times New Roman" w:cs="Times New Roman"/>
        </w:rPr>
        <w:t>energoatbalsta</w:t>
      </w:r>
      <w:proofErr w:type="spellEnd"/>
      <w:r w:rsidRPr="00FC3DA6">
        <w:rPr>
          <w:rFonts w:eastAsia="Times New Roman" w:cs="Times New Roman"/>
        </w:rPr>
        <w:t xml:space="preserve"> sniegšana kā iepriekšējos gados 2024. gadā vairs nav paredzēta. Vienlaikus, ka elektroenerģijas tarifu pieauguma ietekmes mazināšanai valdība 2024. gada budžetā ir atvēlējusi 50 milj. </w:t>
      </w:r>
      <w:proofErr w:type="spellStart"/>
      <w:r w:rsidRPr="00FC3DA6">
        <w:rPr>
          <w:rFonts w:eastAsia="Times New Roman" w:cs="Times New Roman"/>
          <w:i/>
          <w:iCs/>
        </w:rPr>
        <w:t>euro</w:t>
      </w:r>
      <w:proofErr w:type="spellEnd"/>
      <w:r w:rsidRPr="00FC3DA6">
        <w:rPr>
          <w:rFonts w:eastAsia="Times New Roman" w:cs="Times New Roman"/>
        </w:rPr>
        <w:t xml:space="preserve">, no kuriem šā gada pirmajā pusgadā atbilstoši Klimata un enerģētikas ministrijas sniegtajai informācijai izlietoti 25,7 milj. </w:t>
      </w:r>
      <w:proofErr w:type="spellStart"/>
      <w:r w:rsidRPr="00FC3DA6">
        <w:rPr>
          <w:rFonts w:eastAsia="Times New Roman" w:cs="Times New Roman"/>
          <w:i/>
          <w:iCs/>
        </w:rPr>
        <w:t>euro</w:t>
      </w:r>
      <w:proofErr w:type="spellEnd"/>
      <w:r w:rsidRPr="00FC3DA6">
        <w:rPr>
          <w:rFonts w:eastAsia="Times New Roman" w:cs="Times New Roman"/>
        </w:rPr>
        <w:t xml:space="preserve">. Tāpat 2024. gada budžetā ir paredzēti 70 milj. </w:t>
      </w:r>
      <w:proofErr w:type="spellStart"/>
      <w:r w:rsidRPr="00FC3DA6">
        <w:rPr>
          <w:rFonts w:eastAsia="Times New Roman" w:cs="Times New Roman"/>
          <w:i/>
          <w:iCs/>
        </w:rPr>
        <w:t>euro</w:t>
      </w:r>
      <w:proofErr w:type="spellEnd"/>
      <w:r w:rsidRPr="00FC3DA6">
        <w:rPr>
          <w:rFonts w:eastAsia="Times New Roman" w:cs="Times New Roman"/>
        </w:rPr>
        <w:t xml:space="preserve"> Ukrainas civiliedzīvotāju atbalstam, no tiem šā gada pirmajā pusgadā atbilstoši Finanšu ministrijas novērtējumam izlietoti 20,8 milj. </w:t>
      </w:r>
      <w:proofErr w:type="spellStart"/>
      <w:r w:rsidRPr="00FC3DA6">
        <w:rPr>
          <w:rFonts w:eastAsia="Times New Roman" w:cs="Times New Roman"/>
          <w:i/>
          <w:iCs/>
        </w:rPr>
        <w:t>euro</w:t>
      </w:r>
      <w:proofErr w:type="spellEnd"/>
      <w:r w:rsidRPr="00FC3DA6">
        <w:rPr>
          <w:rFonts w:eastAsia="Times New Roman" w:cs="Times New Roman"/>
        </w:rPr>
        <w:t>.</w:t>
      </w:r>
      <w:bookmarkEnd w:id="21"/>
    </w:p>
    <w:p w14:paraId="4B9AB120" w14:textId="77777777" w:rsidR="00ED52DF" w:rsidRPr="002869EC" w:rsidRDefault="00ED52DF" w:rsidP="006357B3">
      <w:pPr>
        <w:widowControl w:val="0"/>
        <w:spacing w:after="0" w:line="240" w:lineRule="auto"/>
        <w:ind w:left="357" w:right="-142" w:firstLine="0"/>
        <w:jc w:val="center"/>
        <w:rPr>
          <w:rFonts w:eastAsia="Times New Roman" w:cs="Times New Roman"/>
          <w:b/>
          <w:szCs w:val="24"/>
          <w:highlight w:val="lightGray"/>
        </w:rPr>
      </w:pPr>
    </w:p>
    <w:p w14:paraId="313A86B6" w14:textId="5E85BCAA" w:rsidR="00EF14FD" w:rsidRPr="00B42F99" w:rsidRDefault="005A4348" w:rsidP="006357B3">
      <w:pPr>
        <w:pStyle w:val="Heading2"/>
        <w:numPr>
          <w:ilvl w:val="0"/>
          <w:numId w:val="0"/>
        </w:numPr>
        <w:tabs>
          <w:tab w:val="center" w:pos="4535"/>
        </w:tabs>
        <w:spacing w:before="0" w:after="240" w:line="240" w:lineRule="auto"/>
        <w:rPr>
          <w:rFonts w:eastAsia="Calibri" w:cs="Times New Roman"/>
          <w:sz w:val="28"/>
          <w:szCs w:val="24"/>
        </w:rPr>
      </w:pPr>
      <w:bookmarkStart w:id="26" w:name="_Toc179540625"/>
      <w:r w:rsidRPr="002869EC">
        <w:rPr>
          <w:rFonts w:eastAsia="Calibri" w:cs="Times New Roman"/>
          <w:sz w:val="28"/>
          <w:szCs w:val="24"/>
        </w:rPr>
        <w:t>4</w:t>
      </w:r>
      <w:r w:rsidR="00BF4753" w:rsidRPr="002869EC">
        <w:rPr>
          <w:rFonts w:eastAsia="Calibri" w:cs="Times New Roman"/>
          <w:sz w:val="28"/>
          <w:szCs w:val="24"/>
        </w:rPr>
        <w:t xml:space="preserve">.2. </w:t>
      </w:r>
      <w:r w:rsidRPr="002869EC">
        <w:rPr>
          <w:rFonts w:eastAsia="Calibri" w:cs="Times New Roman"/>
          <w:sz w:val="28"/>
          <w:szCs w:val="24"/>
        </w:rPr>
        <w:t>Fiskālās prognozes pie nemainīgas politikas 2025.- 2028. gadu periodam</w:t>
      </w:r>
      <w:bookmarkEnd w:id="26"/>
    </w:p>
    <w:p w14:paraId="54ADA821" w14:textId="77777777" w:rsidR="003F7970" w:rsidRPr="002869EC" w:rsidRDefault="003F7970" w:rsidP="006357B3">
      <w:pPr>
        <w:spacing w:line="240" w:lineRule="auto"/>
        <w:rPr>
          <w:rFonts w:eastAsia="Times New Roman" w:cs="Times New Roman"/>
          <w:szCs w:val="24"/>
        </w:rPr>
      </w:pPr>
      <w:r w:rsidRPr="002869EC">
        <w:rPr>
          <w:rFonts w:eastAsia="Times New Roman" w:cs="Times New Roman"/>
          <w:color w:val="000000"/>
          <w:szCs w:val="24"/>
        </w:rPr>
        <w:t xml:space="preserve">Vispārējās valdības budžeta prognozes vidējam termiņam pie nemainīgas politikas tika sagatavotas, par pamatu ņemot </w:t>
      </w:r>
      <w:r w:rsidRPr="002869EC">
        <w:rPr>
          <w:rFonts w:eastAsia="Times New Roman" w:cs="Times New Roman"/>
          <w:szCs w:val="24"/>
        </w:rPr>
        <w:t xml:space="preserve">budžeta izpildes tendences 2024. gada sešos mēnešos </w:t>
      </w:r>
      <w:r w:rsidRPr="002869EC">
        <w:rPr>
          <w:rFonts w:eastAsia="Times New Roman" w:cs="Times New Roman"/>
          <w:color w:val="000000"/>
          <w:szCs w:val="24"/>
        </w:rPr>
        <w:t xml:space="preserve">un šā gada jūlijā aktualizētās ieņēmumu un izdevumu prognozes atbilstoši atjaunotajam makroekonomiskās attīstības </w:t>
      </w:r>
      <w:r w:rsidRPr="002869EC">
        <w:rPr>
          <w:rFonts w:eastAsia="Times New Roman" w:cs="Times New Roman"/>
          <w:szCs w:val="24"/>
        </w:rPr>
        <w:t>scenārijam, kā arī ņemot vērā vispārējās valdības komersantu iesniegtās prognozes par to saimnieciskās un finanšu darbības rezultāta ietekmi uz bilanci.</w:t>
      </w:r>
    </w:p>
    <w:p w14:paraId="2517D8ED" w14:textId="1CCEEC0B" w:rsidR="003F7970" w:rsidRPr="002869EC" w:rsidRDefault="003F7970" w:rsidP="006357B3">
      <w:pPr>
        <w:spacing w:line="240" w:lineRule="auto"/>
        <w:rPr>
          <w:rFonts w:eastAsia="Times New Roman" w:cs="Times New Roman"/>
          <w:szCs w:val="24"/>
        </w:rPr>
      </w:pPr>
      <w:r w:rsidRPr="002869EC">
        <w:rPr>
          <w:rFonts w:eastAsia="Times New Roman" w:cs="Times New Roman"/>
          <w:szCs w:val="24"/>
        </w:rPr>
        <w:t xml:space="preserve">Vāja ekonomikas izaugsme Latvijā un arī Eiropā ietekmē zemākus kā budžetā plānots nodokļu ieņēmumus 2024. gada pirmajā pusē. Lai gan inflācijas līmenis ir būtiski mazinājies, joprojām </w:t>
      </w:r>
      <w:r w:rsidR="00281A8B" w:rsidRPr="002869EC">
        <w:rPr>
          <w:rFonts w:eastAsia="Times New Roman" w:cs="Times New Roman"/>
          <w:szCs w:val="24"/>
        </w:rPr>
        <w:t>ECB</w:t>
      </w:r>
      <w:r w:rsidRPr="002869EC">
        <w:rPr>
          <w:rFonts w:eastAsia="Times New Roman" w:cs="Times New Roman"/>
          <w:szCs w:val="24"/>
        </w:rPr>
        <w:t xml:space="preserve"> noteiktās procentu likmes ir saglabājušās augstā līmenī, turpinot bremzēt ekonomisko aktivitāti. Salīdzinot ar pērn decembrī apstiprināto likumu </w:t>
      </w:r>
      <w:r w:rsidRPr="00FC3DA6">
        <w:rPr>
          <w:rFonts w:eastAsia="Times New Roman" w:cs="Times New Roman"/>
          <w:szCs w:val="20"/>
        </w:rPr>
        <w:t>“Par valsts budžetu 2024. gadam un budžeta ietvaru 2024., 2025. un 2026. gadam”</w:t>
      </w:r>
      <w:r w:rsidRPr="002869EC">
        <w:rPr>
          <w:rFonts w:eastAsia="Times New Roman" w:cs="Times New Roman"/>
          <w:szCs w:val="24"/>
        </w:rPr>
        <w:t xml:space="preserve">, vispārējās valdības budžetā pie nemainīgas politikas deficīts tiek prognozēts augstākā līmenī – par 0,5 procentpunktiem 2025. gadā un par 1,8 procentpunktiem 2026. gadā. Savukārt, salīdzinot ar </w:t>
      </w:r>
      <w:r w:rsidRPr="00FC3DA6">
        <w:rPr>
          <w:rFonts w:eastAsia="Times New Roman" w:cs="Times New Roman"/>
          <w:color w:val="000000"/>
          <w:szCs w:val="20"/>
        </w:rPr>
        <w:t>Stabilitātes programmu 2024.-2028. gadam, tas 2025. gadā ir par 0,2 procentpunktiem augstāks, 2026. gadā par 0,5 procentpunktiem augstāks,</w:t>
      </w:r>
      <w:r w:rsidR="0034054B" w:rsidRPr="00FC3DA6">
        <w:rPr>
          <w:rFonts w:eastAsia="Times New Roman" w:cs="Times New Roman"/>
          <w:color w:val="000000"/>
          <w:szCs w:val="20"/>
        </w:rPr>
        <w:t xml:space="preserve"> </w:t>
      </w:r>
      <w:r w:rsidRPr="00FC3DA6">
        <w:rPr>
          <w:rFonts w:eastAsia="Times New Roman" w:cs="Times New Roman"/>
          <w:color w:val="000000"/>
          <w:szCs w:val="20"/>
        </w:rPr>
        <w:t>2027. gadā par 0,3 procentpunktiem augstāks un 2028. gadā par 0,5 procentpunktiem augstāks nekā tika prognozēts šā gada aprīļa sākumā</w:t>
      </w:r>
      <w:r w:rsidRPr="002869EC">
        <w:rPr>
          <w:rFonts w:eastAsia="Times New Roman" w:cs="Times New Roman"/>
          <w:szCs w:val="24"/>
        </w:rPr>
        <w:t>.</w:t>
      </w:r>
    </w:p>
    <w:p w14:paraId="1EE9B4E5" w14:textId="1ED2291C" w:rsidR="003F7970" w:rsidRPr="002869EC" w:rsidRDefault="003F7970" w:rsidP="006357B3">
      <w:pPr>
        <w:spacing w:line="240" w:lineRule="auto"/>
        <w:rPr>
          <w:rFonts w:eastAsia="Times New Roman" w:cs="Times New Roman"/>
          <w:szCs w:val="24"/>
        </w:rPr>
      </w:pPr>
      <w:r w:rsidRPr="002869EC">
        <w:rPr>
          <w:rFonts w:eastAsia="Times New Roman" w:cs="Times New Roman"/>
          <w:b/>
          <w:bCs/>
          <w:szCs w:val="24"/>
        </w:rPr>
        <w:t>Vispārējās valdības budžetā pie nemainīgas politikas tiek prognozēts deficīts – 2025. gadā 2,9% no IKP, 2026. gadā 2,7% no IKP, 2027. gadā 2,4% no IKP un 2028. gadā 2,2% no IKP</w:t>
      </w:r>
      <w:r w:rsidRPr="002869EC">
        <w:rPr>
          <w:rFonts w:eastAsia="Times New Roman" w:cs="Times New Roman"/>
          <w:szCs w:val="24"/>
        </w:rPr>
        <w:t xml:space="preserve"> (skat. </w:t>
      </w:r>
      <w:r w:rsidR="00234244">
        <w:rPr>
          <w:rFonts w:eastAsia="Times New Roman" w:cs="Times New Roman"/>
          <w:szCs w:val="24"/>
        </w:rPr>
        <w:t>C</w:t>
      </w:r>
      <w:r w:rsidRPr="002869EC">
        <w:rPr>
          <w:rFonts w:eastAsia="Times New Roman" w:cs="Times New Roman"/>
          <w:szCs w:val="24"/>
        </w:rPr>
        <w:t>. tabulu).</w:t>
      </w:r>
    </w:p>
    <w:p w14:paraId="7FA60B3B" w14:textId="77777777" w:rsidR="007436A0" w:rsidRDefault="007436A0" w:rsidP="006357B3">
      <w:pPr>
        <w:spacing w:line="240" w:lineRule="auto"/>
        <w:jc w:val="right"/>
        <w:rPr>
          <w:rFonts w:eastAsia="Times New Roman" w:cs="Times New Roman"/>
          <w:b/>
          <w:bCs/>
          <w:szCs w:val="24"/>
        </w:rPr>
      </w:pPr>
    </w:p>
    <w:p w14:paraId="06CD82E5" w14:textId="5C388729" w:rsidR="003F7970" w:rsidRPr="002869EC" w:rsidRDefault="00234244" w:rsidP="006357B3">
      <w:pPr>
        <w:spacing w:line="240" w:lineRule="auto"/>
        <w:jc w:val="right"/>
        <w:rPr>
          <w:rFonts w:eastAsia="Times New Roman" w:cs="Times New Roman"/>
          <w:szCs w:val="24"/>
        </w:rPr>
      </w:pPr>
      <w:r>
        <w:rPr>
          <w:rFonts w:eastAsia="Times New Roman" w:cs="Times New Roman"/>
          <w:b/>
          <w:bCs/>
          <w:szCs w:val="24"/>
        </w:rPr>
        <w:lastRenderedPageBreak/>
        <w:t>C</w:t>
      </w:r>
      <w:r w:rsidR="003F7970" w:rsidRPr="002869EC">
        <w:rPr>
          <w:rFonts w:eastAsia="Times New Roman" w:cs="Times New Roman"/>
          <w:b/>
          <w:bCs/>
          <w:szCs w:val="24"/>
        </w:rPr>
        <w:t>. tabula. Vispārējās valdības budžeta rādītāji pie nemainīgas politikas</w:t>
      </w:r>
    </w:p>
    <w:tbl>
      <w:tblPr>
        <w:tblStyle w:val="TableGrid7"/>
        <w:tblW w:w="9067" w:type="dxa"/>
        <w:jc w:val="center"/>
        <w:tblLayout w:type="fixed"/>
        <w:tblLook w:val="0000" w:firstRow="0" w:lastRow="0" w:firstColumn="0" w:lastColumn="0" w:noHBand="0" w:noVBand="0"/>
      </w:tblPr>
      <w:tblGrid>
        <w:gridCol w:w="2689"/>
        <w:gridCol w:w="1134"/>
        <w:gridCol w:w="874"/>
        <w:gridCol w:w="874"/>
        <w:gridCol w:w="874"/>
        <w:gridCol w:w="874"/>
        <w:gridCol w:w="874"/>
        <w:gridCol w:w="874"/>
      </w:tblGrid>
      <w:tr w:rsidR="003F7970" w:rsidRPr="002869EC" w14:paraId="0FAA8692" w14:textId="77777777" w:rsidTr="003F7970">
        <w:trPr>
          <w:trHeight w:val="249"/>
          <w:tblHeader/>
          <w:jc w:val="center"/>
        </w:trPr>
        <w:tc>
          <w:tcPr>
            <w:tcW w:w="2689" w:type="dxa"/>
            <w:shd w:val="clear" w:color="auto" w:fill="BDD6EE"/>
          </w:tcPr>
          <w:p w14:paraId="15234C88" w14:textId="77777777" w:rsidR="003F7970" w:rsidRPr="002869EC" w:rsidRDefault="003F7970" w:rsidP="006357B3">
            <w:pPr>
              <w:spacing w:line="240" w:lineRule="auto"/>
              <w:ind w:firstLine="0"/>
              <w:rPr>
                <w:rFonts w:eastAsia="Times New Roman" w:cs="Times New Roman"/>
                <w:b/>
                <w:sz w:val="20"/>
                <w:szCs w:val="20"/>
              </w:rPr>
            </w:pPr>
          </w:p>
        </w:tc>
        <w:tc>
          <w:tcPr>
            <w:tcW w:w="1134" w:type="dxa"/>
            <w:shd w:val="clear" w:color="auto" w:fill="BDD6EE"/>
          </w:tcPr>
          <w:p w14:paraId="063BBFDF" w14:textId="77777777" w:rsidR="003F7970" w:rsidRPr="002869EC" w:rsidRDefault="003F7970" w:rsidP="006357B3">
            <w:pPr>
              <w:spacing w:line="240" w:lineRule="auto"/>
              <w:ind w:firstLine="0"/>
              <w:rPr>
                <w:rFonts w:eastAsia="Times New Roman" w:cs="Times New Roman"/>
                <w:b/>
                <w:sz w:val="20"/>
                <w:szCs w:val="20"/>
              </w:rPr>
            </w:pPr>
          </w:p>
        </w:tc>
        <w:tc>
          <w:tcPr>
            <w:tcW w:w="874" w:type="dxa"/>
            <w:shd w:val="clear" w:color="auto" w:fill="BDD6EE"/>
          </w:tcPr>
          <w:p w14:paraId="3D3C85E9"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2023</w:t>
            </w:r>
          </w:p>
        </w:tc>
        <w:tc>
          <w:tcPr>
            <w:tcW w:w="874" w:type="dxa"/>
            <w:shd w:val="clear" w:color="auto" w:fill="BDD6EE"/>
          </w:tcPr>
          <w:p w14:paraId="55EA0273"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2024</w:t>
            </w:r>
          </w:p>
        </w:tc>
        <w:tc>
          <w:tcPr>
            <w:tcW w:w="874" w:type="dxa"/>
            <w:shd w:val="clear" w:color="auto" w:fill="BDD6EE"/>
          </w:tcPr>
          <w:p w14:paraId="0D6CE892"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2025</w:t>
            </w:r>
          </w:p>
        </w:tc>
        <w:tc>
          <w:tcPr>
            <w:tcW w:w="874" w:type="dxa"/>
            <w:shd w:val="clear" w:color="auto" w:fill="BDD6EE"/>
          </w:tcPr>
          <w:p w14:paraId="2622E702"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2026</w:t>
            </w:r>
          </w:p>
        </w:tc>
        <w:tc>
          <w:tcPr>
            <w:tcW w:w="874" w:type="dxa"/>
            <w:shd w:val="clear" w:color="auto" w:fill="BDD6EE"/>
          </w:tcPr>
          <w:p w14:paraId="2404F385"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2027</w:t>
            </w:r>
          </w:p>
        </w:tc>
        <w:tc>
          <w:tcPr>
            <w:tcW w:w="874" w:type="dxa"/>
            <w:shd w:val="clear" w:color="auto" w:fill="BDD6EE"/>
          </w:tcPr>
          <w:p w14:paraId="6CFF0D34"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2028</w:t>
            </w:r>
          </w:p>
        </w:tc>
      </w:tr>
      <w:tr w:rsidR="003F7970" w:rsidRPr="002869EC" w14:paraId="2F6B9178" w14:textId="77777777" w:rsidTr="002F3168">
        <w:trPr>
          <w:trHeight w:val="67"/>
          <w:tblHeader/>
          <w:jc w:val="center"/>
        </w:trPr>
        <w:tc>
          <w:tcPr>
            <w:tcW w:w="2689" w:type="dxa"/>
          </w:tcPr>
          <w:p w14:paraId="1BF93A20" w14:textId="77777777" w:rsidR="003F7970" w:rsidRPr="002869EC" w:rsidRDefault="003F7970" w:rsidP="006357B3">
            <w:pPr>
              <w:spacing w:line="240" w:lineRule="auto"/>
              <w:ind w:firstLine="0"/>
              <w:rPr>
                <w:rFonts w:eastAsia="Times New Roman" w:cs="Times New Roman"/>
                <w:sz w:val="20"/>
                <w:szCs w:val="20"/>
              </w:rPr>
            </w:pPr>
          </w:p>
        </w:tc>
        <w:tc>
          <w:tcPr>
            <w:tcW w:w="1134" w:type="dxa"/>
            <w:vAlign w:val="center"/>
          </w:tcPr>
          <w:p w14:paraId="4337A21C"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EKS kods</w:t>
            </w:r>
          </w:p>
        </w:tc>
        <w:tc>
          <w:tcPr>
            <w:tcW w:w="5244" w:type="dxa"/>
            <w:gridSpan w:val="6"/>
            <w:vAlign w:val="center"/>
          </w:tcPr>
          <w:p w14:paraId="4852E6C3"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 no IKP</w:t>
            </w:r>
          </w:p>
        </w:tc>
      </w:tr>
      <w:tr w:rsidR="003F7970" w:rsidRPr="002869EC" w14:paraId="5CF233AF" w14:textId="77777777" w:rsidTr="003F7970">
        <w:trPr>
          <w:trHeight w:val="258"/>
          <w:jc w:val="center"/>
        </w:trPr>
        <w:tc>
          <w:tcPr>
            <w:tcW w:w="9067" w:type="dxa"/>
            <w:gridSpan w:val="8"/>
            <w:shd w:val="clear" w:color="auto" w:fill="BDD6EE"/>
            <w:vAlign w:val="center"/>
          </w:tcPr>
          <w:p w14:paraId="4CB87F23"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 xml:space="preserve">Neto aizdevumi (+) vai aizņēmumi (-) </w:t>
            </w:r>
            <w:r w:rsidRPr="00FC3DA6">
              <w:rPr>
                <w:rFonts w:eastAsia="Times New Roman" w:cs="Times New Roman"/>
                <w:b/>
                <w:sz w:val="20"/>
                <w:szCs w:val="20"/>
              </w:rPr>
              <w:t xml:space="preserve">(B.9) pa </w:t>
            </w:r>
            <w:proofErr w:type="spellStart"/>
            <w:r w:rsidRPr="00FC3DA6">
              <w:rPr>
                <w:rFonts w:eastAsia="Times New Roman" w:cs="Times New Roman"/>
                <w:b/>
                <w:sz w:val="20"/>
                <w:szCs w:val="20"/>
              </w:rPr>
              <w:t>apakšsektoriem</w:t>
            </w:r>
            <w:proofErr w:type="spellEnd"/>
          </w:p>
        </w:tc>
      </w:tr>
      <w:tr w:rsidR="003F7970" w:rsidRPr="002869EC" w14:paraId="0634DB3F" w14:textId="77777777" w:rsidTr="002F3168">
        <w:trPr>
          <w:trHeight w:val="249"/>
          <w:jc w:val="center"/>
        </w:trPr>
        <w:tc>
          <w:tcPr>
            <w:tcW w:w="2689" w:type="dxa"/>
          </w:tcPr>
          <w:p w14:paraId="52B5B5D6" w14:textId="77777777" w:rsidR="003F7970" w:rsidRPr="002869EC" w:rsidRDefault="003F7970" w:rsidP="006357B3">
            <w:pPr>
              <w:spacing w:line="240" w:lineRule="auto"/>
              <w:ind w:firstLine="0"/>
              <w:rPr>
                <w:rFonts w:eastAsia="Times New Roman" w:cs="Times New Roman"/>
                <w:b/>
                <w:bCs/>
                <w:snapToGrid w:val="0"/>
                <w:sz w:val="20"/>
                <w:szCs w:val="20"/>
              </w:rPr>
            </w:pPr>
            <w:r w:rsidRPr="002869EC">
              <w:rPr>
                <w:rFonts w:eastAsia="Times New Roman" w:cs="Times New Roman"/>
                <w:b/>
                <w:bCs/>
                <w:snapToGrid w:val="0"/>
                <w:sz w:val="20"/>
                <w:szCs w:val="20"/>
              </w:rPr>
              <w:t>Vispārējā valdība</w:t>
            </w:r>
          </w:p>
        </w:tc>
        <w:tc>
          <w:tcPr>
            <w:tcW w:w="1134" w:type="dxa"/>
            <w:vAlign w:val="center"/>
          </w:tcPr>
          <w:p w14:paraId="200DB6D9" w14:textId="77777777" w:rsidR="003F7970" w:rsidRPr="002869EC" w:rsidRDefault="003F7970" w:rsidP="006357B3">
            <w:pPr>
              <w:spacing w:line="240" w:lineRule="auto"/>
              <w:ind w:firstLine="0"/>
              <w:jc w:val="center"/>
              <w:rPr>
                <w:rFonts w:eastAsia="Times New Roman" w:cs="Times New Roman"/>
                <w:b/>
                <w:bCs/>
                <w:sz w:val="20"/>
                <w:szCs w:val="20"/>
              </w:rPr>
            </w:pPr>
            <w:r w:rsidRPr="002869EC">
              <w:rPr>
                <w:rFonts w:eastAsia="Times New Roman" w:cs="Times New Roman"/>
                <w:b/>
                <w:bCs/>
                <w:sz w:val="20"/>
                <w:szCs w:val="20"/>
              </w:rPr>
              <w:t>S.13</w:t>
            </w:r>
          </w:p>
        </w:tc>
        <w:tc>
          <w:tcPr>
            <w:tcW w:w="874" w:type="dxa"/>
            <w:shd w:val="clear" w:color="auto" w:fill="auto"/>
            <w:vAlign w:val="center"/>
          </w:tcPr>
          <w:p w14:paraId="492C7015" w14:textId="77777777" w:rsidR="003F7970" w:rsidRPr="002869EC" w:rsidRDefault="003F7970" w:rsidP="006357B3">
            <w:pPr>
              <w:spacing w:line="240" w:lineRule="auto"/>
              <w:ind w:firstLine="0"/>
              <w:jc w:val="center"/>
              <w:rPr>
                <w:rFonts w:eastAsia="Times New Roman" w:cs="Times New Roman"/>
                <w:b/>
                <w:bCs/>
                <w:snapToGrid w:val="0"/>
                <w:sz w:val="20"/>
                <w:szCs w:val="20"/>
                <w:highlight w:val="yellow"/>
              </w:rPr>
            </w:pPr>
            <w:r w:rsidRPr="002869EC">
              <w:rPr>
                <w:rFonts w:eastAsia="Calibri" w:cs="Times New Roman"/>
                <w:b/>
                <w:bCs/>
                <w:color w:val="000000"/>
                <w:sz w:val="20"/>
                <w:szCs w:val="20"/>
              </w:rPr>
              <w:t>-2,2</w:t>
            </w:r>
          </w:p>
        </w:tc>
        <w:tc>
          <w:tcPr>
            <w:tcW w:w="874" w:type="dxa"/>
            <w:shd w:val="clear" w:color="auto" w:fill="auto"/>
            <w:vAlign w:val="center"/>
          </w:tcPr>
          <w:p w14:paraId="48D4B9E2" w14:textId="77777777" w:rsidR="003F7970" w:rsidRPr="002869EC" w:rsidRDefault="003F7970" w:rsidP="006357B3">
            <w:pPr>
              <w:spacing w:line="240" w:lineRule="auto"/>
              <w:ind w:firstLine="0"/>
              <w:jc w:val="center"/>
              <w:rPr>
                <w:rFonts w:eastAsia="Times New Roman" w:cs="Times New Roman"/>
                <w:b/>
                <w:bCs/>
                <w:snapToGrid w:val="0"/>
                <w:sz w:val="20"/>
                <w:szCs w:val="20"/>
                <w:highlight w:val="yellow"/>
              </w:rPr>
            </w:pPr>
            <w:r w:rsidRPr="002869EC">
              <w:rPr>
                <w:rFonts w:eastAsia="Calibri" w:cs="Times New Roman"/>
                <w:b/>
                <w:bCs/>
                <w:color w:val="000000"/>
                <w:sz w:val="20"/>
                <w:szCs w:val="20"/>
              </w:rPr>
              <w:t>-2,6</w:t>
            </w:r>
          </w:p>
        </w:tc>
        <w:tc>
          <w:tcPr>
            <w:tcW w:w="874" w:type="dxa"/>
            <w:shd w:val="clear" w:color="auto" w:fill="auto"/>
            <w:vAlign w:val="center"/>
          </w:tcPr>
          <w:p w14:paraId="23EBEE4B" w14:textId="77777777" w:rsidR="003F7970" w:rsidRPr="002869EC" w:rsidRDefault="003F7970" w:rsidP="006357B3">
            <w:pPr>
              <w:spacing w:line="240" w:lineRule="auto"/>
              <w:ind w:firstLine="0"/>
              <w:jc w:val="center"/>
              <w:rPr>
                <w:rFonts w:eastAsia="Times New Roman" w:cs="Times New Roman"/>
                <w:b/>
                <w:bCs/>
                <w:snapToGrid w:val="0"/>
                <w:sz w:val="20"/>
                <w:szCs w:val="20"/>
                <w:highlight w:val="yellow"/>
              </w:rPr>
            </w:pPr>
            <w:r w:rsidRPr="002869EC">
              <w:rPr>
                <w:rFonts w:eastAsia="Calibri" w:cs="Times New Roman"/>
                <w:b/>
                <w:bCs/>
                <w:color w:val="000000"/>
                <w:sz w:val="20"/>
                <w:szCs w:val="20"/>
              </w:rPr>
              <w:t>-2,9</w:t>
            </w:r>
          </w:p>
        </w:tc>
        <w:tc>
          <w:tcPr>
            <w:tcW w:w="874" w:type="dxa"/>
            <w:shd w:val="clear" w:color="auto" w:fill="auto"/>
            <w:vAlign w:val="center"/>
          </w:tcPr>
          <w:p w14:paraId="2D2168E5" w14:textId="77777777" w:rsidR="003F7970" w:rsidRPr="002869EC" w:rsidRDefault="003F7970" w:rsidP="006357B3">
            <w:pPr>
              <w:spacing w:line="240" w:lineRule="auto"/>
              <w:ind w:firstLine="0"/>
              <w:jc w:val="center"/>
              <w:rPr>
                <w:rFonts w:eastAsia="Times New Roman" w:cs="Times New Roman"/>
                <w:b/>
                <w:bCs/>
                <w:snapToGrid w:val="0"/>
                <w:sz w:val="20"/>
                <w:szCs w:val="20"/>
                <w:highlight w:val="yellow"/>
              </w:rPr>
            </w:pPr>
            <w:r w:rsidRPr="002869EC">
              <w:rPr>
                <w:rFonts w:eastAsia="Calibri" w:cs="Times New Roman"/>
                <w:b/>
                <w:bCs/>
                <w:color w:val="000000"/>
                <w:sz w:val="20"/>
                <w:szCs w:val="20"/>
              </w:rPr>
              <w:t>-2,7</w:t>
            </w:r>
          </w:p>
        </w:tc>
        <w:tc>
          <w:tcPr>
            <w:tcW w:w="874" w:type="dxa"/>
            <w:vAlign w:val="center"/>
          </w:tcPr>
          <w:p w14:paraId="75C1F520" w14:textId="77777777" w:rsidR="003F7970" w:rsidRPr="002869EC" w:rsidRDefault="003F7970" w:rsidP="006357B3">
            <w:pPr>
              <w:spacing w:line="240" w:lineRule="auto"/>
              <w:ind w:firstLine="0"/>
              <w:jc w:val="center"/>
              <w:rPr>
                <w:rFonts w:eastAsia="Calibri" w:cs="Times New Roman"/>
                <w:b/>
                <w:bCs/>
                <w:sz w:val="20"/>
                <w:szCs w:val="20"/>
                <w:highlight w:val="yellow"/>
              </w:rPr>
            </w:pPr>
            <w:r w:rsidRPr="002869EC">
              <w:rPr>
                <w:rFonts w:eastAsia="Calibri" w:cs="Times New Roman"/>
                <w:b/>
                <w:bCs/>
                <w:color w:val="000000"/>
                <w:sz w:val="20"/>
                <w:szCs w:val="20"/>
              </w:rPr>
              <w:t>-2,4</w:t>
            </w:r>
          </w:p>
        </w:tc>
        <w:tc>
          <w:tcPr>
            <w:tcW w:w="874" w:type="dxa"/>
            <w:shd w:val="clear" w:color="auto" w:fill="auto"/>
            <w:vAlign w:val="center"/>
          </w:tcPr>
          <w:p w14:paraId="2CE5C7F5" w14:textId="77777777" w:rsidR="003F7970" w:rsidRPr="002869EC" w:rsidRDefault="003F7970" w:rsidP="006357B3">
            <w:pPr>
              <w:spacing w:line="240" w:lineRule="auto"/>
              <w:ind w:firstLine="0"/>
              <w:jc w:val="center"/>
              <w:rPr>
                <w:rFonts w:eastAsia="Times New Roman" w:cs="Times New Roman"/>
                <w:b/>
                <w:bCs/>
                <w:snapToGrid w:val="0"/>
                <w:sz w:val="20"/>
                <w:szCs w:val="20"/>
                <w:highlight w:val="yellow"/>
              </w:rPr>
            </w:pPr>
            <w:r w:rsidRPr="002869EC">
              <w:rPr>
                <w:rFonts w:eastAsia="Calibri" w:cs="Times New Roman"/>
                <w:b/>
                <w:bCs/>
                <w:color w:val="000000"/>
                <w:sz w:val="20"/>
                <w:szCs w:val="20"/>
              </w:rPr>
              <w:t>-2,2</w:t>
            </w:r>
          </w:p>
        </w:tc>
      </w:tr>
      <w:tr w:rsidR="003F7970" w:rsidRPr="002869EC" w14:paraId="490D347E" w14:textId="77777777" w:rsidTr="002F3168">
        <w:trPr>
          <w:trHeight w:val="249"/>
          <w:jc w:val="center"/>
        </w:trPr>
        <w:tc>
          <w:tcPr>
            <w:tcW w:w="2689" w:type="dxa"/>
          </w:tcPr>
          <w:p w14:paraId="34CBC02D" w14:textId="77777777" w:rsidR="003F7970" w:rsidRPr="002869EC" w:rsidRDefault="003F7970" w:rsidP="006357B3">
            <w:pPr>
              <w:spacing w:line="240" w:lineRule="auto"/>
              <w:ind w:firstLine="0"/>
              <w:rPr>
                <w:rFonts w:eastAsia="Times New Roman" w:cs="Times New Roman"/>
                <w:snapToGrid w:val="0"/>
                <w:sz w:val="20"/>
                <w:szCs w:val="20"/>
              </w:rPr>
            </w:pPr>
            <w:r w:rsidRPr="002869EC">
              <w:rPr>
                <w:rFonts w:eastAsia="Times New Roman" w:cs="Times New Roman"/>
                <w:snapToGrid w:val="0"/>
                <w:sz w:val="20"/>
                <w:szCs w:val="20"/>
              </w:rPr>
              <w:t>Centrālā valdība</w:t>
            </w:r>
          </w:p>
        </w:tc>
        <w:tc>
          <w:tcPr>
            <w:tcW w:w="1134" w:type="dxa"/>
            <w:vAlign w:val="center"/>
          </w:tcPr>
          <w:p w14:paraId="07985259" w14:textId="77777777" w:rsidR="003F7970" w:rsidRPr="002869EC" w:rsidRDefault="003F7970" w:rsidP="006357B3">
            <w:pPr>
              <w:spacing w:line="240" w:lineRule="auto"/>
              <w:ind w:firstLine="0"/>
              <w:jc w:val="center"/>
              <w:rPr>
                <w:rFonts w:eastAsia="Times New Roman" w:cs="Times New Roman"/>
                <w:sz w:val="20"/>
                <w:szCs w:val="20"/>
              </w:rPr>
            </w:pPr>
            <w:r w:rsidRPr="002869EC">
              <w:rPr>
                <w:rFonts w:eastAsia="Times New Roman" w:cs="Times New Roman"/>
                <w:sz w:val="20"/>
                <w:szCs w:val="20"/>
              </w:rPr>
              <w:t>S.1311</w:t>
            </w:r>
          </w:p>
        </w:tc>
        <w:tc>
          <w:tcPr>
            <w:tcW w:w="874" w:type="dxa"/>
            <w:shd w:val="clear" w:color="auto" w:fill="auto"/>
            <w:vAlign w:val="center"/>
          </w:tcPr>
          <w:p w14:paraId="799BC532"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-2,7</w:t>
            </w:r>
          </w:p>
        </w:tc>
        <w:tc>
          <w:tcPr>
            <w:tcW w:w="874" w:type="dxa"/>
            <w:shd w:val="clear" w:color="auto" w:fill="auto"/>
            <w:vAlign w:val="center"/>
          </w:tcPr>
          <w:p w14:paraId="67E8F716"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-3,4</w:t>
            </w:r>
          </w:p>
        </w:tc>
        <w:tc>
          <w:tcPr>
            <w:tcW w:w="874" w:type="dxa"/>
            <w:shd w:val="clear" w:color="auto" w:fill="auto"/>
            <w:vAlign w:val="center"/>
          </w:tcPr>
          <w:p w14:paraId="6F5C04CB"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-3,4</w:t>
            </w:r>
          </w:p>
        </w:tc>
        <w:tc>
          <w:tcPr>
            <w:tcW w:w="874" w:type="dxa"/>
            <w:shd w:val="clear" w:color="auto" w:fill="auto"/>
            <w:vAlign w:val="center"/>
          </w:tcPr>
          <w:p w14:paraId="3830DEFA"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-3,1</w:t>
            </w:r>
          </w:p>
        </w:tc>
        <w:tc>
          <w:tcPr>
            <w:tcW w:w="874" w:type="dxa"/>
            <w:vAlign w:val="center"/>
          </w:tcPr>
          <w:p w14:paraId="45E6E0C8"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color w:val="000000"/>
                <w:sz w:val="20"/>
                <w:szCs w:val="20"/>
              </w:rPr>
              <w:t>-2,7</w:t>
            </w:r>
          </w:p>
        </w:tc>
        <w:tc>
          <w:tcPr>
            <w:tcW w:w="874" w:type="dxa"/>
            <w:shd w:val="clear" w:color="auto" w:fill="auto"/>
            <w:vAlign w:val="center"/>
          </w:tcPr>
          <w:p w14:paraId="454A28D4"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-2,4</w:t>
            </w:r>
          </w:p>
        </w:tc>
      </w:tr>
      <w:tr w:rsidR="003F7970" w:rsidRPr="002869EC" w14:paraId="3988B423" w14:textId="77777777" w:rsidTr="002F3168">
        <w:trPr>
          <w:trHeight w:val="249"/>
          <w:jc w:val="center"/>
        </w:trPr>
        <w:tc>
          <w:tcPr>
            <w:tcW w:w="2689" w:type="dxa"/>
          </w:tcPr>
          <w:p w14:paraId="1AA399B2" w14:textId="77777777" w:rsidR="003F7970" w:rsidRPr="002869EC" w:rsidRDefault="003F7970" w:rsidP="006357B3">
            <w:pPr>
              <w:spacing w:line="240" w:lineRule="auto"/>
              <w:ind w:firstLine="0"/>
              <w:rPr>
                <w:rFonts w:eastAsia="Times New Roman" w:cs="Times New Roman"/>
                <w:snapToGrid w:val="0"/>
                <w:sz w:val="20"/>
                <w:szCs w:val="20"/>
              </w:rPr>
            </w:pPr>
            <w:r w:rsidRPr="002869EC">
              <w:rPr>
                <w:rFonts w:eastAsia="Times New Roman" w:cs="Times New Roman"/>
                <w:snapToGrid w:val="0"/>
                <w:sz w:val="20"/>
                <w:szCs w:val="20"/>
              </w:rPr>
              <w:t>Vietējā valdība</w:t>
            </w:r>
          </w:p>
        </w:tc>
        <w:tc>
          <w:tcPr>
            <w:tcW w:w="1134" w:type="dxa"/>
            <w:vAlign w:val="center"/>
          </w:tcPr>
          <w:p w14:paraId="114C05ED" w14:textId="77777777" w:rsidR="003F7970" w:rsidRPr="002869EC" w:rsidRDefault="003F7970" w:rsidP="006357B3">
            <w:pPr>
              <w:spacing w:line="240" w:lineRule="auto"/>
              <w:ind w:firstLine="0"/>
              <w:jc w:val="center"/>
              <w:rPr>
                <w:rFonts w:eastAsia="Times New Roman" w:cs="Times New Roman"/>
                <w:sz w:val="20"/>
                <w:szCs w:val="20"/>
              </w:rPr>
            </w:pPr>
            <w:r w:rsidRPr="002869EC">
              <w:rPr>
                <w:rFonts w:eastAsia="Times New Roman" w:cs="Times New Roman"/>
                <w:sz w:val="20"/>
                <w:szCs w:val="20"/>
              </w:rPr>
              <w:t>S.1313</w:t>
            </w:r>
          </w:p>
        </w:tc>
        <w:tc>
          <w:tcPr>
            <w:tcW w:w="874" w:type="dxa"/>
            <w:shd w:val="clear" w:color="auto" w:fill="auto"/>
            <w:vAlign w:val="center"/>
          </w:tcPr>
          <w:p w14:paraId="2C8C1AC8"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-0,3</w:t>
            </w:r>
          </w:p>
        </w:tc>
        <w:tc>
          <w:tcPr>
            <w:tcW w:w="874" w:type="dxa"/>
            <w:shd w:val="clear" w:color="auto" w:fill="auto"/>
            <w:vAlign w:val="center"/>
          </w:tcPr>
          <w:p w14:paraId="15EC41A7"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0,0</w:t>
            </w:r>
          </w:p>
        </w:tc>
        <w:tc>
          <w:tcPr>
            <w:tcW w:w="874" w:type="dxa"/>
            <w:shd w:val="clear" w:color="auto" w:fill="auto"/>
            <w:vAlign w:val="center"/>
          </w:tcPr>
          <w:p w14:paraId="239F52BA"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-0,1</w:t>
            </w:r>
          </w:p>
        </w:tc>
        <w:tc>
          <w:tcPr>
            <w:tcW w:w="874" w:type="dxa"/>
            <w:shd w:val="clear" w:color="auto" w:fill="auto"/>
            <w:vAlign w:val="center"/>
          </w:tcPr>
          <w:p w14:paraId="32355FBF"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0,0</w:t>
            </w:r>
          </w:p>
        </w:tc>
        <w:tc>
          <w:tcPr>
            <w:tcW w:w="874" w:type="dxa"/>
            <w:vAlign w:val="center"/>
          </w:tcPr>
          <w:p w14:paraId="44A6E260"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color w:val="000000"/>
                <w:sz w:val="20"/>
                <w:szCs w:val="20"/>
              </w:rPr>
              <w:t>0,0</w:t>
            </w:r>
          </w:p>
        </w:tc>
        <w:tc>
          <w:tcPr>
            <w:tcW w:w="874" w:type="dxa"/>
            <w:shd w:val="clear" w:color="auto" w:fill="auto"/>
            <w:vAlign w:val="center"/>
          </w:tcPr>
          <w:p w14:paraId="51475B5C" w14:textId="77777777" w:rsidR="003F7970" w:rsidRPr="002869EC" w:rsidRDefault="003F7970" w:rsidP="006357B3">
            <w:pPr>
              <w:spacing w:line="240" w:lineRule="auto"/>
              <w:ind w:firstLine="0"/>
              <w:jc w:val="center"/>
              <w:rPr>
                <w:rFonts w:eastAsia="Times New Roman" w:cs="Times New Roman"/>
                <w:snapToGrid w:val="0"/>
                <w:sz w:val="20"/>
                <w:szCs w:val="20"/>
              </w:rPr>
            </w:pPr>
            <w:r w:rsidRPr="002869EC">
              <w:rPr>
                <w:rFonts w:eastAsia="Calibri" w:cs="Times New Roman"/>
                <w:color w:val="000000"/>
                <w:sz w:val="20"/>
                <w:szCs w:val="20"/>
              </w:rPr>
              <w:t>0,0</w:t>
            </w:r>
          </w:p>
        </w:tc>
      </w:tr>
      <w:tr w:rsidR="003F7970" w:rsidRPr="002869EC" w14:paraId="74B0BAB8" w14:textId="77777777" w:rsidTr="002F3168">
        <w:trPr>
          <w:trHeight w:val="258"/>
          <w:jc w:val="center"/>
        </w:trPr>
        <w:tc>
          <w:tcPr>
            <w:tcW w:w="2689" w:type="dxa"/>
          </w:tcPr>
          <w:p w14:paraId="4C7362C7" w14:textId="77777777" w:rsidR="003F7970" w:rsidRPr="002869EC" w:rsidRDefault="003F7970" w:rsidP="006357B3">
            <w:pPr>
              <w:spacing w:line="240" w:lineRule="auto"/>
              <w:ind w:firstLine="0"/>
              <w:jc w:val="left"/>
              <w:rPr>
                <w:rFonts w:eastAsia="Times New Roman" w:cs="Times New Roman"/>
                <w:snapToGrid w:val="0"/>
                <w:sz w:val="20"/>
                <w:szCs w:val="20"/>
              </w:rPr>
            </w:pPr>
            <w:r w:rsidRPr="002869EC">
              <w:rPr>
                <w:rFonts w:eastAsia="Times New Roman" w:cs="Times New Roman"/>
                <w:snapToGrid w:val="0"/>
                <w:sz w:val="20"/>
                <w:szCs w:val="20"/>
              </w:rPr>
              <w:t>Sociālās nodrošināšanas fondi</w:t>
            </w:r>
          </w:p>
        </w:tc>
        <w:tc>
          <w:tcPr>
            <w:tcW w:w="1134" w:type="dxa"/>
            <w:vAlign w:val="center"/>
          </w:tcPr>
          <w:p w14:paraId="01A151C0" w14:textId="77777777" w:rsidR="003F7970" w:rsidRPr="002869EC" w:rsidRDefault="003F7970" w:rsidP="006357B3">
            <w:pPr>
              <w:spacing w:line="240" w:lineRule="auto"/>
              <w:ind w:firstLine="0"/>
              <w:jc w:val="center"/>
              <w:rPr>
                <w:rFonts w:eastAsia="Times New Roman" w:cs="Times New Roman"/>
                <w:sz w:val="20"/>
                <w:szCs w:val="20"/>
              </w:rPr>
            </w:pPr>
            <w:r w:rsidRPr="002869EC">
              <w:rPr>
                <w:rFonts w:eastAsia="Times New Roman" w:cs="Times New Roman"/>
                <w:sz w:val="20"/>
                <w:szCs w:val="20"/>
              </w:rPr>
              <w:t>S.1314</w:t>
            </w:r>
          </w:p>
        </w:tc>
        <w:tc>
          <w:tcPr>
            <w:tcW w:w="874" w:type="dxa"/>
            <w:shd w:val="clear" w:color="auto" w:fill="auto"/>
            <w:vAlign w:val="center"/>
          </w:tcPr>
          <w:p w14:paraId="24C9E3FB"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0,8</w:t>
            </w:r>
          </w:p>
        </w:tc>
        <w:tc>
          <w:tcPr>
            <w:tcW w:w="874" w:type="dxa"/>
            <w:shd w:val="clear" w:color="auto" w:fill="auto"/>
            <w:vAlign w:val="center"/>
          </w:tcPr>
          <w:p w14:paraId="703BD49F"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0,8</w:t>
            </w:r>
          </w:p>
        </w:tc>
        <w:tc>
          <w:tcPr>
            <w:tcW w:w="874" w:type="dxa"/>
            <w:shd w:val="clear" w:color="auto" w:fill="auto"/>
            <w:vAlign w:val="center"/>
          </w:tcPr>
          <w:p w14:paraId="4258C532"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0,6</w:t>
            </w:r>
          </w:p>
        </w:tc>
        <w:tc>
          <w:tcPr>
            <w:tcW w:w="874" w:type="dxa"/>
            <w:shd w:val="clear" w:color="auto" w:fill="auto"/>
            <w:vAlign w:val="center"/>
          </w:tcPr>
          <w:p w14:paraId="6291E0E9"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0,4</w:t>
            </w:r>
          </w:p>
        </w:tc>
        <w:tc>
          <w:tcPr>
            <w:tcW w:w="874" w:type="dxa"/>
            <w:vAlign w:val="center"/>
          </w:tcPr>
          <w:p w14:paraId="116E2B01" w14:textId="77777777" w:rsidR="003F7970" w:rsidRPr="002869EC" w:rsidRDefault="003F7970" w:rsidP="006357B3">
            <w:pPr>
              <w:spacing w:line="240" w:lineRule="auto"/>
              <w:ind w:firstLine="0"/>
              <w:jc w:val="center"/>
              <w:rPr>
                <w:rFonts w:eastAsia="Calibri" w:cs="Times New Roman"/>
                <w:sz w:val="20"/>
                <w:szCs w:val="20"/>
                <w:highlight w:val="yellow"/>
              </w:rPr>
            </w:pPr>
            <w:r w:rsidRPr="002869EC">
              <w:rPr>
                <w:rFonts w:eastAsia="Calibri" w:cs="Times New Roman"/>
                <w:color w:val="000000"/>
                <w:sz w:val="20"/>
                <w:szCs w:val="20"/>
              </w:rPr>
              <w:t>0,3</w:t>
            </w:r>
          </w:p>
        </w:tc>
        <w:tc>
          <w:tcPr>
            <w:tcW w:w="874" w:type="dxa"/>
            <w:shd w:val="clear" w:color="auto" w:fill="auto"/>
            <w:vAlign w:val="center"/>
          </w:tcPr>
          <w:p w14:paraId="4A748F78"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0,2</w:t>
            </w:r>
          </w:p>
        </w:tc>
      </w:tr>
      <w:tr w:rsidR="003F7970" w:rsidRPr="002869EC" w14:paraId="5A172D1C" w14:textId="77777777" w:rsidTr="003F7970">
        <w:trPr>
          <w:trHeight w:val="249"/>
          <w:jc w:val="center"/>
        </w:trPr>
        <w:tc>
          <w:tcPr>
            <w:tcW w:w="9067" w:type="dxa"/>
            <w:gridSpan w:val="8"/>
            <w:shd w:val="clear" w:color="auto" w:fill="BDD6EE"/>
            <w:vAlign w:val="center"/>
          </w:tcPr>
          <w:p w14:paraId="3AF813AA" w14:textId="77777777" w:rsidR="003F7970" w:rsidRPr="002869EC" w:rsidRDefault="003F7970" w:rsidP="006357B3">
            <w:pPr>
              <w:spacing w:line="240" w:lineRule="auto"/>
              <w:ind w:firstLine="0"/>
              <w:jc w:val="center"/>
              <w:rPr>
                <w:rFonts w:eastAsia="Times New Roman" w:cs="Times New Roman"/>
                <w:b/>
                <w:sz w:val="20"/>
                <w:szCs w:val="20"/>
              </w:rPr>
            </w:pPr>
            <w:r w:rsidRPr="002869EC">
              <w:rPr>
                <w:rFonts w:eastAsia="Times New Roman" w:cs="Times New Roman"/>
                <w:b/>
                <w:sz w:val="20"/>
                <w:szCs w:val="20"/>
              </w:rPr>
              <w:t>Vispārējā valdība (S.13)</w:t>
            </w:r>
          </w:p>
        </w:tc>
      </w:tr>
      <w:tr w:rsidR="003F7970" w:rsidRPr="002869EC" w14:paraId="480803E2" w14:textId="77777777" w:rsidTr="003F7970">
        <w:trPr>
          <w:trHeight w:val="249"/>
          <w:jc w:val="center"/>
        </w:trPr>
        <w:tc>
          <w:tcPr>
            <w:tcW w:w="2689" w:type="dxa"/>
            <w:shd w:val="clear" w:color="auto" w:fill="DEEAF6"/>
          </w:tcPr>
          <w:p w14:paraId="462A6888" w14:textId="77777777" w:rsidR="003F7970" w:rsidRPr="002869EC" w:rsidRDefault="003F7970" w:rsidP="006357B3">
            <w:pPr>
              <w:spacing w:line="240" w:lineRule="auto"/>
              <w:ind w:firstLine="0"/>
              <w:rPr>
                <w:rFonts w:eastAsia="Times New Roman" w:cs="Times New Roman"/>
                <w:snapToGrid w:val="0"/>
                <w:sz w:val="20"/>
                <w:szCs w:val="20"/>
              </w:rPr>
            </w:pPr>
            <w:r w:rsidRPr="002869EC">
              <w:rPr>
                <w:rFonts w:eastAsia="Times New Roman" w:cs="Times New Roman"/>
                <w:snapToGrid w:val="0"/>
                <w:sz w:val="20"/>
                <w:szCs w:val="20"/>
              </w:rPr>
              <w:t xml:space="preserve">Kopējie ieņēmumi </w:t>
            </w:r>
          </w:p>
        </w:tc>
        <w:tc>
          <w:tcPr>
            <w:tcW w:w="1134" w:type="dxa"/>
            <w:shd w:val="clear" w:color="auto" w:fill="DEEAF6"/>
            <w:vAlign w:val="center"/>
          </w:tcPr>
          <w:p w14:paraId="63F90FAE" w14:textId="77777777" w:rsidR="003F7970" w:rsidRPr="002869EC" w:rsidRDefault="003F7970" w:rsidP="006357B3">
            <w:pPr>
              <w:spacing w:line="240" w:lineRule="auto"/>
              <w:ind w:firstLine="0"/>
              <w:jc w:val="center"/>
              <w:rPr>
                <w:rFonts w:eastAsia="Times New Roman" w:cs="Times New Roman"/>
                <w:sz w:val="20"/>
                <w:szCs w:val="20"/>
              </w:rPr>
            </w:pPr>
            <w:r w:rsidRPr="002869EC">
              <w:rPr>
                <w:rFonts w:eastAsia="Times New Roman" w:cs="Times New Roman"/>
                <w:sz w:val="20"/>
                <w:szCs w:val="20"/>
              </w:rPr>
              <w:t>TR</w:t>
            </w:r>
          </w:p>
        </w:tc>
        <w:tc>
          <w:tcPr>
            <w:tcW w:w="874" w:type="dxa"/>
            <w:shd w:val="clear" w:color="auto" w:fill="DEEAF6"/>
            <w:vAlign w:val="center"/>
          </w:tcPr>
          <w:p w14:paraId="64DB8417"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38,7</w:t>
            </w:r>
          </w:p>
        </w:tc>
        <w:tc>
          <w:tcPr>
            <w:tcW w:w="874" w:type="dxa"/>
            <w:shd w:val="clear" w:color="auto" w:fill="DEEAF6"/>
            <w:vAlign w:val="center"/>
          </w:tcPr>
          <w:p w14:paraId="54674630"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42,1</w:t>
            </w:r>
          </w:p>
        </w:tc>
        <w:tc>
          <w:tcPr>
            <w:tcW w:w="874" w:type="dxa"/>
            <w:shd w:val="clear" w:color="auto" w:fill="DEEAF6"/>
            <w:vAlign w:val="center"/>
          </w:tcPr>
          <w:p w14:paraId="18FC857E"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40,9</w:t>
            </w:r>
          </w:p>
        </w:tc>
        <w:tc>
          <w:tcPr>
            <w:tcW w:w="874" w:type="dxa"/>
            <w:shd w:val="clear" w:color="auto" w:fill="DEEAF6"/>
            <w:vAlign w:val="center"/>
          </w:tcPr>
          <w:p w14:paraId="2A99F563"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40,3</w:t>
            </w:r>
          </w:p>
        </w:tc>
        <w:tc>
          <w:tcPr>
            <w:tcW w:w="874" w:type="dxa"/>
            <w:shd w:val="clear" w:color="auto" w:fill="DEEAF6"/>
            <w:vAlign w:val="center"/>
          </w:tcPr>
          <w:p w14:paraId="6F679CCC" w14:textId="77777777" w:rsidR="003F7970" w:rsidRPr="002869EC" w:rsidRDefault="003F7970" w:rsidP="006357B3">
            <w:pPr>
              <w:spacing w:line="240" w:lineRule="auto"/>
              <w:ind w:firstLine="0"/>
              <w:jc w:val="center"/>
              <w:rPr>
                <w:rFonts w:eastAsia="Calibri" w:cs="Times New Roman"/>
                <w:sz w:val="20"/>
                <w:szCs w:val="20"/>
                <w:highlight w:val="yellow"/>
              </w:rPr>
            </w:pPr>
            <w:r w:rsidRPr="002869EC">
              <w:rPr>
                <w:rFonts w:eastAsia="Calibri" w:cs="Times New Roman"/>
                <w:color w:val="000000"/>
                <w:sz w:val="20"/>
                <w:szCs w:val="20"/>
              </w:rPr>
              <w:t>39,1</w:t>
            </w:r>
          </w:p>
        </w:tc>
        <w:tc>
          <w:tcPr>
            <w:tcW w:w="874" w:type="dxa"/>
            <w:shd w:val="clear" w:color="auto" w:fill="DEEAF6"/>
            <w:vAlign w:val="center"/>
          </w:tcPr>
          <w:p w14:paraId="74F72309"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38,3</w:t>
            </w:r>
          </w:p>
        </w:tc>
      </w:tr>
      <w:tr w:rsidR="003F7970" w:rsidRPr="002869EC" w14:paraId="2E5DBE33" w14:textId="77777777" w:rsidTr="002F3168">
        <w:trPr>
          <w:trHeight w:val="249"/>
          <w:jc w:val="center"/>
        </w:trPr>
        <w:tc>
          <w:tcPr>
            <w:tcW w:w="2689" w:type="dxa"/>
          </w:tcPr>
          <w:p w14:paraId="7689D96D" w14:textId="77777777" w:rsidR="003F7970" w:rsidRPr="002869EC" w:rsidRDefault="003F7970" w:rsidP="006357B3">
            <w:pPr>
              <w:spacing w:line="240" w:lineRule="auto"/>
              <w:ind w:firstLine="0"/>
              <w:jc w:val="left"/>
              <w:rPr>
                <w:rFonts w:eastAsia="Times New Roman" w:cs="Times New Roman"/>
                <w:snapToGrid w:val="0"/>
                <w:sz w:val="20"/>
                <w:szCs w:val="20"/>
              </w:rPr>
            </w:pPr>
            <w:r w:rsidRPr="002869EC">
              <w:rPr>
                <w:rFonts w:eastAsia="Times New Roman" w:cs="Times New Roman"/>
                <w:snapToGrid w:val="0"/>
                <w:sz w:val="20"/>
                <w:szCs w:val="20"/>
              </w:rPr>
              <w:t xml:space="preserve">  tai skaitā nodokļu ieņēmumi</w:t>
            </w:r>
          </w:p>
        </w:tc>
        <w:tc>
          <w:tcPr>
            <w:tcW w:w="1134" w:type="dxa"/>
            <w:shd w:val="clear" w:color="auto" w:fill="auto"/>
            <w:vAlign w:val="center"/>
          </w:tcPr>
          <w:p w14:paraId="2167331F" w14:textId="77777777" w:rsidR="003F7970" w:rsidRPr="002869EC" w:rsidRDefault="003F7970" w:rsidP="006357B3">
            <w:pPr>
              <w:spacing w:line="240" w:lineRule="auto"/>
              <w:ind w:firstLine="0"/>
              <w:jc w:val="center"/>
              <w:rPr>
                <w:rFonts w:eastAsia="Times New Roman" w:cs="Times New Roman"/>
                <w:sz w:val="20"/>
                <w:szCs w:val="20"/>
              </w:rPr>
            </w:pPr>
          </w:p>
        </w:tc>
        <w:tc>
          <w:tcPr>
            <w:tcW w:w="874" w:type="dxa"/>
            <w:shd w:val="clear" w:color="auto" w:fill="auto"/>
            <w:vAlign w:val="center"/>
          </w:tcPr>
          <w:p w14:paraId="0F20DDF1"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32,3</w:t>
            </w:r>
          </w:p>
        </w:tc>
        <w:tc>
          <w:tcPr>
            <w:tcW w:w="874" w:type="dxa"/>
            <w:shd w:val="clear" w:color="auto" w:fill="auto"/>
            <w:vAlign w:val="center"/>
          </w:tcPr>
          <w:p w14:paraId="7AEF2A6F"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34,2</w:t>
            </w:r>
          </w:p>
        </w:tc>
        <w:tc>
          <w:tcPr>
            <w:tcW w:w="874" w:type="dxa"/>
            <w:shd w:val="clear" w:color="auto" w:fill="auto"/>
            <w:vAlign w:val="center"/>
          </w:tcPr>
          <w:p w14:paraId="443BD3E4"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33,8</w:t>
            </w:r>
          </w:p>
        </w:tc>
        <w:tc>
          <w:tcPr>
            <w:tcW w:w="874" w:type="dxa"/>
            <w:shd w:val="clear" w:color="auto" w:fill="auto"/>
            <w:vAlign w:val="center"/>
          </w:tcPr>
          <w:p w14:paraId="463CBD80"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33,7</w:t>
            </w:r>
          </w:p>
        </w:tc>
        <w:tc>
          <w:tcPr>
            <w:tcW w:w="874" w:type="dxa"/>
            <w:vAlign w:val="center"/>
          </w:tcPr>
          <w:p w14:paraId="233EB204"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33,3</w:t>
            </w:r>
          </w:p>
        </w:tc>
        <w:tc>
          <w:tcPr>
            <w:tcW w:w="874" w:type="dxa"/>
            <w:shd w:val="clear" w:color="auto" w:fill="auto"/>
            <w:vAlign w:val="center"/>
          </w:tcPr>
          <w:p w14:paraId="3740071D"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33,0</w:t>
            </w:r>
          </w:p>
        </w:tc>
      </w:tr>
      <w:tr w:rsidR="003F7970" w:rsidRPr="002869EC" w14:paraId="0FE695C9" w14:textId="77777777" w:rsidTr="003F7970">
        <w:trPr>
          <w:trHeight w:val="163"/>
          <w:jc w:val="center"/>
        </w:trPr>
        <w:tc>
          <w:tcPr>
            <w:tcW w:w="2689" w:type="dxa"/>
            <w:shd w:val="clear" w:color="auto" w:fill="DEEAF6"/>
          </w:tcPr>
          <w:p w14:paraId="5D567C1F" w14:textId="77777777" w:rsidR="003F7970" w:rsidRPr="002869EC" w:rsidRDefault="003F7970" w:rsidP="006357B3">
            <w:pPr>
              <w:spacing w:line="240" w:lineRule="auto"/>
              <w:ind w:firstLine="0"/>
              <w:rPr>
                <w:rFonts w:eastAsia="Times New Roman" w:cs="Times New Roman"/>
                <w:snapToGrid w:val="0"/>
                <w:sz w:val="20"/>
                <w:szCs w:val="20"/>
              </w:rPr>
            </w:pPr>
            <w:r w:rsidRPr="002869EC">
              <w:rPr>
                <w:rFonts w:eastAsia="Times New Roman" w:cs="Times New Roman"/>
                <w:snapToGrid w:val="0"/>
                <w:sz w:val="20"/>
                <w:szCs w:val="20"/>
              </w:rPr>
              <w:t>Kopējie izdevumi</w:t>
            </w:r>
          </w:p>
        </w:tc>
        <w:tc>
          <w:tcPr>
            <w:tcW w:w="1134" w:type="dxa"/>
            <w:shd w:val="clear" w:color="auto" w:fill="DEEAF6"/>
            <w:vAlign w:val="center"/>
          </w:tcPr>
          <w:p w14:paraId="59E4AA0B" w14:textId="77777777" w:rsidR="003F7970" w:rsidRPr="002869EC" w:rsidRDefault="003F7970" w:rsidP="006357B3">
            <w:pPr>
              <w:spacing w:line="240" w:lineRule="auto"/>
              <w:ind w:firstLine="0"/>
              <w:jc w:val="center"/>
              <w:rPr>
                <w:rFonts w:eastAsia="Times New Roman" w:cs="Times New Roman"/>
                <w:sz w:val="20"/>
                <w:szCs w:val="20"/>
              </w:rPr>
            </w:pPr>
            <w:r w:rsidRPr="002869EC">
              <w:rPr>
                <w:rFonts w:eastAsia="Times New Roman" w:cs="Times New Roman"/>
                <w:sz w:val="20"/>
                <w:szCs w:val="20"/>
              </w:rPr>
              <w:t>TE</w:t>
            </w:r>
          </w:p>
        </w:tc>
        <w:tc>
          <w:tcPr>
            <w:tcW w:w="874" w:type="dxa"/>
            <w:shd w:val="clear" w:color="auto" w:fill="DEEAF6"/>
            <w:vAlign w:val="center"/>
          </w:tcPr>
          <w:p w14:paraId="345C60B5"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41,0</w:t>
            </w:r>
          </w:p>
        </w:tc>
        <w:tc>
          <w:tcPr>
            <w:tcW w:w="874" w:type="dxa"/>
            <w:shd w:val="clear" w:color="auto" w:fill="DEEAF6"/>
            <w:vAlign w:val="center"/>
          </w:tcPr>
          <w:p w14:paraId="56F6CB21"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44,7</w:t>
            </w:r>
          </w:p>
        </w:tc>
        <w:tc>
          <w:tcPr>
            <w:tcW w:w="874" w:type="dxa"/>
            <w:shd w:val="clear" w:color="auto" w:fill="DEEAF6"/>
            <w:vAlign w:val="center"/>
          </w:tcPr>
          <w:p w14:paraId="54DBA6D9"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43,8</w:t>
            </w:r>
          </w:p>
        </w:tc>
        <w:tc>
          <w:tcPr>
            <w:tcW w:w="874" w:type="dxa"/>
            <w:shd w:val="clear" w:color="auto" w:fill="DEEAF6"/>
            <w:vAlign w:val="center"/>
          </w:tcPr>
          <w:p w14:paraId="099CC853"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43,0</w:t>
            </w:r>
          </w:p>
        </w:tc>
        <w:tc>
          <w:tcPr>
            <w:tcW w:w="874" w:type="dxa"/>
            <w:shd w:val="clear" w:color="auto" w:fill="DEEAF6"/>
            <w:vAlign w:val="center"/>
          </w:tcPr>
          <w:p w14:paraId="5EBDC46F" w14:textId="77777777" w:rsidR="003F7970" w:rsidRPr="002869EC" w:rsidRDefault="003F7970" w:rsidP="006357B3">
            <w:pPr>
              <w:spacing w:line="240" w:lineRule="auto"/>
              <w:ind w:firstLine="0"/>
              <w:jc w:val="center"/>
              <w:rPr>
                <w:rFonts w:eastAsia="Calibri" w:cs="Times New Roman"/>
                <w:sz w:val="20"/>
                <w:szCs w:val="20"/>
                <w:highlight w:val="yellow"/>
              </w:rPr>
            </w:pPr>
            <w:r w:rsidRPr="002869EC">
              <w:rPr>
                <w:rFonts w:eastAsia="Calibri" w:cs="Times New Roman"/>
                <w:color w:val="000000"/>
                <w:sz w:val="20"/>
                <w:szCs w:val="20"/>
              </w:rPr>
              <w:t>41,5</w:t>
            </w:r>
          </w:p>
        </w:tc>
        <w:tc>
          <w:tcPr>
            <w:tcW w:w="874" w:type="dxa"/>
            <w:shd w:val="clear" w:color="auto" w:fill="DEEAF6"/>
            <w:vAlign w:val="center"/>
          </w:tcPr>
          <w:p w14:paraId="3125BD94"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40,6</w:t>
            </w:r>
          </w:p>
        </w:tc>
      </w:tr>
      <w:tr w:rsidR="003F7970" w:rsidRPr="002869EC" w14:paraId="5327A62A" w14:textId="77777777" w:rsidTr="002F3168">
        <w:trPr>
          <w:trHeight w:val="71"/>
          <w:jc w:val="center"/>
        </w:trPr>
        <w:tc>
          <w:tcPr>
            <w:tcW w:w="2689" w:type="dxa"/>
          </w:tcPr>
          <w:p w14:paraId="1C0CEA48" w14:textId="77777777" w:rsidR="003F7970" w:rsidRPr="002869EC" w:rsidRDefault="003F7970" w:rsidP="006357B3">
            <w:pPr>
              <w:spacing w:line="240" w:lineRule="auto"/>
              <w:ind w:firstLine="0"/>
              <w:jc w:val="left"/>
              <w:rPr>
                <w:rFonts w:eastAsia="Times New Roman" w:cs="Times New Roman"/>
                <w:snapToGrid w:val="0"/>
                <w:sz w:val="20"/>
                <w:szCs w:val="20"/>
              </w:rPr>
            </w:pPr>
            <w:r w:rsidRPr="002869EC">
              <w:rPr>
                <w:rFonts w:eastAsia="Times New Roman" w:cs="Times New Roman"/>
                <w:snapToGrid w:val="0"/>
                <w:sz w:val="20"/>
                <w:szCs w:val="20"/>
              </w:rPr>
              <w:t xml:space="preserve">  tai skaitā procentu izdevumi</w:t>
            </w:r>
          </w:p>
        </w:tc>
        <w:tc>
          <w:tcPr>
            <w:tcW w:w="1134" w:type="dxa"/>
            <w:vAlign w:val="center"/>
          </w:tcPr>
          <w:p w14:paraId="368490B7" w14:textId="77777777" w:rsidR="003F7970" w:rsidRPr="002869EC" w:rsidRDefault="003F7970" w:rsidP="006357B3">
            <w:pPr>
              <w:spacing w:line="240" w:lineRule="auto"/>
              <w:ind w:firstLine="0"/>
              <w:jc w:val="center"/>
              <w:rPr>
                <w:rFonts w:eastAsia="Times New Roman" w:cs="Times New Roman"/>
                <w:sz w:val="20"/>
                <w:szCs w:val="20"/>
              </w:rPr>
            </w:pPr>
            <w:r w:rsidRPr="002869EC">
              <w:rPr>
                <w:rFonts w:eastAsia="Times New Roman" w:cs="Times New Roman"/>
                <w:sz w:val="20"/>
                <w:szCs w:val="20"/>
              </w:rPr>
              <w:t>D.41</w:t>
            </w:r>
          </w:p>
        </w:tc>
        <w:tc>
          <w:tcPr>
            <w:tcW w:w="874" w:type="dxa"/>
            <w:shd w:val="clear" w:color="auto" w:fill="auto"/>
            <w:vAlign w:val="center"/>
          </w:tcPr>
          <w:p w14:paraId="16B09E0A"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0,6</w:t>
            </w:r>
          </w:p>
        </w:tc>
        <w:tc>
          <w:tcPr>
            <w:tcW w:w="874" w:type="dxa"/>
            <w:shd w:val="clear" w:color="auto" w:fill="auto"/>
            <w:vAlign w:val="center"/>
          </w:tcPr>
          <w:p w14:paraId="10ABAC25"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1,1</w:t>
            </w:r>
          </w:p>
        </w:tc>
        <w:tc>
          <w:tcPr>
            <w:tcW w:w="874" w:type="dxa"/>
            <w:shd w:val="clear" w:color="auto" w:fill="auto"/>
            <w:vAlign w:val="center"/>
          </w:tcPr>
          <w:p w14:paraId="24F7B7FF"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1,2</w:t>
            </w:r>
          </w:p>
        </w:tc>
        <w:tc>
          <w:tcPr>
            <w:tcW w:w="874" w:type="dxa"/>
            <w:shd w:val="clear" w:color="auto" w:fill="auto"/>
            <w:vAlign w:val="center"/>
          </w:tcPr>
          <w:p w14:paraId="4E5A8016"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1,4</w:t>
            </w:r>
          </w:p>
        </w:tc>
        <w:tc>
          <w:tcPr>
            <w:tcW w:w="874" w:type="dxa"/>
            <w:vAlign w:val="center"/>
          </w:tcPr>
          <w:p w14:paraId="00F0ACA7" w14:textId="77777777" w:rsidR="003F7970" w:rsidRPr="002869EC" w:rsidRDefault="003F7970" w:rsidP="006357B3">
            <w:pPr>
              <w:spacing w:line="240" w:lineRule="auto"/>
              <w:ind w:firstLine="0"/>
              <w:jc w:val="center"/>
              <w:rPr>
                <w:rFonts w:eastAsia="Calibri" w:cs="Times New Roman"/>
                <w:sz w:val="20"/>
                <w:szCs w:val="20"/>
                <w:highlight w:val="yellow"/>
              </w:rPr>
            </w:pPr>
            <w:r w:rsidRPr="002869EC">
              <w:rPr>
                <w:rFonts w:eastAsia="Calibri" w:cs="Times New Roman"/>
                <w:color w:val="000000"/>
                <w:sz w:val="20"/>
                <w:szCs w:val="20"/>
              </w:rPr>
              <w:t>1,5</w:t>
            </w:r>
          </w:p>
        </w:tc>
        <w:tc>
          <w:tcPr>
            <w:tcW w:w="874" w:type="dxa"/>
            <w:shd w:val="clear" w:color="auto" w:fill="auto"/>
            <w:vAlign w:val="center"/>
          </w:tcPr>
          <w:p w14:paraId="2C1C4249" w14:textId="77777777" w:rsidR="003F7970" w:rsidRPr="002869EC" w:rsidRDefault="003F7970" w:rsidP="006357B3">
            <w:pPr>
              <w:spacing w:line="240" w:lineRule="auto"/>
              <w:ind w:firstLine="0"/>
              <w:jc w:val="center"/>
              <w:rPr>
                <w:rFonts w:eastAsia="Times New Roman" w:cs="Times New Roman"/>
                <w:snapToGrid w:val="0"/>
                <w:sz w:val="20"/>
                <w:szCs w:val="20"/>
                <w:highlight w:val="yellow"/>
              </w:rPr>
            </w:pPr>
            <w:r w:rsidRPr="002869EC">
              <w:rPr>
                <w:rFonts w:eastAsia="Calibri" w:cs="Times New Roman"/>
                <w:color w:val="000000"/>
                <w:sz w:val="20"/>
                <w:szCs w:val="20"/>
              </w:rPr>
              <w:t>1,5</w:t>
            </w:r>
          </w:p>
        </w:tc>
      </w:tr>
      <w:tr w:rsidR="003F7970" w:rsidRPr="002869EC" w14:paraId="244C9270" w14:textId="77777777" w:rsidTr="003F7970">
        <w:trPr>
          <w:trHeight w:val="71"/>
          <w:jc w:val="center"/>
        </w:trPr>
        <w:tc>
          <w:tcPr>
            <w:tcW w:w="2689" w:type="dxa"/>
            <w:shd w:val="clear" w:color="auto" w:fill="DEEAF6"/>
          </w:tcPr>
          <w:p w14:paraId="331E6EB7" w14:textId="77777777" w:rsidR="003F7970" w:rsidRPr="002869EC" w:rsidRDefault="003F7970" w:rsidP="006357B3">
            <w:pPr>
              <w:spacing w:line="240" w:lineRule="auto"/>
              <w:ind w:firstLine="0"/>
              <w:rPr>
                <w:rFonts w:eastAsia="Times New Roman" w:cs="Times New Roman"/>
                <w:snapToGrid w:val="0"/>
                <w:sz w:val="20"/>
                <w:szCs w:val="20"/>
              </w:rPr>
            </w:pPr>
            <w:r w:rsidRPr="002869EC">
              <w:rPr>
                <w:rFonts w:eastAsia="Times New Roman" w:cs="Times New Roman"/>
                <w:snapToGrid w:val="0"/>
                <w:sz w:val="20"/>
                <w:szCs w:val="20"/>
              </w:rPr>
              <w:t>Vispārējās valdības parāds</w:t>
            </w:r>
          </w:p>
        </w:tc>
        <w:tc>
          <w:tcPr>
            <w:tcW w:w="1134" w:type="dxa"/>
            <w:shd w:val="clear" w:color="auto" w:fill="DEEAF6"/>
            <w:vAlign w:val="center"/>
          </w:tcPr>
          <w:p w14:paraId="318A2F5C" w14:textId="77777777" w:rsidR="003F7970" w:rsidRPr="002869EC" w:rsidRDefault="003F7970" w:rsidP="006357B3">
            <w:pPr>
              <w:spacing w:line="240" w:lineRule="auto"/>
              <w:ind w:firstLine="0"/>
              <w:jc w:val="center"/>
              <w:rPr>
                <w:rFonts w:eastAsia="Times New Roman" w:cs="Times New Roman"/>
                <w:sz w:val="20"/>
                <w:szCs w:val="20"/>
              </w:rPr>
            </w:pPr>
          </w:p>
        </w:tc>
        <w:tc>
          <w:tcPr>
            <w:tcW w:w="874" w:type="dxa"/>
            <w:shd w:val="clear" w:color="auto" w:fill="DEEAF6"/>
            <w:vAlign w:val="center"/>
          </w:tcPr>
          <w:p w14:paraId="1D479DD6"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43,6</w:t>
            </w:r>
          </w:p>
        </w:tc>
        <w:tc>
          <w:tcPr>
            <w:tcW w:w="874" w:type="dxa"/>
            <w:shd w:val="clear" w:color="auto" w:fill="DEEAF6"/>
            <w:vAlign w:val="center"/>
          </w:tcPr>
          <w:p w14:paraId="5F7EE42C"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45,8</w:t>
            </w:r>
          </w:p>
        </w:tc>
        <w:tc>
          <w:tcPr>
            <w:tcW w:w="874" w:type="dxa"/>
            <w:shd w:val="clear" w:color="auto" w:fill="DEEAF6"/>
            <w:vAlign w:val="center"/>
          </w:tcPr>
          <w:p w14:paraId="22044620"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46,8</w:t>
            </w:r>
          </w:p>
        </w:tc>
        <w:tc>
          <w:tcPr>
            <w:tcW w:w="874" w:type="dxa"/>
            <w:shd w:val="clear" w:color="auto" w:fill="DEEAF6"/>
            <w:vAlign w:val="center"/>
          </w:tcPr>
          <w:p w14:paraId="190300CF"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47,0</w:t>
            </w:r>
          </w:p>
        </w:tc>
        <w:tc>
          <w:tcPr>
            <w:tcW w:w="874" w:type="dxa"/>
            <w:shd w:val="clear" w:color="auto" w:fill="DEEAF6"/>
            <w:vAlign w:val="center"/>
          </w:tcPr>
          <w:p w14:paraId="2342CE1B"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49,6</w:t>
            </w:r>
          </w:p>
        </w:tc>
        <w:tc>
          <w:tcPr>
            <w:tcW w:w="874" w:type="dxa"/>
            <w:shd w:val="clear" w:color="auto" w:fill="DEEAF6"/>
            <w:vAlign w:val="center"/>
          </w:tcPr>
          <w:p w14:paraId="54E9B188" w14:textId="77777777" w:rsidR="003F7970" w:rsidRPr="002869EC" w:rsidRDefault="003F7970" w:rsidP="006357B3">
            <w:pPr>
              <w:spacing w:line="240" w:lineRule="auto"/>
              <w:ind w:firstLine="0"/>
              <w:jc w:val="center"/>
              <w:rPr>
                <w:rFonts w:eastAsia="Calibri" w:cs="Times New Roman"/>
                <w:sz w:val="20"/>
                <w:szCs w:val="20"/>
              </w:rPr>
            </w:pPr>
            <w:r w:rsidRPr="002869EC">
              <w:rPr>
                <w:rFonts w:eastAsia="Calibri" w:cs="Times New Roman"/>
                <w:sz w:val="20"/>
                <w:szCs w:val="20"/>
              </w:rPr>
              <w:t>48,9</w:t>
            </w:r>
          </w:p>
        </w:tc>
      </w:tr>
    </w:tbl>
    <w:p w14:paraId="289A98F9" w14:textId="77777777" w:rsidR="003F7970" w:rsidRPr="002869EC" w:rsidRDefault="003F7970" w:rsidP="007436A0">
      <w:pPr>
        <w:spacing w:before="240" w:line="240" w:lineRule="auto"/>
        <w:rPr>
          <w:rFonts w:eastAsia="Times New Roman" w:cs="Times New Roman"/>
          <w:color w:val="000000"/>
          <w:szCs w:val="24"/>
        </w:rPr>
      </w:pPr>
      <w:r w:rsidRPr="002869EC">
        <w:rPr>
          <w:rFonts w:eastAsia="Times New Roman" w:cs="Times New Roman"/>
          <w:color w:val="000000"/>
          <w:szCs w:val="24"/>
        </w:rPr>
        <w:t xml:space="preserve">Atbilstoši prognozēm vispārējās valdības </w:t>
      </w:r>
      <w:r w:rsidRPr="002869EC">
        <w:rPr>
          <w:rFonts w:eastAsia="Times New Roman" w:cs="Times New Roman"/>
          <w:b/>
          <w:bCs/>
          <w:color w:val="000000"/>
          <w:szCs w:val="24"/>
        </w:rPr>
        <w:t>ieņēmumu</w:t>
      </w:r>
      <w:r w:rsidRPr="002869EC">
        <w:rPr>
          <w:rFonts w:eastAsia="Times New Roman" w:cs="Times New Roman"/>
          <w:color w:val="000000"/>
          <w:szCs w:val="24"/>
        </w:rPr>
        <w:t xml:space="preserve"> īpatsvars IKP 2025. gadā būs zemāks nekā 2024. gadā un sasniegs 40,9% no IKP. Turpmākajos gados tas turpinās samazināties – 2026. gadā līdz 40,3%, 2027. gadā līdz 39,1% un 2028. gadā attiecīgi līdz 38,3% no IKP.</w:t>
      </w:r>
    </w:p>
    <w:p w14:paraId="4DEB4A78" w14:textId="77777777" w:rsidR="003F7970" w:rsidRPr="002869EC" w:rsidRDefault="003F7970" w:rsidP="006357B3">
      <w:pPr>
        <w:spacing w:line="240" w:lineRule="auto"/>
        <w:rPr>
          <w:rFonts w:eastAsia="Times New Roman" w:cs="Times New Roman"/>
          <w:color w:val="000000"/>
          <w:szCs w:val="24"/>
        </w:rPr>
      </w:pPr>
      <w:r w:rsidRPr="002869EC">
        <w:rPr>
          <w:rFonts w:eastAsia="Times New Roman" w:cs="Times New Roman"/>
          <w:color w:val="000000"/>
          <w:szCs w:val="24"/>
        </w:rPr>
        <w:t xml:space="preserve">2025. gadā kopbudžeta nodokļu ieņēmumi (atbilstoši naudas plūsmai) tiek prognozēti par 5,5% vairāk nekā 2024. gadā. Turpmākajos gados nodokļu ieņēmumu pieaugums būs mazāks – 2026. gadā pieaugums tiek prognozēts par 5,3%, 2027. gadā par 4,5%, bet 2028. gadā – par 4,4%. Kopumā tiek prognozēts, ka nodokļu ieņēmumu dinamika 2025.-2028. gadā būs </w:t>
      </w:r>
      <w:bookmarkStart w:id="27" w:name="_Hlk177651060"/>
      <w:r w:rsidRPr="002869EC">
        <w:rPr>
          <w:rFonts w:eastAsia="Times New Roman" w:cs="Times New Roman"/>
          <w:color w:val="000000"/>
          <w:szCs w:val="24"/>
        </w:rPr>
        <w:t>atbilstoša prognozējamiem Latvijas tautsaimniecības attīstības tempiem</w:t>
      </w:r>
      <w:bookmarkEnd w:id="27"/>
      <w:r w:rsidRPr="002869EC">
        <w:rPr>
          <w:rFonts w:eastAsia="Times New Roman" w:cs="Times New Roman"/>
          <w:color w:val="000000"/>
          <w:szCs w:val="24"/>
        </w:rPr>
        <w:t>, tādējādi nodokļu ieņēmumu jeb nodokļu sloga īpatsvaram IKP minētajā periodā saglabājoties relatīvi stabilā līmenī 33-34% apmērā.</w:t>
      </w:r>
    </w:p>
    <w:p w14:paraId="5694B868" w14:textId="28E6BD45" w:rsidR="003F7970" w:rsidRPr="002869EC" w:rsidRDefault="003F7970" w:rsidP="006357B3">
      <w:pPr>
        <w:spacing w:line="240" w:lineRule="auto"/>
        <w:rPr>
          <w:rFonts w:eastAsia="Times New Roman" w:cs="Times New Roman"/>
          <w:color w:val="000000"/>
          <w:szCs w:val="24"/>
        </w:rPr>
      </w:pPr>
      <w:r w:rsidRPr="002869EC">
        <w:rPr>
          <w:rFonts w:eastAsia="Times New Roman" w:cs="Times New Roman"/>
          <w:color w:val="000000"/>
          <w:szCs w:val="24"/>
        </w:rPr>
        <w:t xml:space="preserve">Valsts sociālās apdrošināšanas iemaksas un </w:t>
      </w:r>
      <w:r w:rsidR="00EB0FCC">
        <w:rPr>
          <w:rFonts w:eastAsia="Times New Roman" w:cs="Times New Roman"/>
          <w:color w:val="000000"/>
          <w:szCs w:val="24"/>
        </w:rPr>
        <w:t>IIN</w:t>
      </w:r>
      <w:r w:rsidRPr="002869EC">
        <w:rPr>
          <w:rFonts w:eastAsia="Times New Roman" w:cs="Times New Roman"/>
          <w:color w:val="000000"/>
          <w:szCs w:val="24"/>
        </w:rPr>
        <w:t xml:space="preserve"> ir galvenie darbaspēka nodokļi, kuru pieaugums tiek prognozēts kā viens no nozīmīgākajiem valsts budžeta papildu ieņēmumu avotiem nākamajos gados, ņemot vērā vidējās darba samaksas pieaugumu tautsaimniecībā. 2025. gadā ienākuma un mantas kārtējie nodokļi (D.5) plānoti ar 3,6% pieaugumu pret 2024. gadu, bet sociālās apdrošināšanas iemaksas (D.61) par 5,9% augstākā līmenī. Ienākuma un mantas kārtējo nodokļu (D.5) zemāku pieauguma tempu nosaka neliels </w:t>
      </w:r>
      <w:r w:rsidR="00EB0FCC">
        <w:rPr>
          <w:rFonts w:eastAsia="Times New Roman" w:cs="Times New Roman"/>
          <w:color w:val="000000"/>
          <w:szCs w:val="24"/>
        </w:rPr>
        <w:t>UIN</w:t>
      </w:r>
      <w:r w:rsidRPr="002869EC">
        <w:rPr>
          <w:rFonts w:eastAsia="Times New Roman" w:cs="Times New Roman"/>
          <w:color w:val="000000"/>
          <w:szCs w:val="24"/>
        </w:rPr>
        <w:t xml:space="preserve"> ieņēmumu samazinājums 2025. gadā, pamatā dēļ mazākiem prognozētajiem ieņēmumiem no komercbanku peļņas. Arī turpmākajos gados nomināli sagaidāms minēto ieņēmumu pieaugums vispārējās valdības budžetā, un tā temps izriet no makroekonomikas scenārija.</w:t>
      </w:r>
    </w:p>
    <w:p w14:paraId="22734D51" w14:textId="77777777" w:rsidR="003F7970" w:rsidRPr="002869EC" w:rsidRDefault="003F7970" w:rsidP="006357B3">
      <w:pPr>
        <w:spacing w:line="240" w:lineRule="auto"/>
        <w:rPr>
          <w:rFonts w:eastAsia="Times New Roman" w:cs="Times New Roman"/>
          <w:color w:val="000000"/>
          <w:szCs w:val="24"/>
        </w:rPr>
      </w:pPr>
      <w:r w:rsidRPr="002869EC">
        <w:rPr>
          <w:rFonts w:eastAsia="Times New Roman" w:cs="Times New Roman"/>
          <w:color w:val="000000"/>
          <w:szCs w:val="24"/>
        </w:rPr>
        <w:t>Ražošanas un importa nodokļu (D.2) pieaugums budžetā pie nemainīgas politikas sagaidāms mērens – 4,2% 2025. gadā, 4,1% 2026. gadā, 3,4% 2027. gadā un 3,5% 2028. gadā. Šo ieņēmumu pieaugums sagaidāms atbilstoši prognozējamiem Latvijas tautsaimniecības attīstības tempiem, tāpat arī nedaudz palielinoties jau ieplānotajām akcīzes preču likmēm.</w:t>
      </w:r>
      <w:r w:rsidRPr="002869EC" w:rsidDel="003E1BED">
        <w:rPr>
          <w:rFonts w:eastAsia="Times New Roman" w:cs="Times New Roman"/>
          <w:color w:val="000000"/>
          <w:szCs w:val="24"/>
        </w:rPr>
        <w:t xml:space="preserve"> </w:t>
      </w:r>
    </w:p>
    <w:p w14:paraId="3C69E69B" w14:textId="77777777" w:rsidR="003F7970" w:rsidRPr="002869EC" w:rsidRDefault="003F7970" w:rsidP="006357B3">
      <w:pPr>
        <w:spacing w:before="120" w:line="240" w:lineRule="auto"/>
        <w:rPr>
          <w:rFonts w:eastAsia="Times New Roman" w:cs="Times New Roman"/>
          <w:color w:val="000000"/>
          <w:szCs w:val="24"/>
          <w:highlight w:val="yellow"/>
        </w:rPr>
      </w:pPr>
      <w:r w:rsidRPr="002869EC">
        <w:rPr>
          <w:rFonts w:eastAsia="Times New Roman" w:cs="Times New Roman"/>
          <w:szCs w:val="24"/>
        </w:rPr>
        <w:t xml:space="preserve">Atbilstoši prognozēm vispārējās valdības </w:t>
      </w:r>
      <w:r w:rsidRPr="002869EC">
        <w:rPr>
          <w:rFonts w:eastAsia="Times New Roman" w:cs="Times New Roman"/>
          <w:b/>
          <w:bCs/>
          <w:szCs w:val="24"/>
        </w:rPr>
        <w:t>izdevumu</w:t>
      </w:r>
      <w:r w:rsidRPr="002869EC">
        <w:rPr>
          <w:rFonts w:eastAsia="Times New Roman" w:cs="Times New Roman"/>
          <w:szCs w:val="24"/>
        </w:rPr>
        <w:t xml:space="preserve"> īpatsvars IKP pie nemainīgas politikas 2025. gadā salīdzinājumā ar 2024. gadu samazināsies un būs 43,8% no IKP, 2026. gadā 43,0% no IKP, 2027. gadā 41,5% no IKP un 2028. gadā 40,6% no IKP. </w:t>
      </w:r>
      <w:r w:rsidRPr="002869EC">
        <w:rPr>
          <w:rFonts w:eastAsia="Times New Roman" w:cs="Times New Roman"/>
          <w:color w:val="000000"/>
          <w:szCs w:val="24"/>
        </w:rPr>
        <w:t>Nominālā izteiksmē izdevumu, tāpat kā ieņēmumu kopējais apjoms ik gadu pieaugs.</w:t>
      </w:r>
    </w:p>
    <w:p w14:paraId="45C09B67" w14:textId="35770844" w:rsidR="003F7970" w:rsidRPr="002869EC" w:rsidRDefault="003F7970" w:rsidP="006357B3">
      <w:pPr>
        <w:spacing w:line="240" w:lineRule="auto"/>
        <w:rPr>
          <w:rFonts w:eastAsia="Calibri" w:cs="Times New Roman"/>
          <w:szCs w:val="24"/>
        </w:rPr>
      </w:pPr>
      <w:r w:rsidRPr="002869EC">
        <w:rPr>
          <w:rFonts w:eastAsia="Calibri" w:cs="Times New Roman"/>
          <w:szCs w:val="24"/>
        </w:rPr>
        <w:t xml:space="preserve">Izdevumi atlīdzībai (D.1) vispārējās valdības budžetā pēc nozīmīga kāpuma 2024. gadā 2025. gadā pie nemainīgas politikas augs tikai par 1,7% un sasniegs 12,2% no IKP, kamēr 2024. gadā atlīdzības izdevumu attiecība pret IKP bija 12,7% no IKP. Zemais pieauguma temps </w:t>
      </w:r>
      <w:r w:rsidRPr="002869EC">
        <w:rPr>
          <w:rFonts w:eastAsia="Calibri" w:cs="Times New Roman"/>
          <w:szCs w:val="24"/>
        </w:rPr>
        <w:lastRenderedPageBreak/>
        <w:t>skaidrojams ar to, ka centrālās valdības budžetā pie nemainīgas politikas nav ņemti vērā valdības lēmumi par finansējuma palielināšanu.</w:t>
      </w:r>
    </w:p>
    <w:p w14:paraId="0916A91F" w14:textId="77777777" w:rsidR="003F7970" w:rsidRPr="002869EC" w:rsidRDefault="003F7970" w:rsidP="006357B3">
      <w:pPr>
        <w:spacing w:line="240" w:lineRule="auto"/>
        <w:rPr>
          <w:rFonts w:eastAsia="Calibri" w:cs="Times New Roman"/>
          <w:szCs w:val="24"/>
          <w:highlight w:val="yellow"/>
        </w:rPr>
      </w:pPr>
      <w:r w:rsidRPr="002869EC">
        <w:rPr>
          <w:rFonts w:eastAsia="Calibri" w:cs="Times New Roman"/>
          <w:szCs w:val="24"/>
        </w:rPr>
        <w:t xml:space="preserve">Izdevumi sociālajiem pabalstiem (D.632 un D.62) pēdējos gados attiecībā pret IKP gadu no gada ir auguši. Ja vēl 2019. gadā tie veidoja 12% no IKP, tad 2024. gadā jau 14,1% no IKP. Arī 2025. gadā pie nemainīgas politikas izdevumi sociālajiem pabalstiem būs augstā līmenī – 13,9% no IKP, bet 2026.-2028. gados 14,1% no IKP, kas galvenokārt skaidrojams ar izdevumu pieaugumu vecuma pensijām, tāpat arī slimības un bezdarbnieka pabalstiem. Atbilstoši Labklājības ministrijas prognozēm, kam pamatā ir šā gada sešu mēnešu faktiskā izpilde, vecuma pensiju saņēmēju skaits vidēji mēnesī 2024. gadā prognozēts augstāks. Kopumā vecuma pensiju saņēmēju skaits līdz pensionēšanās vecuma reformas beigām 2025. gadā samazināsies līdz 425,4 tūkst. personu, taču jau no 2026. gada atbilstoši </w:t>
      </w:r>
      <w:proofErr w:type="spellStart"/>
      <w:r w:rsidRPr="002869EC">
        <w:rPr>
          <w:rFonts w:eastAsia="Calibri" w:cs="Times New Roman"/>
          <w:i/>
          <w:iCs/>
          <w:szCs w:val="24"/>
        </w:rPr>
        <w:t>Eurostat</w:t>
      </w:r>
      <w:proofErr w:type="spellEnd"/>
      <w:r w:rsidRPr="002869EC">
        <w:rPr>
          <w:rFonts w:eastAsia="Calibri" w:cs="Times New Roman"/>
          <w:szCs w:val="24"/>
        </w:rPr>
        <w:t xml:space="preserve"> prognozēm par 65+ iedzīvotāju skaita pieaugumu arī vecuma pensiju saņēmēju skaits palielināsies līdz sasniegs 432,9 tūkst. personu 2028. gadā.</w:t>
      </w:r>
    </w:p>
    <w:p w14:paraId="4562B08D" w14:textId="77777777" w:rsidR="003F7970" w:rsidRPr="002869EC" w:rsidRDefault="003F7970" w:rsidP="006357B3">
      <w:pPr>
        <w:spacing w:line="240" w:lineRule="auto"/>
        <w:rPr>
          <w:rFonts w:eastAsia="Calibri" w:cs="Times New Roman"/>
          <w:szCs w:val="24"/>
          <w:highlight w:val="yellow"/>
        </w:rPr>
      </w:pPr>
      <w:r w:rsidRPr="002869EC">
        <w:rPr>
          <w:rFonts w:eastAsia="Calibri" w:cs="Times New Roman"/>
          <w:szCs w:val="24"/>
        </w:rPr>
        <w:t>Procentu izdevumu (D.41) īpatsvars pret IKP kopš 2023. gada palielinās, un šāda tendence plānota līdz pat 2028. gadam. Augstās procentu likmes un nominālā deficīta apmērs palielina aizņemšanās nepieciešamību, tādējādi procentu izdevumu īpatsvars no 1,1% no IKP 2024. gadā augs līdz 1,5% no IKP 2028. gadā.</w:t>
      </w:r>
    </w:p>
    <w:p w14:paraId="3EDF9839" w14:textId="2350A95F" w:rsidR="0006640C" w:rsidRPr="002869EC" w:rsidRDefault="003F7970" w:rsidP="006357B3">
      <w:pPr>
        <w:spacing w:line="240" w:lineRule="auto"/>
        <w:rPr>
          <w:rFonts w:eastAsia="Times New Roman" w:cs="Times New Roman"/>
          <w:color w:val="000000"/>
          <w:szCs w:val="24"/>
        </w:rPr>
      </w:pPr>
      <w:r w:rsidRPr="002869EC">
        <w:rPr>
          <w:rFonts w:eastAsia="Times New Roman" w:cs="Times New Roman"/>
          <w:color w:val="000000"/>
          <w:szCs w:val="24"/>
        </w:rPr>
        <w:t xml:space="preserve">Investīciju izdevumi (P.51g) vidējā termiņā tiek prognozēti virs iepriekšējo gadu līmeņiem – attiecīgi 5,2% no IKP 2025. gadā, 5,4% no IKP 2026. gadā, ko noteiks gan investīcijas valsts iekšējā un ārējā drošībā, gan aktīvā ārvalstu finanšu palīdzības (ĀFP) projektu īstenošana. 2025. un 2026. gadā valsts pamatbudžetā tiek prognozēti ievērojami lielāki izdevumi ĀFP projektu īstenošanai salīdzinājumā ar iepriekšējiem gadiem, ņemot vērā arvien pieaugošos 2021.-2027. gada plānošanas perioda ES fondu projektu izdevumus un nepieciešamību sekmīgi ieguldīt visus no </w:t>
      </w:r>
      <w:r w:rsidR="008B0C5E">
        <w:rPr>
          <w:rFonts w:eastAsia="Times New Roman" w:cs="Times New Roman"/>
          <w:color w:val="000000"/>
          <w:szCs w:val="24"/>
        </w:rPr>
        <w:t>ANM</w:t>
      </w:r>
      <w:r w:rsidRPr="002869EC">
        <w:rPr>
          <w:rFonts w:eastAsia="Times New Roman" w:cs="Times New Roman"/>
          <w:color w:val="000000"/>
          <w:szCs w:val="24"/>
        </w:rPr>
        <w:t xml:space="preserve"> pieejamos līdzekļus līdz 2026. gadam. Tāpat būtiski augstākā līmenī 2025.-2026. gadā plānots finansējums </w:t>
      </w:r>
      <w:r w:rsidRPr="002869EC">
        <w:rPr>
          <w:rFonts w:eastAsia="Times New Roman" w:cs="Times New Roman"/>
          <w:i/>
          <w:iCs/>
          <w:color w:val="000000"/>
          <w:szCs w:val="24"/>
        </w:rPr>
        <w:t xml:space="preserve">Rail </w:t>
      </w:r>
      <w:proofErr w:type="spellStart"/>
      <w:r w:rsidRPr="002869EC">
        <w:rPr>
          <w:rFonts w:eastAsia="Times New Roman" w:cs="Times New Roman"/>
          <w:i/>
          <w:iCs/>
          <w:color w:val="000000"/>
          <w:szCs w:val="24"/>
        </w:rPr>
        <w:t>Baltica</w:t>
      </w:r>
      <w:proofErr w:type="spellEnd"/>
      <w:r w:rsidRPr="002869EC">
        <w:rPr>
          <w:rFonts w:eastAsia="Times New Roman" w:cs="Times New Roman"/>
          <w:color w:val="000000"/>
          <w:szCs w:val="24"/>
        </w:rPr>
        <w:t xml:space="preserve"> projekta īstenošanai, tomēr tā apmērs tālākajos gados budžetā tiek paredzēts tikai tām projekta aktivitātēm, kam finansējums no </w:t>
      </w:r>
      <w:r w:rsidR="00013CAB" w:rsidRPr="002869EC">
        <w:rPr>
          <w:rFonts w:eastAsia="Times New Roman" w:cs="Times New Roman"/>
          <w:color w:val="000000"/>
          <w:szCs w:val="24"/>
        </w:rPr>
        <w:t>EK</w:t>
      </w:r>
      <w:r w:rsidRPr="002869EC">
        <w:rPr>
          <w:rFonts w:eastAsia="Times New Roman" w:cs="Times New Roman"/>
          <w:color w:val="000000"/>
          <w:szCs w:val="24"/>
        </w:rPr>
        <w:t xml:space="preserve"> jau ir ticis apstiprināts. Vietējās valdības budžetā kapitālie izdevumi vidējā termiņā tiek prognozēti zemāki nekā budžetā un Stabilitātes programmā 2024.-2028. gadam. Prognozes tika pārskatītas, ņemot vērā, ka šā gada sešos mēnešos pašvaldību budžeta kapitālie izdevumi samazinājās par 28,0% salīdzinājumā ar attiecīgo periodu 2023. gadā, uzrādot vāju faktisko izpildi ārvalstu finanšu palīdzības sadaļā. Tādējādi tika samazināti kapitālie izdevumi ES fondu projektiem, prognozējot zemāku pašvaldību līdzfinansējumu vidējā termiņā. Savukārt izdevumi pamatfunkcijām, neskatoties uz vājo aizņemšanos, būtiski pieauga, tādēļ kapitālo izdevumu prognoze pamatfunkcijām tika palielināta gan šim gadam, gan vidējam termiņam.</w:t>
      </w:r>
    </w:p>
    <w:p w14:paraId="20FF30DC" w14:textId="77777777" w:rsidR="00BF4753" w:rsidRPr="002869EC" w:rsidRDefault="00BF4753" w:rsidP="006357B3">
      <w:pPr>
        <w:spacing w:line="240" w:lineRule="auto"/>
        <w:ind w:firstLine="709"/>
        <w:rPr>
          <w:rFonts w:eastAsia="Calibri" w:cs="Times New Roman"/>
          <w:color w:val="000000"/>
          <w:szCs w:val="24"/>
          <w:highlight w:val="lightGray"/>
        </w:rPr>
      </w:pPr>
    </w:p>
    <w:p w14:paraId="5C274CE9" w14:textId="77777777" w:rsidR="00BF055E" w:rsidRDefault="00BF055E" w:rsidP="006357B3">
      <w:pPr>
        <w:spacing w:after="160" w:line="240"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pPr>
      <w:r>
        <w:rPr>
          <w:sz w:val="32"/>
          <w:szCs w:val="32"/>
        </w:rPr>
        <w:br w:type="page"/>
      </w:r>
    </w:p>
    <w:p w14:paraId="43D2B114" w14:textId="42413F54" w:rsidR="008062C7" w:rsidRPr="00C33FA0" w:rsidRDefault="005A4348" w:rsidP="006357B3">
      <w:pPr>
        <w:pStyle w:val="Heading1"/>
        <w:spacing w:before="0" w:after="240" w:line="240" w:lineRule="auto"/>
        <w:rPr>
          <w:sz w:val="32"/>
          <w:szCs w:val="32"/>
        </w:rPr>
      </w:pPr>
      <w:bookmarkStart w:id="28" w:name="_Toc179540626"/>
      <w:r w:rsidRPr="00C33FA0">
        <w:rPr>
          <w:sz w:val="32"/>
          <w:szCs w:val="32"/>
        </w:rPr>
        <w:lastRenderedPageBreak/>
        <w:t>5</w:t>
      </w:r>
      <w:r w:rsidR="00BF4753" w:rsidRPr="00C33FA0">
        <w:rPr>
          <w:sz w:val="32"/>
          <w:szCs w:val="32"/>
        </w:rPr>
        <w:t xml:space="preserve">. </w:t>
      </w:r>
      <w:r w:rsidR="008062C7" w:rsidRPr="00C33FA0">
        <w:rPr>
          <w:sz w:val="32"/>
          <w:szCs w:val="32"/>
        </w:rPr>
        <w:t>Fiskālā trajektorija</w:t>
      </w:r>
      <w:bookmarkEnd w:id="28"/>
    </w:p>
    <w:p w14:paraId="1396D8CA" w14:textId="77777777" w:rsidR="00CB5BCE" w:rsidRPr="00C33FA0" w:rsidRDefault="004516B3" w:rsidP="006357B3">
      <w:pPr>
        <w:spacing w:after="240" w:line="240" w:lineRule="auto"/>
        <w:ind w:firstLine="0"/>
        <w:jc w:val="center"/>
        <w:rPr>
          <w:b/>
          <w:bCs/>
          <w:smallCaps/>
          <w:szCs w:val="24"/>
          <w:u w:val="single"/>
        </w:rPr>
      </w:pPr>
      <w:r w:rsidRPr="00C33FA0">
        <w:rPr>
          <w:b/>
          <w:bCs/>
          <w:szCs w:val="24"/>
          <w:u w:val="single"/>
        </w:rPr>
        <w:t>Fiskālās trajektorijas not</w:t>
      </w:r>
      <w:r w:rsidR="00281A8B" w:rsidRPr="00C33FA0">
        <w:rPr>
          <w:b/>
          <w:bCs/>
          <w:szCs w:val="24"/>
          <w:u w:val="single"/>
        </w:rPr>
        <w:t>e</w:t>
      </w:r>
      <w:r w:rsidRPr="00C33FA0">
        <w:rPr>
          <w:b/>
          <w:bCs/>
          <w:szCs w:val="24"/>
          <w:u w:val="single"/>
        </w:rPr>
        <w:t>ikšanas konteksts</w:t>
      </w:r>
    </w:p>
    <w:p w14:paraId="21133CC3" w14:textId="52E7969F" w:rsidR="00564D69" w:rsidRPr="00C33FA0" w:rsidRDefault="008062C7" w:rsidP="006357B3">
      <w:pPr>
        <w:spacing w:line="240" w:lineRule="auto"/>
        <w:rPr>
          <w:rFonts w:cs="Times New Roman"/>
          <w:b/>
          <w:bCs/>
          <w:smallCaps/>
          <w:szCs w:val="24"/>
        </w:rPr>
      </w:pPr>
      <w:r w:rsidRPr="00C33FA0">
        <w:rPr>
          <w:rFonts w:cs="Times New Roman"/>
          <w:szCs w:val="24"/>
        </w:rPr>
        <w:t xml:space="preserve">Saskaņā ar </w:t>
      </w:r>
      <w:r w:rsidR="00EE7219" w:rsidRPr="00C33FA0">
        <w:rPr>
          <w:rFonts w:cs="Times New Roman"/>
          <w:szCs w:val="24"/>
        </w:rPr>
        <w:t>Eiropas Parlamenta un Padomes 2024. gada 29. aprīļa Regulas (ES) 2024/1263 par ekonomikas politikas efektīvu koordināciju un budžeta daudzpusēju uzraudzību un ar ko atceļ Padomes Regulu (EK) Nr. 1466/97 (</w:t>
      </w:r>
      <w:r w:rsidR="00281A8B" w:rsidRPr="00C33FA0">
        <w:rPr>
          <w:rFonts w:cs="Times New Roman"/>
          <w:szCs w:val="24"/>
        </w:rPr>
        <w:t>Regula</w:t>
      </w:r>
      <w:r w:rsidR="00EE7219" w:rsidRPr="00C33FA0">
        <w:rPr>
          <w:rFonts w:cs="Times New Roman"/>
          <w:szCs w:val="24"/>
        </w:rPr>
        <w:t>)</w:t>
      </w:r>
      <w:r w:rsidR="00507A64" w:rsidRPr="00C33FA0">
        <w:rPr>
          <w:rFonts w:cs="Times New Roman"/>
          <w:szCs w:val="24"/>
        </w:rPr>
        <w:t xml:space="preserve"> </w:t>
      </w:r>
      <w:r w:rsidRPr="00C33FA0">
        <w:rPr>
          <w:rFonts w:cs="Times New Roman"/>
          <w:szCs w:val="24"/>
        </w:rPr>
        <w:t xml:space="preserve">noteikumiem FSP centrālais elements ir fiskālās trajektorijas noteikšana turpmākajiem 4 gadiem un apņemšanās to ievērot neatkarīgi no turpmākās ekonomiskās attīstības. Tas nozīmē, ka labākas ekonomiskās izaugsmes apstākļos papildus ģenerētie ieņēmumi netiek </w:t>
      </w:r>
      <w:r w:rsidR="00281A8B" w:rsidRPr="00C33FA0">
        <w:rPr>
          <w:rFonts w:cs="Times New Roman"/>
          <w:szCs w:val="24"/>
        </w:rPr>
        <w:t>konvertēti</w:t>
      </w:r>
      <w:r w:rsidRPr="00C33FA0">
        <w:rPr>
          <w:rFonts w:cs="Times New Roman"/>
          <w:szCs w:val="24"/>
        </w:rPr>
        <w:t xml:space="preserve"> izdevumos un otrādi – zemākas ekonomikas attīstības apstākļos ieņēmumu kritums nav pamats samazināt izdevumus. Tas nodrošina fiskālas politikas stabilitāti un iespēju to noteikt vidējā termiņa periodam. Fiskālā trajektorija tiek noteikta kā izdevumu pieaugums 2025. gadā pret 2024. gadu, izdevumu pieaugums 2026. gadā pret 2025. gadu un tā tālāk. Būtiski atzīmēt, ka tas attiecas nevis uz visiem </w:t>
      </w:r>
      <w:r w:rsidR="00474A33" w:rsidRPr="00C33FA0">
        <w:rPr>
          <w:rFonts w:cs="Times New Roman"/>
          <w:szCs w:val="24"/>
        </w:rPr>
        <w:t xml:space="preserve">vispārējās valdības budžeta </w:t>
      </w:r>
      <w:r w:rsidRPr="00C33FA0">
        <w:rPr>
          <w:rFonts w:cs="Times New Roman"/>
          <w:szCs w:val="24"/>
        </w:rPr>
        <w:t>izdevumiem</w:t>
      </w:r>
      <w:r w:rsidR="00474A33" w:rsidRPr="00C33FA0">
        <w:rPr>
          <w:rFonts w:cs="Times New Roman"/>
          <w:szCs w:val="24"/>
        </w:rPr>
        <w:t xml:space="preserve">, bet gan uz noteiktu izdevumu apakšgrupu – neto nacionāli finansētiem primārajiem izdevumiem (NNFPI). No kopējiem izdevumiem tiek izslēgti no ES fondiem finansētie izdevumi, procentu izdevumi, kā arī izdevumi tiek koriģēti izslēdzot ar ciklisko bezdarbu saistītos izdevumus. Jāatzīmē, ka fiskālā trajektorija nosaka NNFPI pieauguma maksimālo līmeni, kāds tas būtu nemainīgas </w:t>
      </w:r>
      <w:r w:rsidR="00671F74" w:rsidRPr="00C33FA0">
        <w:rPr>
          <w:rFonts w:cs="Times New Roman"/>
          <w:szCs w:val="24"/>
        </w:rPr>
        <w:t xml:space="preserve">ieņēmumu </w:t>
      </w:r>
      <w:r w:rsidR="00474A33" w:rsidRPr="00C33FA0">
        <w:rPr>
          <w:rFonts w:cs="Times New Roman"/>
          <w:szCs w:val="24"/>
        </w:rPr>
        <w:t>pol</w:t>
      </w:r>
      <w:r w:rsidR="00671F74" w:rsidRPr="00C33FA0">
        <w:rPr>
          <w:rFonts w:cs="Times New Roman"/>
          <w:szCs w:val="24"/>
        </w:rPr>
        <w:t>i</w:t>
      </w:r>
      <w:r w:rsidR="00474A33" w:rsidRPr="00C33FA0">
        <w:rPr>
          <w:rFonts w:cs="Times New Roman"/>
          <w:szCs w:val="24"/>
        </w:rPr>
        <w:t>tikas gadījumā. Ja, piemēram, palielinātu kād</w:t>
      </w:r>
      <w:r w:rsidR="00281A8B" w:rsidRPr="00C33FA0">
        <w:rPr>
          <w:rFonts w:cs="Times New Roman"/>
          <w:szCs w:val="24"/>
        </w:rPr>
        <w:t>a</w:t>
      </w:r>
      <w:r w:rsidR="00474A33" w:rsidRPr="00C33FA0">
        <w:rPr>
          <w:rFonts w:cs="Times New Roman"/>
          <w:szCs w:val="24"/>
        </w:rPr>
        <w:t xml:space="preserve"> nodokļa likmi un tas vispārējās valdības budžet</w:t>
      </w:r>
      <w:r w:rsidR="00281A8B" w:rsidRPr="00C33FA0">
        <w:rPr>
          <w:rFonts w:cs="Times New Roman"/>
          <w:szCs w:val="24"/>
        </w:rPr>
        <w:t>ā</w:t>
      </w:r>
      <w:r w:rsidR="00474A33" w:rsidRPr="00C33FA0">
        <w:rPr>
          <w:rFonts w:cs="Times New Roman"/>
          <w:szCs w:val="24"/>
        </w:rPr>
        <w:t xml:space="preserve"> </w:t>
      </w:r>
      <w:r w:rsidR="00281A8B" w:rsidRPr="00C33FA0">
        <w:rPr>
          <w:rFonts w:cs="Times New Roman"/>
          <w:szCs w:val="24"/>
        </w:rPr>
        <w:t>veidotu</w:t>
      </w:r>
      <w:r w:rsidR="00FC3DA6">
        <w:rPr>
          <w:rFonts w:cs="Times New Roman"/>
          <w:szCs w:val="24"/>
        </w:rPr>
        <w:t xml:space="preserve"> x </w:t>
      </w:r>
      <w:proofErr w:type="spellStart"/>
      <w:r w:rsidR="00FC3DA6" w:rsidRPr="00FC3DA6">
        <w:rPr>
          <w:rFonts w:cs="Times New Roman"/>
          <w:i/>
          <w:iCs/>
          <w:szCs w:val="24"/>
        </w:rPr>
        <w:t>euro</w:t>
      </w:r>
      <w:proofErr w:type="spellEnd"/>
      <w:r w:rsidR="00474A33" w:rsidRPr="00C33FA0">
        <w:rPr>
          <w:rFonts w:cs="Times New Roman"/>
          <w:szCs w:val="24"/>
        </w:rPr>
        <w:t xml:space="preserve"> papildus finansējumu, tad attiecīgi par šādu pašu summu var p</w:t>
      </w:r>
      <w:r w:rsidR="00281A8B" w:rsidRPr="00C33FA0">
        <w:rPr>
          <w:rFonts w:cs="Times New Roman"/>
          <w:szCs w:val="24"/>
        </w:rPr>
        <w:t>a</w:t>
      </w:r>
      <w:r w:rsidR="00474A33" w:rsidRPr="00C33FA0">
        <w:rPr>
          <w:rFonts w:cs="Times New Roman"/>
          <w:szCs w:val="24"/>
        </w:rPr>
        <w:t xml:space="preserve">lielināt izdevumus, un otrādi – ja nodokļu izmaiņas samazina ieņēmumus, tad par </w:t>
      </w:r>
      <w:r w:rsidR="00281A8B" w:rsidRPr="00C33FA0">
        <w:rPr>
          <w:rFonts w:cs="Times New Roman"/>
          <w:szCs w:val="24"/>
        </w:rPr>
        <w:t>identisku</w:t>
      </w:r>
      <w:r w:rsidR="00474A33" w:rsidRPr="00C33FA0">
        <w:rPr>
          <w:rFonts w:cs="Times New Roman"/>
          <w:szCs w:val="24"/>
        </w:rPr>
        <w:t xml:space="preserve"> apjomu ir jāsamazina izdevumi.</w:t>
      </w:r>
      <w:r w:rsidR="00671F74" w:rsidRPr="00C33FA0">
        <w:rPr>
          <w:rFonts w:cs="Times New Roman"/>
          <w:szCs w:val="24"/>
        </w:rPr>
        <w:t xml:space="preserve"> Šādas ieņēmumu politikas izmaiņas sauc par </w:t>
      </w:r>
      <w:proofErr w:type="spellStart"/>
      <w:r w:rsidR="00671F74" w:rsidRPr="00C33FA0">
        <w:rPr>
          <w:rFonts w:cs="Times New Roman"/>
          <w:szCs w:val="24"/>
        </w:rPr>
        <w:t>diskrecionāriem</w:t>
      </w:r>
      <w:proofErr w:type="spellEnd"/>
      <w:r w:rsidR="00671F74" w:rsidRPr="00C33FA0">
        <w:rPr>
          <w:rFonts w:cs="Times New Roman"/>
          <w:szCs w:val="24"/>
        </w:rPr>
        <w:t xml:space="preserve"> ieņēmumu pasākumiem.</w:t>
      </w:r>
      <w:r w:rsidR="00474A33" w:rsidRPr="00C33FA0">
        <w:rPr>
          <w:rFonts w:cs="Times New Roman"/>
          <w:szCs w:val="24"/>
        </w:rPr>
        <w:t xml:space="preserve"> Ņemot vērā, ka katrā budžeta sagatavošanas ciklā </w:t>
      </w:r>
      <w:r w:rsidR="00671F74" w:rsidRPr="00C33FA0">
        <w:rPr>
          <w:rFonts w:cs="Times New Roman"/>
          <w:szCs w:val="24"/>
        </w:rPr>
        <w:t>tiek veiktas lielākas vai mazākas ieņēmumu politikas izmaiņas, faktiskais maksimāli pieļaujamais</w:t>
      </w:r>
      <w:r w:rsidR="0034054B" w:rsidRPr="00C33FA0">
        <w:rPr>
          <w:rFonts w:cs="Times New Roman"/>
          <w:szCs w:val="24"/>
        </w:rPr>
        <w:t xml:space="preserve"> </w:t>
      </w:r>
      <w:r w:rsidR="00671F74" w:rsidRPr="00C33FA0">
        <w:rPr>
          <w:rFonts w:cs="Times New Roman"/>
          <w:szCs w:val="24"/>
        </w:rPr>
        <w:t xml:space="preserve">NNFPI nekad nesakritīs ar fiskālo trajektoriju. Atšķirība būs par attiecīgā gada </w:t>
      </w:r>
      <w:proofErr w:type="spellStart"/>
      <w:r w:rsidR="00671F74" w:rsidRPr="00C33FA0">
        <w:rPr>
          <w:rFonts w:cs="Times New Roman"/>
          <w:szCs w:val="24"/>
        </w:rPr>
        <w:t>diskrecionāro</w:t>
      </w:r>
      <w:proofErr w:type="spellEnd"/>
      <w:r w:rsidR="00671F74" w:rsidRPr="00C33FA0">
        <w:rPr>
          <w:rFonts w:cs="Times New Roman"/>
          <w:szCs w:val="24"/>
        </w:rPr>
        <w:t xml:space="preserve"> ieņēmumu pasākumu ietekmi. </w:t>
      </w:r>
    </w:p>
    <w:p w14:paraId="45304756" w14:textId="1C2A20BA" w:rsidR="00564D69" w:rsidRPr="00C33FA0" w:rsidRDefault="00671F74" w:rsidP="006357B3">
      <w:pPr>
        <w:spacing w:line="240" w:lineRule="auto"/>
        <w:rPr>
          <w:rFonts w:cs="Times New Roman"/>
          <w:b/>
          <w:bCs/>
          <w:smallCaps/>
          <w:szCs w:val="24"/>
        </w:rPr>
      </w:pPr>
      <w:r w:rsidRPr="00C33FA0">
        <w:rPr>
          <w:rFonts w:cs="Times New Roman"/>
          <w:szCs w:val="24"/>
        </w:rPr>
        <w:t xml:space="preserve">Saskaņā ar </w:t>
      </w:r>
      <w:r w:rsidR="00507A64" w:rsidRPr="00C33FA0">
        <w:rPr>
          <w:rFonts w:cs="Times New Roman"/>
          <w:szCs w:val="24"/>
        </w:rPr>
        <w:t>R</w:t>
      </w:r>
      <w:r w:rsidRPr="00C33FA0">
        <w:rPr>
          <w:rFonts w:cs="Times New Roman"/>
          <w:szCs w:val="24"/>
        </w:rPr>
        <w:t>egulu, izdevumu trajektorija tiek noteikta tā, lai ievērotu virkni dažādu nosacījumu. Latvijai, kura pieder valstu grupai ar parādu zem 60%</w:t>
      </w:r>
      <w:r w:rsidR="00507A64" w:rsidRPr="00C33FA0">
        <w:rPr>
          <w:rFonts w:cs="Times New Roman"/>
          <w:szCs w:val="24"/>
        </w:rPr>
        <w:t xml:space="preserve"> no IKP</w:t>
      </w:r>
      <w:r w:rsidRPr="00C33FA0">
        <w:rPr>
          <w:rFonts w:cs="Times New Roman"/>
          <w:szCs w:val="24"/>
        </w:rPr>
        <w:t xml:space="preserve"> un deficītu zem 3%</w:t>
      </w:r>
      <w:r w:rsidR="00507A64" w:rsidRPr="00C33FA0">
        <w:rPr>
          <w:rFonts w:cs="Times New Roman"/>
          <w:szCs w:val="24"/>
        </w:rPr>
        <w:t xml:space="preserve"> no IKP,</w:t>
      </w:r>
      <w:r w:rsidRPr="00C33FA0">
        <w:rPr>
          <w:rFonts w:cs="Times New Roman"/>
          <w:szCs w:val="24"/>
        </w:rPr>
        <w:t xml:space="preserve"> galvenais nosacījums ir nodrošināt, ka 2028. gadā strukturālā </w:t>
      </w:r>
      <w:r w:rsidR="00507A64" w:rsidRPr="00C33FA0">
        <w:rPr>
          <w:rFonts w:cs="Times New Roman"/>
          <w:szCs w:val="24"/>
        </w:rPr>
        <w:t xml:space="preserve">primārā </w:t>
      </w:r>
      <w:r w:rsidRPr="00C33FA0">
        <w:rPr>
          <w:rFonts w:cs="Times New Roman"/>
          <w:szCs w:val="24"/>
        </w:rPr>
        <w:t>bilance ir tādā apjomā, kas – turpmāk nemainīgas politikas gadījumā</w:t>
      </w:r>
      <w:r w:rsidR="00507A64" w:rsidRPr="00C33FA0">
        <w:rPr>
          <w:rFonts w:cs="Times New Roman"/>
          <w:szCs w:val="24"/>
        </w:rPr>
        <w:t xml:space="preserve"> –</w:t>
      </w:r>
      <w:r w:rsidRPr="00C33FA0">
        <w:rPr>
          <w:rFonts w:cs="Times New Roman"/>
          <w:szCs w:val="24"/>
        </w:rPr>
        <w:t xml:space="preserve"> nodrošina, ka nevienā no turpmākajiem gadiem sākot no 2029. gada un beidzot ar 2038. gadu </w:t>
      </w:r>
      <w:r w:rsidR="00507A64" w:rsidRPr="00C33FA0">
        <w:rPr>
          <w:rFonts w:cs="Times New Roman"/>
          <w:szCs w:val="24"/>
        </w:rPr>
        <w:t xml:space="preserve">deficīts </w:t>
      </w:r>
      <w:r w:rsidRPr="00C33FA0">
        <w:rPr>
          <w:rFonts w:cs="Times New Roman"/>
          <w:szCs w:val="24"/>
        </w:rPr>
        <w:t>nepārsniedz 3%</w:t>
      </w:r>
      <w:r w:rsidR="00507A64" w:rsidRPr="00C33FA0">
        <w:rPr>
          <w:rFonts w:cs="Times New Roman"/>
          <w:szCs w:val="24"/>
        </w:rPr>
        <w:t xml:space="preserve"> </w:t>
      </w:r>
      <w:r w:rsidRPr="00C33FA0">
        <w:rPr>
          <w:rFonts w:cs="Times New Roman"/>
          <w:szCs w:val="24"/>
        </w:rPr>
        <w:t>no IKP un parāds – 60% no IKP.</w:t>
      </w:r>
      <w:r w:rsidR="00564D69" w:rsidRPr="00C33FA0">
        <w:rPr>
          <w:rFonts w:cs="Times New Roman"/>
          <w:szCs w:val="24"/>
        </w:rPr>
        <w:t xml:space="preserve"> </w:t>
      </w:r>
    </w:p>
    <w:p w14:paraId="1D8703CD" w14:textId="3DB363E0" w:rsidR="00CB5BCE" w:rsidRPr="00C33FA0" w:rsidRDefault="00671F74" w:rsidP="006357B3">
      <w:pPr>
        <w:spacing w:line="240" w:lineRule="auto"/>
        <w:rPr>
          <w:rFonts w:cs="Times New Roman"/>
          <w:b/>
          <w:bCs/>
          <w:smallCaps/>
          <w:szCs w:val="24"/>
        </w:rPr>
      </w:pPr>
      <w:r w:rsidRPr="00C33FA0">
        <w:rPr>
          <w:rFonts w:cs="Times New Roman"/>
          <w:szCs w:val="24"/>
        </w:rPr>
        <w:t>Lai augstāk minēto nosacījumu ievērotu, nepieciešamas makroekonomiskās un fiskālās progn</w:t>
      </w:r>
      <w:r w:rsidR="00507A64" w:rsidRPr="00C33FA0">
        <w:rPr>
          <w:rFonts w:cs="Times New Roman"/>
          <w:szCs w:val="24"/>
        </w:rPr>
        <w:t>o</w:t>
      </w:r>
      <w:r w:rsidRPr="00C33FA0">
        <w:rPr>
          <w:rFonts w:cs="Times New Roman"/>
          <w:szCs w:val="24"/>
        </w:rPr>
        <w:t xml:space="preserve">zes līdz 2038. gadam. </w:t>
      </w:r>
      <w:r w:rsidR="002D295E" w:rsidRPr="00C33FA0">
        <w:rPr>
          <w:rFonts w:cs="Times New Roman"/>
          <w:szCs w:val="24"/>
        </w:rPr>
        <w:t>Ņemot vērā, ka makroekonomiskās un fiskālās prognozes ES un Latvijā tiek atjaunotas vismaz divas reizes gadā, fiskālā trajektorija ir atkarīga no izmantotajām prognozēm. Aprēķinot fiskālo trajektoriju šajā plāna, t. i. konkrētā laika momentā un to nofiksējot visam laika periodam līdz 2028. gadam, faktiski</w:t>
      </w:r>
      <w:r w:rsidR="0034054B" w:rsidRPr="00C33FA0">
        <w:rPr>
          <w:rFonts w:cs="Times New Roman"/>
          <w:szCs w:val="24"/>
        </w:rPr>
        <w:t xml:space="preserve"> </w:t>
      </w:r>
      <w:r w:rsidR="002D295E" w:rsidRPr="00C33FA0">
        <w:rPr>
          <w:rFonts w:cs="Times New Roman"/>
          <w:szCs w:val="24"/>
        </w:rPr>
        <w:t xml:space="preserve">izmantotās prognozes kļūst nosacītas – tās ir vairāk vai mazāk precīzs pieņēmums par to, kā attīstīsies fiskālie rādītāji nākotnē. </w:t>
      </w:r>
      <w:r w:rsidR="003C0831" w:rsidRPr="00C33FA0">
        <w:rPr>
          <w:rFonts w:cs="Times New Roman"/>
          <w:szCs w:val="24"/>
        </w:rPr>
        <w:t xml:space="preserve">Tā ir apņemšanās </w:t>
      </w:r>
      <w:r w:rsidR="00507A64" w:rsidRPr="00C33FA0">
        <w:rPr>
          <w:rFonts w:cs="Times New Roman"/>
          <w:szCs w:val="24"/>
        </w:rPr>
        <w:t xml:space="preserve">fiskālās disciplīnas ievērošanai </w:t>
      </w:r>
      <w:r w:rsidR="003C0831" w:rsidRPr="00C33FA0">
        <w:rPr>
          <w:rFonts w:cs="Times New Roman"/>
          <w:szCs w:val="24"/>
        </w:rPr>
        <w:t xml:space="preserve">par noteiktu ierobežojumu, kas </w:t>
      </w:r>
      <w:r w:rsidR="00507A64" w:rsidRPr="00C33FA0">
        <w:rPr>
          <w:rFonts w:cs="Times New Roman"/>
          <w:szCs w:val="24"/>
        </w:rPr>
        <w:t xml:space="preserve">balstīts </w:t>
      </w:r>
      <w:r w:rsidR="003C0831" w:rsidRPr="00C33FA0">
        <w:rPr>
          <w:rFonts w:cs="Times New Roman"/>
          <w:szCs w:val="24"/>
        </w:rPr>
        <w:t>nākotnes pieņēmum</w:t>
      </w:r>
      <w:r w:rsidR="00507A64" w:rsidRPr="00C33FA0">
        <w:rPr>
          <w:rFonts w:cs="Times New Roman"/>
          <w:szCs w:val="24"/>
        </w:rPr>
        <w:t>os</w:t>
      </w:r>
      <w:r w:rsidR="003C0831" w:rsidRPr="00C33FA0">
        <w:rPr>
          <w:rFonts w:cs="Times New Roman"/>
          <w:szCs w:val="24"/>
        </w:rPr>
        <w:t xml:space="preserve"> ar augstu nenoteiktības komponenti</w:t>
      </w:r>
      <w:r w:rsidR="004516B3" w:rsidRPr="00C33FA0">
        <w:rPr>
          <w:rFonts w:cs="Times New Roman"/>
          <w:szCs w:val="24"/>
        </w:rPr>
        <w:t>.</w:t>
      </w:r>
      <w:r w:rsidR="003C0831" w:rsidRPr="00C33FA0">
        <w:rPr>
          <w:rFonts w:cs="Times New Roman"/>
          <w:szCs w:val="24"/>
        </w:rPr>
        <w:t xml:space="preserve"> </w:t>
      </w:r>
      <w:r w:rsidR="002D295E" w:rsidRPr="00C33FA0">
        <w:rPr>
          <w:rFonts w:cs="Times New Roman"/>
          <w:szCs w:val="24"/>
        </w:rPr>
        <w:t xml:space="preserve">Saskaņā ar </w:t>
      </w:r>
      <w:r w:rsidR="001B17C5" w:rsidRPr="00C33FA0">
        <w:rPr>
          <w:rFonts w:cs="Times New Roman"/>
          <w:szCs w:val="24"/>
        </w:rPr>
        <w:t>Regulu</w:t>
      </w:r>
      <w:r w:rsidR="002D295E" w:rsidRPr="00C33FA0">
        <w:rPr>
          <w:rFonts w:cs="Times New Roman"/>
          <w:szCs w:val="24"/>
        </w:rPr>
        <w:t xml:space="preserve">, lai novērstu risku, ka valstis izmanto lielāku vai mazāku optimismu par nākotnes attīstību, trajektorijas noteikšanā tiek maksimāli izmantota EK vienotā metodoloģija un kopējie pieņēmumi. Kā pirmais tuvinājums trajektorijas aprēķinam tiek izmantotas EK </w:t>
      </w:r>
      <w:r w:rsidR="001B17C5" w:rsidRPr="00C33FA0">
        <w:rPr>
          <w:rFonts w:cs="Times New Roman"/>
          <w:szCs w:val="24"/>
        </w:rPr>
        <w:t xml:space="preserve">2024. gada </w:t>
      </w:r>
      <w:r w:rsidR="002D295E" w:rsidRPr="00C33FA0">
        <w:rPr>
          <w:rFonts w:cs="Times New Roman"/>
          <w:szCs w:val="24"/>
        </w:rPr>
        <w:t xml:space="preserve">pavasara prognozes. EK </w:t>
      </w:r>
      <w:r w:rsidR="001B17C5" w:rsidRPr="00C33FA0">
        <w:rPr>
          <w:rFonts w:cs="Times New Roman"/>
          <w:szCs w:val="24"/>
        </w:rPr>
        <w:t xml:space="preserve">sagatavotais </w:t>
      </w:r>
      <w:r w:rsidR="002D295E" w:rsidRPr="00C33FA0">
        <w:rPr>
          <w:rFonts w:cs="Times New Roman"/>
          <w:szCs w:val="24"/>
        </w:rPr>
        <w:t xml:space="preserve">trajektorijas aprēķins </w:t>
      </w:r>
      <w:r w:rsidR="00667518" w:rsidRPr="00C33FA0">
        <w:rPr>
          <w:rFonts w:cs="Times New Roman"/>
          <w:szCs w:val="24"/>
        </w:rPr>
        <w:t>tika nosūtīts ES dalībvalstīm 2024. gada jūnijā, Latvijai tas tika ietverts dokumentā</w:t>
      </w:r>
      <w:r w:rsidR="001B17C5" w:rsidRPr="00C33FA0">
        <w:rPr>
          <w:rFonts w:cs="Times New Roman"/>
          <w:szCs w:val="24"/>
        </w:rPr>
        <w:t xml:space="preserve"> </w:t>
      </w:r>
      <w:r w:rsidR="00667518" w:rsidRPr="00C33FA0">
        <w:rPr>
          <w:rFonts w:cs="Times New Roman"/>
          <w:szCs w:val="24"/>
        </w:rPr>
        <w:t xml:space="preserve">“tehniskā informācija” un tā pievienota šī plāna </w:t>
      </w:r>
      <w:r w:rsidR="001B17C5" w:rsidRPr="00C33FA0">
        <w:rPr>
          <w:rFonts w:cs="Times New Roman"/>
          <w:szCs w:val="24"/>
        </w:rPr>
        <w:t xml:space="preserve">1. </w:t>
      </w:r>
      <w:r w:rsidR="00667518" w:rsidRPr="00C33FA0">
        <w:rPr>
          <w:rFonts w:cs="Times New Roman"/>
          <w:szCs w:val="24"/>
        </w:rPr>
        <w:t>pielikumā. Jāatzīmē, ka valstīm ar parādu zem 60%</w:t>
      </w:r>
      <w:r w:rsidR="001B17C5" w:rsidRPr="00C33FA0">
        <w:rPr>
          <w:rFonts w:cs="Times New Roman"/>
          <w:szCs w:val="24"/>
        </w:rPr>
        <w:t xml:space="preserve"> no IKP</w:t>
      </w:r>
      <w:r w:rsidR="00667518" w:rsidRPr="00C33FA0">
        <w:rPr>
          <w:rFonts w:cs="Times New Roman"/>
          <w:szCs w:val="24"/>
        </w:rPr>
        <w:t xml:space="preserve"> un deficītu zem 3% </w:t>
      </w:r>
      <w:r w:rsidR="001B17C5" w:rsidRPr="00C33FA0">
        <w:rPr>
          <w:rFonts w:cs="Times New Roman"/>
          <w:szCs w:val="24"/>
        </w:rPr>
        <w:t xml:space="preserve">no IKP </w:t>
      </w:r>
      <w:r w:rsidR="00667518" w:rsidRPr="00C33FA0">
        <w:rPr>
          <w:rFonts w:cs="Times New Roman"/>
          <w:szCs w:val="24"/>
        </w:rPr>
        <w:t xml:space="preserve">EK nosūtīja informāciju par </w:t>
      </w:r>
      <w:r w:rsidR="001B17C5" w:rsidRPr="00C33FA0">
        <w:rPr>
          <w:rFonts w:cs="Times New Roman"/>
          <w:szCs w:val="24"/>
        </w:rPr>
        <w:t xml:space="preserve">2028. gadā </w:t>
      </w:r>
      <w:r w:rsidR="00667518" w:rsidRPr="00C33FA0">
        <w:rPr>
          <w:rFonts w:cs="Times New Roman"/>
          <w:szCs w:val="24"/>
        </w:rPr>
        <w:t xml:space="preserve">sasniedzamo strukturālo </w:t>
      </w:r>
      <w:r w:rsidR="001B17C5" w:rsidRPr="00C33FA0">
        <w:rPr>
          <w:rFonts w:cs="Times New Roman"/>
          <w:szCs w:val="24"/>
        </w:rPr>
        <w:t xml:space="preserve">primāro </w:t>
      </w:r>
      <w:r w:rsidR="00667518" w:rsidRPr="00C33FA0">
        <w:rPr>
          <w:rFonts w:cs="Times New Roman"/>
          <w:szCs w:val="24"/>
        </w:rPr>
        <w:t>bilanci, nevis – kā pārējām valstīm -</w:t>
      </w:r>
      <w:r w:rsidR="0034054B" w:rsidRPr="00C33FA0">
        <w:rPr>
          <w:rFonts w:cs="Times New Roman"/>
          <w:szCs w:val="24"/>
        </w:rPr>
        <w:t xml:space="preserve"> </w:t>
      </w:r>
      <w:r w:rsidR="00667518" w:rsidRPr="00C33FA0">
        <w:rPr>
          <w:rFonts w:cs="Times New Roman"/>
          <w:szCs w:val="24"/>
        </w:rPr>
        <w:t>indikatīvo fiskālo trajektoriju</w:t>
      </w:r>
      <w:r w:rsidR="001B17C5" w:rsidRPr="00C33FA0">
        <w:rPr>
          <w:rFonts w:cs="Times New Roman"/>
          <w:szCs w:val="24"/>
        </w:rPr>
        <w:t>, t.i. NNFPI pieauguma maksimālo līmeni</w:t>
      </w:r>
      <w:r w:rsidR="00667518" w:rsidRPr="00C33FA0">
        <w:rPr>
          <w:rFonts w:cs="Times New Roman"/>
          <w:szCs w:val="24"/>
        </w:rPr>
        <w:t>. Tomēr, papildus tehniskajai informācijai, EK visām valstīm nosūtīja arī aprēķinu failu, kas ļauj tehnisko informāciju</w:t>
      </w:r>
      <w:r w:rsidR="0034054B" w:rsidRPr="00C33FA0">
        <w:rPr>
          <w:rFonts w:cs="Times New Roman"/>
          <w:szCs w:val="24"/>
        </w:rPr>
        <w:t xml:space="preserve"> </w:t>
      </w:r>
      <w:r w:rsidR="00667518" w:rsidRPr="00C33FA0">
        <w:rPr>
          <w:rFonts w:cs="Times New Roman"/>
          <w:szCs w:val="24"/>
        </w:rPr>
        <w:t>pārrēķināt fiskālajā trajektorijā.</w:t>
      </w:r>
    </w:p>
    <w:p w14:paraId="29AF12C9" w14:textId="260B52EE" w:rsidR="00671F74" w:rsidRPr="00C33FA0" w:rsidRDefault="00667518" w:rsidP="006357B3">
      <w:pPr>
        <w:spacing w:line="240" w:lineRule="auto"/>
        <w:rPr>
          <w:rFonts w:cs="Times New Roman"/>
          <w:b/>
          <w:bCs/>
          <w:smallCaps/>
          <w:szCs w:val="24"/>
        </w:rPr>
      </w:pPr>
      <w:r w:rsidRPr="00C33FA0">
        <w:rPr>
          <w:rFonts w:cs="Times New Roman"/>
          <w:szCs w:val="24"/>
        </w:rPr>
        <w:lastRenderedPageBreak/>
        <w:t>Lai arī Latvijas fiskālo trajektoriju varētu noteikt pilnā apmērā izmantojot EK 2024. gada jūnijā atsūtīto informāciju,</w:t>
      </w:r>
      <w:r w:rsidR="002D295E" w:rsidRPr="00C33FA0">
        <w:rPr>
          <w:rFonts w:cs="Times New Roman"/>
          <w:szCs w:val="24"/>
        </w:rPr>
        <w:t xml:space="preserve"> </w:t>
      </w:r>
      <w:r w:rsidRPr="00C33FA0">
        <w:rPr>
          <w:rFonts w:cs="Times New Roman"/>
          <w:szCs w:val="24"/>
        </w:rPr>
        <w:t xml:space="preserve">tā rīkojoties rastos problēmas ar </w:t>
      </w:r>
      <w:r w:rsidR="001B17C5" w:rsidRPr="00C33FA0">
        <w:rPr>
          <w:rFonts w:cs="Times New Roman"/>
          <w:szCs w:val="24"/>
        </w:rPr>
        <w:t xml:space="preserve">Latvijas </w:t>
      </w:r>
      <w:r w:rsidRPr="00C33FA0">
        <w:rPr>
          <w:rFonts w:cs="Times New Roman"/>
          <w:szCs w:val="24"/>
        </w:rPr>
        <w:t xml:space="preserve">2024. gada prognozēm. Latvijas prognozes </w:t>
      </w:r>
      <w:r w:rsidR="001B17C5" w:rsidRPr="00C33FA0">
        <w:rPr>
          <w:rFonts w:cs="Times New Roman"/>
          <w:szCs w:val="24"/>
        </w:rPr>
        <w:t xml:space="preserve">2025. gada </w:t>
      </w:r>
      <w:r w:rsidRPr="00C33FA0">
        <w:rPr>
          <w:rFonts w:cs="Times New Roman"/>
          <w:szCs w:val="24"/>
        </w:rPr>
        <w:t>budžeta sagatavošanai un EK 2024. gada pavasara prognozes atšķiras</w:t>
      </w:r>
      <w:r w:rsidR="003C0831" w:rsidRPr="00C33FA0">
        <w:rPr>
          <w:rFonts w:cs="Times New Roman"/>
          <w:szCs w:val="24"/>
        </w:rPr>
        <w:t xml:space="preserve">, savukārt, 2025. gada NNFPI pieaugums ir atkarīgs ne tikai no 2025. gada nepieciešamā </w:t>
      </w:r>
      <w:r w:rsidR="004C6088" w:rsidRPr="00C33FA0">
        <w:rPr>
          <w:rFonts w:cs="Times New Roman"/>
          <w:szCs w:val="24"/>
        </w:rPr>
        <w:t xml:space="preserve">strukturālās primārās bilances </w:t>
      </w:r>
      <w:r w:rsidR="003C0831" w:rsidRPr="00C33FA0">
        <w:rPr>
          <w:rFonts w:cs="Times New Roman"/>
          <w:szCs w:val="24"/>
        </w:rPr>
        <w:t xml:space="preserve">līmeņa, bet arī no </w:t>
      </w:r>
      <w:r w:rsidR="004C6088" w:rsidRPr="00C33FA0">
        <w:rPr>
          <w:rFonts w:cs="Times New Roman"/>
          <w:szCs w:val="24"/>
        </w:rPr>
        <w:t xml:space="preserve">tā </w:t>
      </w:r>
      <w:r w:rsidR="003C0831" w:rsidRPr="00C33FA0">
        <w:rPr>
          <w:rFonts w:cs="Times New Roman"/>
          <w:szCs w:val="24"/>
        </w:rPr>
        <w:t>prognozētā līmeņa</w:t>
      </w:r>
      <w:r w:rsidR="004C6088" w:rsidRPr="00C33FA0">
        <w:rPr>
          <w:rFonts w:cs="Times New Roman"/>
          <w:szCs w:val="24"/>
        </w:rPr>
        <w:t xml:space="preserve"> 2024. gadā</w:t>
      </w:r>
      <w:r w:rsidR="003C0831" w:rsidRPr="00C33FA0">
        <w:rPr>
          <w:rFonts w:cs="Times New Roman"/>
          <w:szCs w:val="24"/>
        </w:rPr>
        <w:t xml:space="preserve">, kas Latvijas prognozēs ir zemāks kā EK prognozēs. Lai atrisinātu šo problēmu, fiskālās trajektorijas noteikšanā tiek izmantota integrēta prognožu sistēma, kur 2024. gadam tiek izmantotas Latvijas makroekonomiskās </w:t>
      </w:r>
      <w:r w:rsidR="004C6088" w:rsidRPr="00C33FA0">
        <w:rPr>
          <w:rFonts w:cs="Times New Roman"/>
          <w:szCs w:val="24"/>
        </w:rPr>
        <w:t>un fiskālās</w:t>
      </w:r>
      <w:r w:rsidR="0034054B" w:rsidRPr="00C33FA0">
        <w:rPr>
          <w:rFonts w:cs="Times New Roman"/>
          <w:szCs w:val="24"/>
        </w:rPr>
        <w:t xml:space="preserve"> </w:t>
      </w:r>
      <w:r w:rsidR="003C0831" w:rsidRPr="00C33FA0">
        <w:rPr>
          <w:rFonts w:cs="Times New Roman"/>
          <w:szCs w:val="24"/>
        </w:rPr>
        <w:t>prognozes, bet sākot ar 2025. gadu tiek izmantotas EK 2024. gada pavasara prognozes un EK kopējie pieņēmumi un metodoloģija. Jāatzīst, ka šāds “hibrīda”</w:t>
      </w:r>
      <w:r w:rsidR="0034054B" w:rsidRPr="00C33FA0">
        <w:rPr>
          <w:rFonts w:cs="Times New Roman"/>
          <w:szCs w:val="24"/>
        </w:rPr>
        <w:t xml:space="preserve"> </w:t>
      </w:r>
      <w:r w:rsidR="003C0831" w:rsidRPr="00C33FA0">
        <w:rPr>
          <w:rFonts w:cs="Times New Roman"/>
          <w:szCs w:val="24"/>
        </w:rPr>
        <w:t>modelis nav optimāls, tomēr, ņemot vērā, ka fiskālā trajektorija ir zināmā mērā nosacīta vienošanās par fiskālas disciplīnas nosacījumu</w:t>
      </w:r>
      <w:r w:rsidR="004C6088" w:rsidRPr="00C33FA0">
        <w:rPr>
          <w:rFonts w:cs="Times New Roman"/>
          <w:szCs w:val="24"/>
        </w:rPr>
        <w:t xml:space="preserve"> ievērošanu</w:t>
      </w:r>
      <w:r w:rsidR="003C0831" w:rsidRPr="00C33FA0">
        <w:rPr>
          <w:rFonts w:cs="Times New Roman"/>
          <w:szCs w:val="24"/>
        </w:rPr>
        <w:t>, izvēlētā pieeja ir attaisnojama.</w:t>
      </w:r>
    </w:p>
    <w:p w14:paraId="29412D9B" w14:textId="77777777" w:rsidR="00564D69" w:rsidRPr="00FC3DA6" w:rsidRDefault="00564D69" w:rsidP="006357B3">
      <w:pPr>
        <w:spacing w:after="0" w:line="240" w:lineRule="auto"/>
        <w:rPr>
          <w:b/>
          <w:bCs/>
          <w:smallCaps/>
          <w:sz w:val="28"/>
        </w:rPr>
      </w:pPr>
    </w:p>
    <w:p w14:paraId="668BB734" w14:textId="54A4419D" w:rsidR="00566221" w:rsidRDefault="004516B3" w:rsidP="0017025D">
      <w:pPr>
        <w:spacing w:line="240" w:lineRule="auto"/>
        <w:ind w:firstLine="0"/>
        <w:jc w:val="center"/>
        <w:rPr>
          <w:b/>
          <w:bCs/>
          <w:szCs w:val="24"/>
          <w:u w:val="single"/>
        </w:rPr>
      </w:pPr>
      <w:r w:rsidRPr="00566221">
        <w:rPr>
          <w:b/>
          <w:bCs/>
          <w:szCs w:val="24"/>
          <w:u w:val="single"/>
        </w:rPr>
        <w:t>Uzņemtās saistības attiecībā uz fiskālo trajektoriju</w:t>
      </w:r>
    </w:p>
    <w:p w14:paraId="17962C29" w14:textId="77777777" w:rsidR="0017025D" w:rsidRPr="0017025D" w:rsidRDefault="0017025D" w:rsidP="0017025D">
      <w:pPr>
        <w:spacing w:after="0" w:line="240" w:lineRule="auto"/>
        <w:ind w:firstLine="0"/>
        <w:jc w:val="center"/>
        <w:rPr>
          <w:b/>
          <w:bCs/>
          <w:szCs w:val="24"/>
          <w:u w:val="single"/>
        </w:rPr>
      </w:pPr>
    </w:p>
    <w:p w14:paraId="6CC24CED" w14:textId="77777777" w:rsidR="004516B3" w:rsidRPr="002869EC" w:rsidRDefault="004516B3" w:rsidP="006357B3">
      <w:pPr>
        <w:spacing w:line="240" w:lineRule="auto"/>
        <w:ind w:left="2160"/>
        <w:jc w:val="right"/>
        <w:rPr>
          <w:rFonts w:cs="Times New Roman"/>
          <w:b/>
          <w:bCs/>
          <w:szCs w:val="20"/>
          <w:lang w:eastAsia="lv-LV"/>
        </w:rPr>
      </w:pPr>
      <w:r w:rsidRPr="002869EC">
        <w:rPr>
          <w:rFonts w:cs="Times New Roman"/>
          <w:b/>
          <w:bCs/>
          <w:szCs w:val="20"/>
          <w:lang w:eastAsia="lv-LV"/>
        </w:rPr>
        <w:t>1.a tabula. Fiskālās saistības</w:t>
      </w:r>
    </w:p>
    <w:tbl>
      <w:tblPr>
        <w:tblW w:w="8563" w:type="dxa"/>
        <w:jc w:val="center"/>
        <w:tblLayout w:type="fixed"/>
        <w:tblLook w:val="04A0" w:firstRow="1" w:lastRow="0" w:firstColumn="1" w:lastColumn="0" w:noHBand="0" w:noVBand="1"/>
      </w:tblPr>
      <w:tblGrid>
        <w:gridCol w:w="454"/>
        <w:gridCol w:w="2098"/>
        <w:gridCol w:w="1361"/>
        <w:gridCol w:w="680"/>
        <w:gridCol w:w="794"/>
        <w:gridCol w:w="794"/>
        <w:gridCol w:w="794"/>
        <w:gridCol w:w="794"/>
        <w:gridCol w:w="794"/>
      </w:tblGrid>
      <w:tr w:rsidR="00244DA0" w:rsidRPr="002869EC" w14:paraId="642D0840" w14:textId="77777777" w:rsidTr="0056349F">
        <w:trPr>
          <w:trHeight w:val="300"/>
          <w:jc w:val="center"/>
        </w:trPr>
        <w:tc>
          <w:tcPr>
            <w:tcW w:w="454" w:type="dxa"/>
            <w:tcBorders>
              <w:top w:val="nil"/>
              <w:left w:val="nil"/>
              <w:bottom w:val="nil"/>
              <w:right w:val="nil"/>
            </w:tcBorders>
            <w:shd w:val="clear" w:color="000000" w:fill="95B3D7"/>
            <w:noWrap/>
            <w:vAlign w:val="center"/>
            <w:hideMark/>
          </w:tcPr>
          <w:p w14:paraId="750E11B0" w14:textId="77777777" w:rsidR="004516B3" w:rsidRPr="002869EC" w:rsidRDefault="004516B3" w:rsidP="006357B3">
            <w:pPr>
              <w:spacing w:line="240" w:lineRule="auto"/>
              <w:ind w:firstLine="0"/>
              <w:jc w:val="left"/>
              <w:rPr>
                <w:rFonts w:eastAsia="Times New Roman" w:cs="Times New Roman"/>
                <w:color w:val="000000"/>
                <w:sz w:val="22"/>
                <w:lang w:eastAsia="lv-LV"/>
              </w:rPr>
            </w:pPr>
            <w:r w:rsidRPr="002869EC">
              <w:rPr>
                <w:rFonts w:eastAsia="Times New Roman" w:cs="Times New Roman"/>
                <w:color w:val="000000"/>
                <w:sz w:val="22"/>
                <w:lang w:eastAsia="lv-LV"/>
              </w:rPr>
              <w:t> </w:t>
            </w:r>
          </w:p>
        </w:tc>
        <w:tc>
          <w:tcPr>
            <w:tcW w:w="2098" w:type="dxa"/>
            <w:tcBorders>
              <w:top w:val="nil"/>
              <w:left w:val="nil"/>
              <w:bottom w:val="nil"/>
              <w:right w:val="nil"/>
            </w:tcBorders>
            <w:shd w:val="clear" w:color="000000" w:fill="95B3D7"/>
            <w:noWrap/>
            <w:vAlign w:val="center"/>
            <w:hideMark/>
          </w:tcPr>
          <w:p w14:paraId="37C974DD" w14:textId="77777777" w:rsidR="004516B3" w:rsidRPr="006C176C" w:rsidRDefault="004516B3" w:rsidP="006357B3">
            <w:pPr>
              <w:spacing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1361" w:type="dxa"/>
            <w:tcBorders>
              <w:top w:val="nil"/>
              <w:left w:val="nil"/>
              <w:bottom w:val="nil"/>
              <w:right w:val="nil"/>
            </w:tcBorders>
            <w:shd w:val="clear" w:color="000000" w:fill="95B3D7"/>
            <w:noWrap/>
            <w:vAlign w:val="center"/>
            <w:hideMark/>
          </w:tcPr>
          <w:p w14:paraId="469519BA" w14:textId="77777777" w:rsidR="004516B3" w:rsidRPr="006C176C" w:rsidRDefault="004516B3" w:rsidP="006357B3">
            <w:pPr>
              <w:spacing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680" w:type="dxa"/>
            <w:tcBorders>
              <w:top w:val="nil"/>
              <w:left w:val="nil"/>
              <w:bottom w:val="nil"/>
              <w:right w:val="nil"/>
            </w:tcBorders>
            <w:shd w:val="clear" w:color="000000" w:fill="95B3D7"/>
            <w:noWrap/>
            <w:vAlign w:val="center"/>
            <w:hideMark/>
          </w:tcPr>
          <w:p w14:paraId="6108CD6F" w14:textId="77777777" w:rsidR="004516B3" w:rsidRPr="006C176C" w:rsidRDefault="004516B3"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2023</w:t>
            </w:r>
          </w:p>
        </w:tc>
        <w:tc>
          <w:tcPr>
            <w:tcW w:w="794" w:type="dxa"/>
            <w:tcBorders>
              <w:top w:val="nil"/>
              <w:left w:val="nil"/>
              <w:bottom w:val="nil"/>
              <w:right w:val="nil"/>
            </w:tcBorders>
            <w:shd w:val="clear" w:color="000000" w:fill="95B3D7"/>
            <w:noWrap/>
            <w:vAlign w:val="center"/>
            <w:hideMark/>
          </w:tcPr>
          <w:p w14:paraId="29BE0580" w14:textId="77777777" w:rsidR="004516B3" w:rsidRPr="006C176C" w:rsidRDefault="004516B3"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2024</w:t>
            </w:r>
          </w:p>
        </w:tc>
        <w:tc>
          <w:tcPr>
            <w:tcW w:w="794" w:type="dxa"/>
            <w:tcBorders>
              <w:top w:val="nil"/>
              <w:left w:val="nil"/>
              <w:bottom w:val="nil"/>
              <w:right w:val="nil"/>
            </w:tcBorders>
            <w:shd w:val="clear" w:color="000000" w:fill="95B3D7"/>
            <w:noWrap/>
            <w:vAlign w:val="center"/>
            <w:hideMark/>
          </w:tcPr>
          <w:p w14:paraId="79E5C1BC" w14:textId="77777777" w:rsidR="004516B3" w:rsidRPr="006C176C" w:rsidRDefault="004516B3"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2025</w:t>
            </w:r>
          </w:p>
        </w:tc>
        <w:tc>
          <w:tcPr>
            <w:tcW w:w="794" w:type="dxa"/>
            <w:tcBorders>
              <w:top w:val="nil"/>
              <w:left w:val="nil"/>
              <w:bottom w:val="nil"/>
              <w:right w:val="nil"/>
            </w:tcBorders>
            <w:shd w:val="clear" w:color="000000" w:fill="95B3D7"/>
            <w:noWrap/>
            <w:vAlign w:val="center"/>
            <w:hideMark/>
          </w:tcPr>
          <w:p w14:paraId="7E463903" w14:textId="77777777" w:rsidR="004516B3" w:rsidRPr="006C176C" w:rsidRDefault="004516B3"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2026</w:t>
            </w:r>
          </w:p>
        </w:tc>
        <w:tc>
          <w:tcPr>
            <w:tcW w:w="794" w:type="dxa"/>
            <w:tcBorders>
              <w:top w:val="nil"/>
              <w:left w:val="nil"/>
              <w:bottom w:val="nil"/>
              <w:right w:val="nil"/>
            </w:tcBorders>
            <w:shd w:val="clear" w:color="000000" w:fill="95B3D7"/>
            <w:noWrap/>
            <w:vAlign w:val="center"/>
            <w:hideMark/>
          </w:tcPr>
          <w:p w14:paraId="670621B2" w14:textId="77777777" w:rsidR="004516B3" w:rsidRPr="006C176C" w:rsidRDefault="004516B3"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2027</w:t>
            </w:r>
          </w:p>
        </w:tc>
        <w:tc>
          <w:tcPr>
            <w:tcW w:w="794" w:type="dxa"/>
            <w:tcBorders>
              <w:top w:val="nil"/>
              <w:left w:val="nil"/>
              <w:bottom w:val="nil"/>
              <w:right w:val="nil"/>
            </w:tcBorders>
            <w:shd w:val="clear" w:color="000000" w:fill="95B3D7"/>
            <w:noWrap/>
            <w:vAlign w:val="center"/>
            <w:hideMark/>
          </w:tcPr>
          <w:p w14:paraId="7147A25F" w14:textId="77777777" w:rsidR="004516B3" w:rsidRPr="006C176C" w:rsidRDefault="004516B3"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2028</w:t>
            </w:r>
          </w:p>
        </w:tc>
      </w:tr>
      <w:tr w:rsidR="00244DA0" w:rsidRPr="002869EC" w14:paraId="2A887AD0" w14:textId="77777777" w:rsidTr="0056349F">
        <w:trPr>
          <w:trHeight w:val="600"/>
          <w:jc w:val="center"/>
        </w:trPr>
        <w:tc>
          <w:tcPr>
            <w:tcW w:w="454" w:type="dxa"/>
            <w:tcBorders>
              <w:top w:val="nil"/>
              <w:left w:val="nil"/>
              <w:bottom w:val="nil"/>
              <w:right w:val="nil"/>
            </w:tcBorders>
            <w:shd w:val="clear" w:color="000000" w:fill="95B3D7"/>
            <w:noWrap/>
            <w:vAlign w:val="center"/>
            <w:hideMark/>
          </w:tcPr>
          <w:p w14:paraId="2EA27543" w14:textId="77777777" w:rsidR="00244DA0" w:rsidRPr="002869EC" w:rsidRDefault="00244DA0" w:rsidP="006357B3">
            <w:pPr>
              <w:spacing w:line="240" w:lineRule="auto"/>
              <w:ind w:firstLine="0"/>
              <w:jc w:val="right"/>
              <w:rPr>
                <w:rFonts w:eastAsia="Times New Roman" w:cs="Times New Roman"/>
                <w:color w:val="000000"/>
                <w:sz w:val="22"/>
                <w:lang w:eastAsia="lv-LV"/>
              </w:rPr>
            </w:pPr>
            <w:r w:rsidRPr="002869EC">
              <w:rPr>
                <w:rFonts w:eastAsia="Times New Roman" w:cs="Times New Roman"/>
                <w:color w:val="000000"/>
                <w:sz w:val="22"/>
                <w:lang w:eastAsia="lv-LV"/>
              </w:rPr>
              <w:t>1</w:t>
            </w:r>
          </w:p>
        </w:tc>
        <w:tc>
          <w:tcPr>
            <w:tcW w:w="2098" w:type="dxa"/>
            <w:tcBorders>
              <w:top w:val="nil"/>
              <w:left w:val="nil"/>
              <w:bottom w:val="nil"/>
              <w:right w:val="nil"/>
            </w:tcBorders>
            <w:shd w:val="clear" w:color="000000" w:fill="DCE6F1"/>
            <w:vAlign w:val="center"/>
            <w:hideMark/>
          </w:tcPr>
          <w:p w14:paraId="29796867" w14:textId="77777777" w:rsidR="00244DA0" w:rsidRPr="006C176C" w:rsidRDefault="00244DA0" w:rsidP="00087737">
            <w:pPr>
              <w:spacing w:after="0" w:line="240" w:lineRule="auto"/>
              <w:ind w:firstLine="0"/>
              <w:jc w:val="left"/>
              <w:rPr>
                <w:rFonts w:eastAsia="Times New Roman" w:cs="Times New Roman"/>
                <w:b/>
                <w:bCs/>
                <w:sz w:val="20"/>
                <w:szCs w:val="20"/>
                <w:lang w:eastAsia="lv-LV"/>
              </w:rPr>
            </w:pPr>
            <w:r w:rsidRPr="006C176C">
              <w:rPr>
                <w:rFonts w:eastAsia="Times New Roman" w:cs="Times New Roman"/>
                <w:b/>
                <w:bCs/>
                <w:sz w:val="20"/>
                <w:szCs w:val="20"/>
                <w:lang w:eastAsia="lv-LV"/>
              </w:rPr>
              <w:t>Valsts finansētie neto primārie izdevumi</w:t>
            </w:r>
          </w:p>
        </w:tc>
        <w:tc>
          <w:tcPr>
            <w:tcW w:w="1361" w:type="dxa"/>
            <w:tcBorders>
              <w:top w:val="nil"/>
              <w:left w:val="nil"/>
              <w:bottom w:val="nil"/>
              <w:right w:val="nil"/>
            </w:tcBorders>
            <w:shd w:val="clear" w:color="000000" w:fill="DCE6F1"/>
            <w:vAlign w:val="center"/>
            <w:hideMark/>
          </w:tcPr>
          <w:p w14:paraId="31A701D3" w14:textId="77777777" w:rsidR="00244DA0" w:rsidRPr="006C176C" w:rsidRDefault="00244DA0" w:rsidP="00087737">
            <w:pPr>
              <w:spacing w:after="0" w:line="240" w:lineRule="auto"/>
              <w:ind w:firstLine="0"/>
              <w:jc w:val="center"/>
              <w:rPr>
                <w:rFonts w:eastAsia="Times New Roman" w:cs="Times New Roman"/>
                <w:color w:val="000000"/>
                <w:sz w:val="20"/>
                <w:szCs w:val="20"/>
                <w:lang w:eastAsia="lv-LV"/>
              </w:rPr>
            </w:pPr>
            <w:r w:rsidRPr="006C176C">
              <w:rPr>
                <w:rFonts w:cs="Times New Roman"/>
                <w:sz w:val="20"/>
                <w:szCs w:val="20"/>
              </w:rPr>
              <w:t>pieauguma temps</w:t>
            </w:r>
          </w:p>
        </w:tc>
        <w:tc>
          <w:tcPr>
            <w:tcW w:w="680" w:type="dxa"/>
            <w:tcBorders>
              <w:top w:val="nil"/>
              <w:left w:val="nil"/>
              <w:bottom w:val="nil"/>
              <w:right w:val="nil"/>
            </w:tcBorders>
            <w:shd w:val="clear" w:color="000000" w:fill="F2F2F2"/>
            <w:noWrap/>
            <w:vAlign w:val="center"/>
            <w:hideMark/>
          </w:tcPr>
          <w:p w14:paraId="6EFDBD49" w14:textId="77777777" w:rsidR="00244DA0" w:rsidRPr="006C176C" w:rsidRDefault="00244DA0" w:rsidP="00087737">
            <w:pPr>
              <w:spacing w:after="0"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794" w:type="dxa"/>
            <w:tcBorders>
              <w:top w:val="nil"/>
              <w:left w:val="nil"/>
              <w:bottom w:val="nil"/>
              <w:right w:val="nil"/>
            </w:tcBorders>
            <w:shd w:val="clear" w:color="auto" w:fill="auto"/>
            <w:noWrap/>
            <w:vAlign w:val="center"/>
            <w:hideMark/>
          </w:tcPr>
          <w:p w14:paraId="17539E38" w14:textId="6B93F344"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9,1</w:t>
            </w:r>
          </w:p>
        </w:tc>
        <w:tc>
          <w:tcPr>
            <w:tcW w:w="794" w:type="dxa"/>
            <w:tcBorders>
              <w:top w:val="nil"/>
              <w:left w:val="nil"/>
              <w:bottom w:val="nil"/>
              <w:right w:val="nil"/>
            </w:tcBorders>
            <w:shd w:val="clear" w:color="auto" w:fill="auto"/>
            <w:noWrap/>
            <w:vAlign w:val="center"/>
            <w:hideMark/>
          </w:tcPr>
          <w:p w14:paraId="7DE99831" w14:textId="7D493533"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5,9</w:t>
            </w:r>
          </w:p>
        </w:tc>
        <w:tc>
          <w:tcPr>
            <w:tcW w:w="794" w:type="dxa"/>
            <w:tcBorders>
              <w:top w:val="nil"/>
              <w:left w:val="nil"/>
              <w:bottom w:val="nil"/>
              <w:right w:val="nil"/>
            </w:tcBorders>
            <w:shd w:val="clear" w:color="auto" w:fill="auto"/>
            <w:noWrap/>
            <w:vAlign w:val="center"/>
            <w:hideMark/>
          </w:tcPr>
          <w:p w14:paraId="05808571" w14:textId="6D2B0EE5"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3,6</w:t>
            </w:r>
          </w:p>
        </w:tc>
        <w:tc>
          <w:tcPr>
            <w:tcW w:w="794" w:type="dxa"/>
            <w:tcBorders>
              <w:top w:val="nil"/>
              <w:left w:val="nil"/>
              <w:bottom w:val="nil"/>
              <w:right w:val="nil"/>
            </w:tcBorders>
            <w:shd w:val="clear" w:color="auto" w:fill="auto"/>
            <w:noWrap/>
            <w:vAlign w:val="center"/>
            <w:hideMark/>
          </w:tcPr>
          <w:p w14:paraId="2E8BFA6C" w14:textId="79D4AEEF"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3,4</w:t>
            </w:r>
          </w:p>
        </w:tc>
        <w:tc>
          <w:tcPr>
            <w:tcW w:w="794" w:type="dxa"/>
            <w:tcBorders>
              <w:top w:val="nil"/>
              <w:left w:val="nil"/>
              <w:bottom w:val="nil"/>
              <w:right w:val="nil"/>
            </w:tcBorders>
            <w:shd w:val="clear" w:color="auto" w:fill="auto"/>
            <w:noWrap/>
            <w:vAlign w:val="center"/>
            <w:hideMark/>
          </w:tcPr>
          <w:p w14:paraId="4B12C7D1" w14:textId="4C15882D"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3,3</w:t>
            </w:r>
          </w:p>
        </w:tc>
      </w:tr>
      <w:tr w:rsidR="00244DA0" w:rsidRPr="002869EC" w14:paraId="3C8CD38F" w14:textId="77777777" w:rsidTr="0056349F">
        <w:trPr>
          <w:trHeight w:val="300"/>
          <w:jc w:val="center"/>
        </w:trPr>
        <w:tc>
          <w:tcPr>
            <w:tcW w:w="454" w:type="dxa"/>
            <w:tcBorders>
              <w:top w:val="nil"/>
              <w:left w:val="nil"/>
              <w:bottom w:val="nil"/>
              <w:right w:val="nil"/>
            </w:tcBorders>
            <w:shd w:val="clear" w:color="000000" w:fill="95B3D7"/>
            <w:noWrap/>
            <w:vAlign w:val="center"/>
            <w:hideMark/>
          </w:tcPr>
          <w:p w14:paraId="50DC47E4" w14:textId="77777777" w:rsidR="00244DA0" w:rsidRPr="002869EC" w:rsidRDefault="00244DA0" w:rsidP="006357B3">
            <w:pPr>
              <w:spacing w:line="240" w:lineRule="auto"/>
              <w:ind w:firstLine="0"/>
              <w:jc w:val="right"/>
              <w:rPr>
                <w:rFonts w:eastAsia="Times New Roman" w:cs="Times New Roman"/>
                <w:color w:val="000000"/>
                <w:sz w:val="22"/>
                <w:lang w:eastAsia="lv-LV"/>
              </w:rPr>
            </w:pPr>
            <w:r w:rsidRPr="002869EC">
              <w:rPr>
                <w:rFonts w:eastAsia="Times New Roman" w:cs="Times New Roman"/>
                <w:color w:val="000000"/>
                <w:sz w:val="22"/>
                <w:lang w:eastAsia="lv-LV"/>
              </w:rPr>
              <w:t>2</w:t>
            </w:r>
          </w:p>
        </w:tc>
        <w:tc>
          <w:tcPr>
            <w:tcW w:w="2098" w:type="dxa"/>
            <w:tcBorders>
              <w:top w:val="nil"/>
              <w:left w:val="nil"/>
              <w:bottom w:val="nil"/>
              <w:right w:val="nil"/>
            </w:tcBorders>
            <w:shd w:val="clear" w:color="000000" w:fill="DCE6F1"/>
            <w:vAlign w:val="center"/>
            <w:hideMark/>
          </w:tcPr>
          <w:p w14:paraId="2DBED6DD" w14:textId="77777777" w:rsidR="00244DA0" w:rsidRPr="006C176C" w:rsidRDefault="00244DA0" w:rsidP="00087737">
            <w:pPr>
              <w:spacing w:after="0" w:line="240" w:lineRule="auto"/>
              <w:ind w:firstLine="0"/>
              <w:jc w:val="left"/>
              <w:rPr>
                <w:rFonts w:eastAsia="Times New Roman" w:cs="Times New Roman"/>
                <w:b/>
                <w:bCs/>
                <w:sz w:val="20"/>
                <w:szCs w:val="20"/>
                <w:lang w:eastAsia="lv-LV"/>
              </w:rPr>
            </w:pPr>
            <w:r w:rsidRPr="006C176C">
              <w:rPr>
                <w:rFonts w:eastAsia="Times New Roman" w:cs="Times New Roman"/>
                <w:b/>
                <w:bCs/>
                <w:sz w:val="20"/>
                <w:szCs w:val="20"/>
                <w:lang w:eastAsia="lv-LV"/>
              </w:rPr>
              <w:t> </w:t>
            </w:r>
          </w:p>
        </w:tc>
        <w:tc>
          <w:tcPr>
            <w:tcW w:w="1361" w:type="dxa"/>
            <w:tcBorders>
              <w:top w:val="nil"/>
              <w:left w:val="nil"/>
              <w:bottom w:val="nil"/>
              <w:right w:val="nil"/>
            </w:tcBorders>
            <w:shd w:val="clear" w:color="000000" w:fill="DCE6F1"/>
            <w:vAlign w:val="center"/>
            <w:hideMark/>
          </w:tcPr>
          <w:p w14:paraId="0D459862" w14:textId="15AF6308" w:rsidR="00244DA0" w:rsidRPr="006C176C" w:rsidRDefault="00244DA0" w:rsidP="00087737">
            <w:pPr>
              <w:spacing w:after="0" w:line="240" w:lineRule="auto"/>
              <w:ind w:firstLine="0"/>
              <w:jc w:val="center"/>
              <w:rPr>
                <w:rFonts w:eastAsia="Times New Roman" w:cs="Times New Roman"/>
                <w:color w:val="000000"/>
                <w:sz w:val="20"/>
                <w:szCs w:val="20"/>
                <w:lang w:eastAsia="lv-LV"/>
              </w:rPr>
            </w:pPr>
            <w:r w:rsidRPr="006C176C">
              <w:rPr>
                <w:rFonts w:cs="Times New Roman"/>
                <w:sz w:val="20"/>
                <w:szCs w:val="20"/>
              </w:rPr>
              <w:t>kumulatīvais pieauguma temps</w:t>
            </w:r>
          </w:p>
        </w:tc>
        <w:tc>
          <w:tcPr>
            <w:tcW w:w="680" w:type="dxa"/>
            <w:tcBorders>
              <w:top w:val="nil"/>
              <w:left w:val="nil"/>
              <w:bottom w:val="nil"/>
              <w:right w:val="nil"/>
            </w:tcBorders>
            <w:shd w:val="clear" w:color="000000" w:fill="F2F2F2"/>
            <w:noWrap/>
            <w:vAlign w:val="center"/>
            <w:hideMark/>
          </w:tcPr>
          <w:p w14:paraId="41F38EA4" w14:textId="77777777" w:rsidR="00244DA0" w:rsidRPr="006C176C" w:rsidRDefault="00244DA0" w:rsidP="00087737">
            <w:pPr>
              <w:spacing w:after="0"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794" w:type="dxa"/>
            <w:tcBorders>
              <w:top w:val="nil"/>
              <w:left w:val="nil"/>
              <w:bottom w:val="nil"/>
              <w:right w:val="nil"/>
            </w:tcBorders>
            <w:shd w:val="clear" w:color="auto" w:fill="auto"/>
            <w:noWrap/>
            <w:vAlign w:val="center"/>
            <w:hideMark/>
          </w:tcPr>
          <w:p w14:paraId="37B3F568" w14:textId="0086A55B"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9,1</w:t>
            </w:r>
          </w:p>
        </w:tc>
        <w:tc>
          <w:tcPr>
            <w:tcW w:w="794" w:type="dxa"/>
            <w:tcBorders>
              <w:top w:val="nil"/>
              <w:left w:val="nil"/>
              <w:bottom w:val="nil"/>
              <w:right w:val="nil"/>
            </w:tcBorders>
            <w:shd w:val="clear" w:color="auto" w:fill="auto"/>
            <w:noWrap/>
            <w:vAlign w:val="center"/>
            <w:hideMark/>
          </w:tcPr>
          <w:p w14:paraId="0DDA69BB" w14:textId="6FBF7BC4"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15,5</w:t>
            </w:r>
          </w:p>
        </w:tc>
        <w:tc>
          <w:tcPr>
            <w:tcW w:w="794" w:type="dxa"/>
            <w:tcBorders>
              <w:top w:val="nil"/>
              <w:left w:val="nil"/>
              <w:bottom w:val="nil"/>
              <w:right w:val="nil"/>
            </w:tcBorders>
            <w:shd w:val="clear" w:color="auto" w:fill="auto"/>
            <w:noWrap/>
            <w:vAlign w:val="center"/>
            <w:hideMark/>
          </w:tcPr>
          <w:p w14:paraId="0F16E156" w14:textId="367CD7C4"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19,7</w:t>
            </w:r>
          </w:p>
        </w:tc>
        <w:tc>
          <w:tcPr>
            <w:tcW w:w="794" w:type="dxa"/>
            <w:tcBorders>
              <w:top w:val="nil"/>
              <w:left w:val="nil"/>
              <w:bottom w:val="nil"/>
              <w:right w:val="nil"/>
            </w:tcBorders>
            <w:shd w:val="clear" w:color="auto" w:fill="auto"/>
            <w:noWrap/>
            <w:vAlign w:val="center"/>
            <w:hideMark/>
          </w:tcPr>
          <w:p w14:paraId="7BCF4EC5" w14:textId="36F4365B"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23,8</w:t>
            </w:r>
          </w:p>
        </w:tc>
        <w:tc>
          <w:tcPr>
            <w:tcW w:w="794" w:type="dxa"/>
            <w:tcBorders>
              <w:top w:val="nil"/>
              <w:left w:val="nil"/>
              <w:bottom w:val="nil"/>
              <w:right w:val="nil"/>
            </w:tcBorders>
            <w:shd w:val="clear" w:color="auto" w:fill="auto"/>
            <w:noWrap/>
            <w:vAlign w:val="center"/>
            <w:hideMark/>
          </w:tcPr>
          <w:p w14:paraId="5B0DD40D" w14:textId="37FC3278" w:rsidR="00244DA0" w:rsidRPr="006C176C" w:rsidRDefault="00244DA0" w:rsidP="00087737">
            <w:pPr>
              <w:spacing w:after="0" w:line="240" w:lineRule="auto"/>
              <w:ind w:firstLine="0"/>
              <w:jc w:val="center"/>
              <w:rPr>
                <w:rFonts w:eastAsia="Times New Roman" w:cs="Times New Roman"/>
                <w:color w:val="000000"/>
                <w:sz w:val="20"/>
                <w:szCs w:val="20"/>
                <w:highlight w:val="yellow"/>
                <w:lang w:eastAsia="lv-LV"/>
              </w:rPr>
            </w:pPr>
            <w:r w:rsidRPr="004D0587">
              <w:rPr>
                <w:sz w:val="20"/>
                <w:szCs w:val="20"/>
              </w:rPr>
              <w:t>27,9</w:t>
            </w:r>
          </w:p>
        </w:tc>
      </w:tr>
    </w:tbl>
    <w:p w14:paraId="581ABC0C" w14:textId="77777777" w:rsidR="004516B3" w:rsidRPr="002869EC" w:rsidRDefault="004516B3" w:rsidP="006357B3">
      <w:pPr>
        <w:spacing w:line="240" w:lineRule="auto"/>
        <w:ind w:firstLine="0"/>
        <w:rPr>
          <w:lang w:eastAsia="lv-LV"/>
        </w:rPr>
      </w:pPr>
    </w:p>
    <w:p w14:paraId="7E48D5D2" w14:textId="4624010D" w:rsidR="00CA3D16" w:rsidRPr="002869EC" w:rsidRDefault="00CA3D16" w:rsidP="006357B3">
      <w:pPr>
        <w:spacing w:line="240" w:lineRule="auto"/>
        <w:ind w:firstLine="0"/>
        <w:jc w:val="center"/>
        <w:rPr>
          <w:rFonts w:cs="Times New Roman"/>
          <w:b/>
          <w:bCs/>
          <w:szCs w:val="20"/>
          <w:u w:val="single"/>
          <w:lang w:eastAsia="lv-LV"/>
        </w:rPr>
      </w:pPr>
      <w:r w:rsidRPr="002869EC">
        <w:rPr>
          <w:rFonts w:cs="Times New Roman"/>
          <w:b/>
          <w:bCs/>
          <w:szCs w:val="20"/>
          <w:u w:val="single"/>
          <w:lang w:eastAsia="lv-LV"/>
        </w:rPr>
        <w:t>Uzņemto fiskālo saistību pamatojošie rādītāji</w:t>
      </w:r>
    </w:p>
    <w:p w14:paraId="434D4DF2" w14:textId="16661B34" w:rsidR="00CA3D16" w:rsidRPr="002869EC" w:rsidRDefault="004965BC" w:rsidP="006357B3">
      <w:pPr>
        <w:spacing w:line="240" w:lineRule="auto"/>
        <w:rPr>
          <w:rFonts w:cs="Times New Roman"/>
          <w:szCs w:val="20"/>
          <w:lang w:eastAsia="lv-LV"/>
        </w:rPr>
      </w:pPr>
      <w:r w:rsidRPr="002869EC">
        <w:rPr>
          <w:rFonts w:cs="Times New Roman"/>
          <w:szCs w:val="20"/>
          <w:lang w:eastAsia="lv-LV"/>
        </w:rPr>
        <w:t>Turpmākajās tabulās</w:t>
      </w:r>
      <w:r w:rsidR="00CA3D16" w:rsidRPr="002869EC">
        <w:rPr>
          <w:rFonts w:cs="Times New Roman"/>
          <w:szCs w:val="20"/>
          <w:lang w:eastAsia="lv-LV"/>
        </w:rPr>
        <w:t xml:space="preserve"> dotie parametri 2023. gadā sniegti atbilstoši </w:t>
      </w:r>
      <w:proofErr w:type="spellStart"/>
      <w:r w:rsidR="00CA3D16" w:rsidRPr="002869EC">
        <w:rPr>
          <w:rFonts w:cs="Times New Roman"/>
          <w:i/>
          <w:iCs/>
          <w:szCs w:val="20"/>
          <w:lang w:eastAsia="lv-LV"/>
        </w:rPr>
        <w:t>E</w:t>
      </w:r>
      <w:r w:rsidR="007436A0">
        <w:rPr>
          <w:rFonts w:cs="Times New Roman"/>
          <w:i/>
          <w:iCs/>
          <w:szCs w:val="20"/>
          <w:lang w:eastAsia="lv-LV"/>
        </w:rPr>
        <w:t>urostat</w:t>
      </w:r>
      <w:proofErr w:type="spellEnd"/>
      <w:r w:rsidR="00CA3D16" w:rsidRPr="002869EC">
        <w:rPr>
          <w:rFonts w:cs="Times New Roman"/>
          <w:szCs w:val="20"/>
          <w:lang w:eastAsia="lv-LV"/>
        </w:rPr>
        <w:t xml:space="preserve"> datiem, 2024. gadā saskaņā ar Latvijas fiskālajām prognozēm, bet sākot ar 2025. gadu izmantoti EK tehniskajā informācijā sniegtie dati un kopējie EK pieņēmumi un metodoloģija.</w:t>
      </w:r>
    </w:p>
    <w:p w14:paraId="061C7805" w14:textId="77777777" w:rsidR="004516B3" w:rsidRPr="002869EC" w:rsidRDefault="004516B3" w:rsidP="0017025D">
      <w:pPr>
        <w:spacing w:after="0" w:line="240" w:lineRule="auto"/>
        <w:rPr>
          <w:i/>
          <w:iCs/>
          <w:lang w:eastAsia="lv-LV"/>
        </w:rPr>
      </w:pPr>
    </w:p>
    <w:p w14:paraId="147B86CA" w14:textId="61C13D64" w:rsidR="00CA3D16" w:rsidRPr="002869EC" w:rsidRDefault="00CA3D16" w:rsidP="006357B3">
      <w:pPr>
        <w:spacing w:line="240" w:lineRule="auto"/>
        <w:jc w:val="right"/>
        <w:rPr>
          <w:rFonts w:cs="Times New Roman"/>
          <w:b/>
          <w:bCs/>
          <w:szCs w:val="24"/>
        </w:rPr>
      </w:pPr>
      <w:r w:rsidRPr="002869EC">
        <w:rPr>
          <w:rFonts w:cs="Times New Roman"/>
          <w:b/>
          <w:bCs/>
          <w:szCs w:val="24"/>
        </w:rPr>
        <w:t>1.b tabula. Galvenie parametri</w:t>
      </w:r>
    </w:p>
    <w:tbl>
      <w:tblPr>
        <w:tblW w:w="9895" w:type="dxa"/>
        <w:jc w:val="center"/>
        <w:tblLayout w:type="fixed"/>
        <w:tblLook w:val="04A0" w:firstRow="1" w:lastRow="0" w:firstColumn="1" w:lastColumn="0" w:noHBand="0" w:noVBand="1"/>
      </w:tblPr>
      <w:tblGrid>
        <w:gridCol w:w="336"/>
        <w:gridCol w:w="2783"/>
        <w:gridCol w:w="1129"/>
        <w:gridCol w:w="1129"/>
        <w:gridCol w:w="1130"/>
        <w:gridCol w:w="1129"/>
        <w:gridCol w:w="1129"/>
        <w:gridCol w:w="1130"/>
      </w:tblGrid>
      <w:tr w:rsidR="00CA3D16" w:rsidRPr="002869EC" w14:paraId="71228025" w14:textId="77777777" w:rsidTr="009715D9">
        <w:trPr>
          <w:trHeight w:val="80"/>
          <w:jc w:val="center"/>
        </w:trPr>
        <w:tc>
          <w:tcPr>
            <w:tcW w:w="336" w:type="dxa"/>
            <w:tcBorders>
              <w:top w:val="nil"/>
              <w:left w:val="nil"/>
              <w:bottom w:val="nil"/>
              <w:right w:val="nil"/>
            </w:tcBorders>
            <w:shd w:val="clear" w:color="000000" w:fill="95B3D7"/>
            <w:noWrap/>
            <w:vAlign w:val="bottom"/>
            <w:hideMark/>
          </w:tcPr>
          <w:p w14:paraId="61EEB23F" w14:textId="77777777" w:rsidR="00CA3D16" w:rsidRPr="006C176C" w:rsidRDefault="00CA3D16" w:rsidP="006357B3">
            <w:pPr>
              <w:spacing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2783" w:type="dxa"/>
            <w:tcBorders>
              <w:top w:val="nil"/>
              <w:left w:val="nil"/>
              <w:bottom w:val="nil"/>
              <w:right w:val="nil"/>
            </w:tcBorders>
            <w:shd w:val="clear" w:color="000000" w:fill="95B3D7"/>
            <w:noWrap/>
            <w:vAlign w:val="bottom"/>
            <w:hideMark/>
          </w:tcPr>
          <w:p w14:paraId="1D3903F0" w14:textId="77777777" w:rsidR="00CA3D16" w:rsidRPr="006C176C" w:rsidRDefault="00CA3D16" w:rsidP="006357B3">
            <w:pPr>
              <w:spacing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1129" w:type="dxa"/>
            <w:tcBorders>
              <w:top w:val="nil"/>
              <w:left w:val="nil"/>
              <w:bottom w:val="nil"/>
              <w:right w:val="nil"/>
            </w:tcBorders>
            <w:shd w:val="clear" w:color="000000" w:fill="95B3D7"/>
            <w:noWrap/>
            <w:vAlign w:val="bottom"/>
            <w:hideMark/>
          </w:tcPr>
          <w:p w14:paraId="2F58DAFE" w14:textId="77777777" w:rsidR="00CA3D16" w:rsidRPr="006C176C" w:rsidRDefault="00CA3D16"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2023</w:t>
            </w:r>
          </w:p>
        </w:tc>
        <w:tc>
          <w:tcPr>
            <w:tcW w:w="1129" w:type="dxa"/>
            <w:tcBorders>
              <w:top w:val="nil"/>
              <w:left w:val="nil"/>
              <w:bottom w:val="nil"/>
              <w:right w:val="nil"/>
            </w:tcBorders>
            <w:shd w:val="clear" w:color="000000" w:fill="95B3D7"/>
            <w:noWrap/>
            <w:vAlign w:val="bottom"/>
            <w:hideMark/>
          </w:tcPr>
          <w:p w14:paraId="7ED5FCB7" w14:textId="77777777" w:rsidR="00CA3D16" w:rsidRPr="006C176C" w:rsidRDefault="00CA3D16"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2024</w:t>
            </w:r>
          </w:p>
        </w:tc>
        <w:tc>
          <w:tcPr>
            <w:tcW w:w="1130" w:type="dxa"/>
            <w:tcBorders>
              <w:top w:val="nil"/>
              <w:left w:val="nil"/>
              <w:bottom w:val="nil"/>
              <w:right w:val="nil"/>
            </w:tcBorders>
            <w:shd w:val="clear" w:color="000000" w:fill="95B3D7"/>
            <w:noWrap/>
            <w:vAlign w:val="bottom"/>
            <w:hideMark/>
          </w:tcPr>
          <w:p w14:paraId="724CEC64" w14:textId="77777777" w:rsidR="00CA3D16" w:rsidRPr="006C176C" w:rsidRDefault="00CA3D16"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2025</w:t>
            </w:r>
          </w:p>
        </w:tc>
        <w:tc>
          <w:tcPr>
            <w:tcW w:w="1129" w:type="dxa"/>
            <w:tcBorders>
              <w:top w:val="nil"/>
              <w:left w:val="nil"/>
              <w:bottom w:val="nil"/>
              <w:right w:val="nil"/>
            </w:tcBorders>
            <w:shd w:val="clear" w:color="000000" w:fill="95B3D7"/>
            <w:noWrap/>
            <w:vAlign w:val="bottom"/>
            <w:hideMark/>
          </w:tcPr>
          <w:p w14:paraId="0C15B889" w14:textId="77777777" w:rsidR="00CA3D16" w:rsidRPr="006C176C" w:rsidRDefault="00CA3D16"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2026</w:t>
            </w:r>
          </w:p>
        </w:tc>
        <w:tc>
          <w:tcPr>
            <w:tcW w:w="1129" w:type="dxa"/>
            <w:tcBorders>
              <w:top w:val="nil"/>
              <w:left w:val="nil"/>
              <w:bottom w:val="nil"/>
              <w:right w:val="nil"/>
            </w:tcBorders>
            <w:shd w:val="clear" w:color="000000" w:fill="95B3D7"/>
            <w:noWrap/>
            <w:vAlign w:val="bottom"/>
            <w:hideMark/>
          </w:tcPr>
          <w:p w14:paraId="38550B27" w14:textId="77777777" w:rsidR="00CA3D16" w:rsidRPr="006C176C" w:rsidRDefault="00CA3D16"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2027</w:t>
            </w:r>
          </w:p>
        </w:tc>
        <w:tc>
          <w:tcPr>
            <w:tcW w:w="1130" w:type="dxa"/>
            <w:tcBorders>
              <w:top w:val="nil"/>
              <w:left w:val="nil"/>
              <w:bottom w:val="nil"/>
              <w:right w:val="nil"/>
            </w:tcBorders>
            <w:shd w:val="clear" w:color="000000" w:fill="95B3D7"/>
            <w:noWrap/>
            <w:vAlign w:val="bottom"/>
            <w:hideMark/>
          </w:tcPr>
          <w:p w14:paraId="3199B787" w14:textId="77777777" w:rsidR="00CA3D16" w:rsidRPr="006C176C" w:rsidRDefault="00CA3D16" w:rsidP="00087737">
            <w:pPr>
              <w:spacing w:after="0" w:line="240" w:lineRule="auto"/>
              <w:ind w:firstLine="0"/>
              <w:jc w:val="center"/>
              <w:rPr>
                <w:rFonts w:eastAsia="Times New Roman" w:cs="Times New Roman"/>
                <w:b/>
                <w:bCs/>
                <w:color w:val="000000"/>
                <w:sz w:val="20"/>
                <w:szCs w:val="20"/>
                <w:lang w:eastAsia="lv-LV"/>
              </w:rPr>
            </w:pPr>
            <w:r w:rsidRPr="006C176C">
              <w:rPr>
                <w:rFonts w:eastAsia="Times New Roman" w:cs="Times New Roman"/>
                <w:b/>
                <w:bCs/>
                <w:color w:val="000000"/>
                <w:sz w:val="20"/>
                <w:szCs w:val="20"/>
                <w:lang w:eastAsia="lv-LV"/>
              </w:rPr>
              <w:t>2028</w:t>
            </w:r>
          </w:p>
        </w:tc>
      </w:tr>
      <w:tr w:rsidR="00CA3D16" w:rsidRPr="002869EC" w14:paraId="21DF47B6" w14:textId="77777777" w:rsidTr="009715D9">
        <w:trPr>
          <w:trHeight w:val="285"/>
          <w:jc w:val="center"/>
        </w:trPr>
        <w:tc>
          <w:tcPr>
            <w:tcW w:w="336" w:type="dxa"/>
            <w:tcBorders>
              <w:top w:val="nil"/>
              <w:left w:val="nil"/>
              <w:bottom w:val="nil"/>
              <w:right w:val="nil"/>
            </w:tcBorders>
            <w:shd w:val="clear" w:color="000000" w:fill="95B3D7"/>
            <w:noWrap/>
            <w:vAlign w:val="bottom"/>
            <w:hideMark/>
          </w:tcPr>
          <w:p w14:paraId="539AFDEE" w14:textId="77777777" w:rsidR="00CA3D16" w:rsidRPr="006C176C" w:rsidRDefault="00CA3D16" w:rsidP="006357B3">
            <w:pPr>
              <w:spacing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2783" w:type="dxa"/>
            <w:tcBorders>
              <w:top w:val="nil"/>
              <w:left w:val="nil"/>
              <w:bottom w:val="nil"/>
              <w:right w:val="nil"/>
            </w:tcBorders>
            <w:shd w:val="clear" w:color="000000" w:fill="95B3D7"/>
            <w:noWrap/>
            <w:vAlign w:val="bottom"/>
            <w:hideMark/>
          </w:tcPr>
          <w:p w14:paraId="7C0C8247" w14:textId="77777777" w:rsidR="00CA3D16" w:rsidRPr="006C176C" w:rsidRDefault="00CA3D16" w:rsidP="006357B3">
            <w:pPr>
              <w:spacing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1129" w:type="dxa"/>
            <w:tcBorders>
              <w:top w:val="nil"/>
              <w:left w:val="nil"/>
              <w:bottom w:val="nil"/>
              <w:right w:val="nil"/>
            </w:tcBorders>
            <w:shd w:val="clear" w:color="000000" w:fill="95B3D7"/>
            <w:noWrap/>
            <w:vAlign w:val="bottom"/>
            <w:hideMark/>
          </w:tcPr>
          <w:p w14:paraId="06EED070"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pieauguma</w:t>
            </w:r>
          </w:p>
          <w:p w14:paraId="12BF08DF"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temps</w:t>
            </w:r>
          </w:p>
        </w:tc>
        <w:tc>
          <w:tcPr>
            <w:tcW w:w="1129" w:type="dxa"/>
            <w:tcBorders>
              <w:top w:val="nil"/>
              <w:left w:val="nil"/>
              <w:bottom w:val="nil"/>
              <w:right w:val="nil"/>
            </w:tcBorders>
            <w:shd w:val="clear" w:color="000000" w:fill="95B3D7"/>
            <w:noWrap/>
            <w:vAlign w:val="bottom"/>
            <w:hideMark/>
          </w:tcPr>
          <w:p w14:paraId="45C3FE9F"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pieauguma</w:t>
            </w:r>
          </w:p>
          <w:p w14:paraId="0B0BE8AA"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temps</w:t>
            </w:r>
          </w:p>
        </w:tc>
        <w:tc>
          <w:tcPr>
            <w:tcW w:w="1130" w:type="dxa"/>
            <w:tcBorders>
              <w:top w:val="nil"/>
              <w:left w:val="nil"/>
              <w:bottom w:val="nil"/>
              <w:right w:val="nil"/>
            </w:tcBorders>
            <w:shd w:val="clear" w:color="000000" w:fill="95B3D7"/>
            <w:noWrap/>
            <w:vAlign w:val="bottom"/>
            <w:hideMark/>
          </w:tcPr>
          <w:p w14:paraId="62E97F7F"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pieauguma</w:t>
            </w:r>
          </w:p>
          <w:p w14:paraId="32CD1EC1"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temps</w:t>
            </w:r>
          </w:p>
        </w:tc>
        <w:tc>
          <w:tcPr>
            <w:tcW w:w="1129" w:type="dxa"/>
            <w:tcBorders>
              <w:top w:val="nil"/>
              <w:left w:val="nil"/>
              <w:bottom w:val="nil"/>
              <w:right w:val="nil"/>
            </w:tcBorders>
            <w:shd w:val="clear" w:color="000000" w:fill="95B3D7"/>
            <w:noWrap/>
            <w:vAlign w:val="bottom"/>
            <w:hideMark/>
          </w:tcPr>
          <w:p w14:paraId="02219002"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pieauguma</w:t>
            </w:r>
          </w:p>
          <w:p w14:paraId="5C9E518D"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temps</w:t>
            </w:r>
          </w:p>
        </w:tc>
        <w:tc>
          <w:tcPr>
            <w:tcW w:w="1129" w:type="dxa"/>
            <w:tcBorders>
              <w:top w:val="nil"/>
              <w:left w:val="nil"/>
              <w:bottom w:val="nil"/>
              <w:right w:val="nil"/>
            </w:tcBorders>
            <w:shd w:val="clear" w:color="000000" w:fill="95B3D7"/>
            <w:noWrap/>
            <w:vAlign w:val="bottom"/>
            <w:hideMark/>
          </w:tcPr>
          <w:p w14:paraId="40AB6A3D"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pieauguma</w:t>
            </w:r>
          </w:p>
          <w:p w14:paraId="0B1772BE"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temps</w:t>
            </w:r>
          </w:p>
        </w:tc>
        <w:tc>
          <w:tcPr>
            <w:tcW w:w="1130" w:type="dxa"/>
            <w:tcBorders>
              <w:top w:val="nil"/>
              <w:left w:val="nil"/>
              <w:bottom w:val="nil"/>
              <w:right w:val="nil"/>
            </w:tcBorders>
            <w:shd w:val="clear" w:color="000000" w:fill="95B3D7"/>
            <w:noWrap/>
            <w:vAlign w:val="bottom"/>
            <w:hideMark/>
          </w:tcPr>
          <w:p w14:paraId="1D998891"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pieauguma</w:t>
            </w:r>
          </w:p>
          <w:p w14:paraId="2618D63A"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temps</w:t>
            </w:r>
          </w:p>
        </w:tc>
      </w:tr>
      <w:tr w:rsidR="003F681B" w:rsidRPr="002869EC" w14:paraId="3F757ED7"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0DCEE664" w14:textId="77777777" w:rsidR="003F681B" w:rsidRPr="006C176C" w:rsidRDefault="003F681B" w:rsidP="00087737">
            <w:pPr>
              <w:spacing w:after="0" w:line="240" w:lineRule="auto"/>
              <w:ind w:firstLine="0"/>
              <w:jc w:val="right"/>
              <w:rPr>
                <w:rFonts w:eastAsia="Times New Roman" w:cs="Times New Roman"/>
                <w:color w:val="000000"/>
                <w:sz w:val="20"/>
                <w:szCs w:val="20"/>
                <w:lang w:eastAsia="lv-LV"/>
              </w:rPr>
            </w:pPr>
            <w:r w:rsidRPr="006C176C">
              <w:rPr>
                <w:rFonts w:eastAsia="Times New Roman" w:cs="Times New Roman"/>
                <w:color w:val="000000"/>
                <w:sz w:val="20"/>
                <w:szCs w:val="20"/>
                <w:lang w:eastAsia="lv-LV"/>
              </w:rPr>
              <w:t>1</w:t>
            </w:r>
          </w:p>
        </w:tc>
        <w:tc>
          <w:tcPr>
            <w:tcW w:w="2783" w:type="dxa"/>
            <w:tcBorders>
              <w:top w:val="nil"/>
              <w:left w:val="nil"/>
              <w:bottom w:val="nil"/>
              <w:right w:val="nil"/>
            </w:tcBorders>
            <w:shd w:val="clear" w:color="000000" w:fill="DCE6F1"/>
            <w:hideMark/>
          </w:tcPr>
          <w:p w14:paraId="55693290" w14:textId="77777777" w:rsidR="003F681B" w:rsidRPr="006C176C" w:rsidRDefault="003F681B" w:rsidP="00087737">
            <w:pPr>
              <w:spacing w:after="0" w:line="240" w:lineRule="auto"/>
              <w:ind w:firstLine="0"/>
              <w:jc w:val="left"/>
              <w:rPr>
                <w:rFonts w:eastAsia="Times New Roman" w:cs="Times New Roman"/>
                <w:b/>
                <w:bCs/>
                <w:sz w:val="20"/>
                <w:szCs w:val="20"/>
                <w:lang w:eastAsia="lv-LV"/>
              </w:rPr>
            </w:pPr>
            <w:r w:rsidRPr="006C176C">
              <w:rPr>
                <w:rFonts w:cs="Times New Roman"/>
                <w:b/>
                <w:bCs/>
                <w:sz w:val="20"/>
                <w:szCs w:val="20"/>
              </w:rPr>
              <w:t xml:space="preserve">Potenciālais IKP </w:t>
            </w:r>
          </w:p>
        </w:tc>
        <w:tc>
          <w:tcPr>
            <w:tcW w:w="1129" w:type="dxa"/>
            <w:tcBorders>
              <w:top w:val="nil"/>
              <w:left w:val="nil"/>
              <w:bottom w:val="nil"/>
              <w:right w:val="nil"/>
            </w:tcBorders>
            <w:shd w:val="clear" w:color="auto" w:fill="auto"/>
            <w:vAlign w:val="center"/>
            <w:hideMark/>
          </w:tcPr>
          <w:p w14:paraId="3FC5ACE8" w14:textId="52342E75" w:rsidR="003F681B" w:rsidRPr="004D0587" w:rsidRDefault="003F681B" w:rsidP="00087737">
            <w:pPr>
              <w:spacing w:after="0" w:line="240" w:lineRule="auto"/>
              <w:ind w:firstLine="0"/>
              <w:jc w:val="center"/>
              <w:rPr>
                <w:rFonts w:eastAsia="Times New Roman" w:cs="Times New Roman"/>
                <w:b/>
                <w:bCs/>
                <w:sz w:val="20"/>
                <w:szCs w:val="20"/>
                <w:lang w:eastAsia="lv-LV"/>
              </w:rPr>
            </w:pPr>
            <w:r w:rsidRPr="004D0587">
              <w:rPr>
                <w:rFonts w:cs="Times New Roman"/>
                <w:sz w:val="20"/>
                <w:szCs w:val="20"/>
              </w:rPr>
              <w:t>2,3</w:t>
            </w:r>
          </w:p>
        </w:tc>
        <w:tc>
          <w:tcPr>
            <w:tcW w:w="1129" w:type="dxa"/>
            <w:tcBorders>
              <w:top w:val="nil"/>
              <w:left w:val="nil"/>
              <w:bottom w:val="nil"/>
              <w:right w:val="nil"/>
            </w:tcBorders>
            <w:shd w:val="clear" w:color="auto" w:fill="auto"/>
            <w:vAlign w:val="center"/>
            <w:hideMark/>
          </w:tcPr>
          <w:p w14:paraId="1D871E05" w14:textId="7DF00D17" w:rsidR="003F681B" w:rsidRPr="004D0587" w:rsidRDefault="003F681B" w:rsidP="00087737">
            <w:pPr>
              <w:spacing w:after="0" w:line="240" w:lineRule="auto"/>
              <w:ind w:firstLine="0"/>
              <w:jc w:val="center"/>
              <w:rPr>
                <w:rFonts w:eastAsia="Times New Roman" w:cs="Times New Roman"/>
                <w:b/>
                <w:bCs/>
                <w:sz w:val="20"/>
                <w:szCs w:val="20"/>
                <w:lang w:eastAsia="lv-LV"/>
              </w:rPr>
            </w:pPr>
            <w:r w:rsidRPr="004D0587">
              <w:rPr>
                <w:rFonts w:cs="Times New Roman"/>
                <w:sz w:val="20"/>
                <w:szCs w:val="20"/>
              </w:rPr>
              <w:t>2,2</w:t>
            </w:r>
          </w:p>
        </w:tc>
        <w:tc>
          <w:tcPr>
            <w:tcW w:w="1130" w:type="dxa"/>
            <w:tcBorders>
              <w:top w:val="nil"/>
              <w:left w:val="nil"/>
              <w:bottom w:val="nil"/>
              <w:right w:val="nil"/>
            </w:tcBorders>
            <w:shd w:val="clear" w:color="auto" w:fill="auto"/>
            <w:vAlign w:val="center"/>
            <w:hideMark/>
          </w:tcPr>
          <w:p w14:paraId="63976235" w14:textId="0BEBB776" w:rsidR="003F681B" w:rsidRPr="004D0587" w:rsidRDefault="003F681B" w:rsidP="00087737">
            <w:pPr>
              <w:spacing w:after="0" w:line="240" w:lineRule="auto"/>
              <w:ind w:firstLine="0"/>
              <w:jc w:val="center"/>
              <w:rPr>
                <w:rFonts w:eastAsia="Times New Roman" w:cs="Times New Roman"/>
                <w:b/>
                <w:bCs/>
                <w:sz w:val="20"/>
                <w:szCs w:val="20"/>
                <w:lang w:eastAsia="lv-LV"/>
              </w:rPr>
            </w:pPr>
            <w:r w:rsidRPr="004D0587">
              <w:rPr>
                <w:rFonts w:cs="Times New Roman"/>
                <w:sz w:val="20"/>
                <w:szCs w:val="20"/>
              </w:rPr>
              <w:t>2,1</w:t>
            </w:r>
          </w:p>
        </w:tc>
        <w:tc>
          <w:tcPr>
            <w:tcW w:w="1129" w:type="dxa"/>
            <w:tcBorders>
              <w:top w:val="nil"/>
              <w:left w:val="nil"/>
              <w:bottom w:val="nil"/>
              <w:right w:val="nil"/>
            </w:tcBorders>
            <w:shd w:val="clear" w:color="auto" w:fill="auto"/>
            <w:vAlign w:val="center"/>
            <w:hideMark/>
          </w:tcPr>
          <w:p w14:paraId="419F7487" w14:textId="511C7ADD" w:rsidR="003F681B" w:rsidRPr="004D0587" w:rsidRDefault="003F681B" w:rsidP="00087737">
            <w:pPr>
              <w:spacing w:after="0" w:line="240" w:lineRule="auto"/>
              <w:ind w:firstLine="0"/>
              <w:jc w:val="center"/>
              <w:rPr>
                <w:rFonts w:eastAsia="Times New Roman" w:cs="Times New Roman"/>
                <w:b/>
                <w:bCs/>
                <w:sz w:val="20"/>
                <w:szCs w:val="20"/>
                <w:lang w:eastAsia="lv-LV"/>
              </w:rPr>
            </w:pPr>
            <w:r w:rsidRPr="004D0587">
              <w:rPr>
                <w:rFonts w:cs="Times New Roman"/>
                <w:sz w:val="20"/>
                <w:szCs w:val="20"/>
              </w:rPr>
              <w:t>1,2</w:t>
            </w:r>
          </w:p>
        </w:tc>
        <w:tc>
          <w:tcPr>
            <w:tcW w:w="1129" w:type="dxa"/>
            <w:tcBorders>
              <w:top w:val="nil"/>
              <w:left w:val="nil"/>
              <w:bottom w:val="nil"/>
              <w:right w:val="nil"/>
            </w:tcBorders>
            <w:shd w:val="clear" w:color="auto" w:fill="auto"/>
            <w:vAlign w:val="center"/>
            <w:hideMark/>
          </w:tcPr>
          <w:p w14:paraId="1D4640C0" w14:textId="4CA259EF" w:rsidR="003F681B" w:rsidRPr="004D0587" w:rsidRDefault="003F681B" w:rsidP="00087737">
            <w:pPr>
              <w:spacing w:after="0" w:line="240" w:lineRule="auto"/>
              <w:ind w:firstLine="0"/>
              <w:jc w:val="center"/>
              <w:rPr>
                <w:rFonts w:eastAsia="Times New Roman" w:cs="Times New Roman"/>
                <w:b/>
                <w:bCs/>
                <w:sz w:val="20"/>
                <w:szCs w:val="20"/>
                <w:lang w:eastAsia="lv-LV"/>
              </w:rPr>
            </w:pPr>
            <w:r w:rsidRPr="004D0587">
              <w:rPr>
                <w:rFonts w:cs="Times New Roman"/>
                <w:sz w:val="20"/>
                <w:szCs w:val="20"/>
              </w:rPr>
              <w:t>0,9</w:t>
            </w:r>
          </w:p>
        </w:tc>
        <w:tc>
          <w:tcPr>
            <w:tcW w:w="1130" w:type="dxa"/>
            <w:tcBorders>
              <w:top w:val="nil"/>
              <w:left w:val="nil"/>
              <w:bottom w:val="nil"/>
              <w:right w:val="nil"/>
            </w:tcBorders>
            <w:shd w:val="clear" w:color="auto" w:fill="auto"/>
            <w:vAlign w:val="center"/>
            <w:hideMark/>
          </w:tcPr>
          <w:p w14:paraId="2B2EDA32" w14:textId="0B610403" w:rsidR="003F681B" w:rsidRPr="004D0587" w:rsidRDefault="003F681B" w:rsidP="00087737">
            <w:pPr>
              <w:spacing w:after="0" w:line="240" w:lineRule="auto"/>
              <w:ind w:firstLine="0"/>
              <w:jc w:val="center"/>
              <w:rPr>
                <w:rFonts w:eastAsia="Times New Roman" w:cs="Times New Roman"/>
                <w:b/>
                <w:bCs/>
                <w:sz w:val="20"/>
                <w:szCs w:val="20"/>
                <w:lang w:eastAsia="lv-LV"/>
              </w:rPr>
            </w:pPr>
            <w:r w:rsidRPr="004D0587">
              <w:rPr>
                <w:rFonts w:cs="Times New Roman"/>
                <w:sz w:val="20"/>
                <w:szCs w:val="20"/>
              </w:rPr>
              <w:t>0,9</w:t>
            </w:r>
          </w:p>
        </w:tc>
      </w:tr>
      <w:tr w:rsidR="003F681B" w:rsidRPr="002869EC" w14:paraId="3D504C54"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198FCD4F" w14:textId="77777777" w:rsidR="003F681B" w:rsidRPr="006C176C" w:rsidRDefault="003F681B" w:rsidP="00087737">
            <w:pPr>
              <w:spacing w:after="0" w:line="240" w:lineRule="auto"/>
              <w:ind w:firstLine="0"/>
              <w:jc w:val="right"/>
              <w:rPr>
                <w:rFonts w:eastAsia="Times New Roman" w:cs="Times New Roman"/>
                <w:color w:val="000000"/>
                <w:sz w:val="20"/>
                <w:szCs w:val="20"/>
                <w:lang w:eastAsia="lv-LV"/>
              </w:rPr>
            </w:pPr>
            <w:r w:rsidRPr="006C176C">
              <w:rPr>
                <w:rFonts w:eastAsia="Times New Roman" w:cs="Times New Roman"/>
                <w:color w:val="000000"/>
                <w:sz w:val="20"/>
                <w:szCs w:val="20"/>
                <w:lang w:eastAsia="lv-LV"/>
              </w:rPr>
              <w:t>2</w:t>
            </w:r>
          </w:p>
        </w:tc>
        <w:tc>
          <w:tcPr>
            <w:tcW w:w="2783" w:type="dxa"/>
            <w:tcBorders>
              <w:top w:val="nil"/>
              <w:left w:val="nil"/>
              <w:bottom w:val="nil"/>
              <w:right w:val="nil"/>
            </w:tcBorders>
            <w:shd w:val="clear" w:color="000000" w:fill="DCE6F1"/>
            <w:hideMark/>
          </w:tcPr>
          <w:p w14:paraId="3CC402F3" w14:textId="77777777" w:rsidR="003F681B" w:rsidRPr="006C176C" w:rsidRDefault="003F681B" w:rsidP="00087737">
            <w:pPr>
              <w:spacing w:after="0" w:line="240" w:lineRule="auto"/>
              <w:ind w:firstLine="0"/>
              <w:jc w:val="left"/>
              <w:rPr>
                <w:rFonts w:eastAsia="Times New Roman" w:cs="Times New Roman"/>
                <w:b/>
                <w:bCs/>
                <w:sz w:val="20"/>
                <w:szCs w:val="20"/>
                <w:lang w:eastAsia="lv-LV"/>
              </w:rPr>
            </w:pPr>
            <w:r w:rsidRPr="006C176C">
              <w:rPr>
                <w:rFonts w:cs="Times New Roman"/>
                <w:b/>
                <w:bCs/>
                <w:sz w:val="20"/>
                <w:szCs w:val="20"/>
              </w:rPr>
              <w:t xml:space="preserve">IKP </w:t>
            </w:r>
            <w:proofErr w:type="spellStart"/>
            <w:r w:rsidRPr="006C176C">
              <w:rPr>
                <w:rFonts w:cs="Times New Roman"/>
                <w:b/>
                <w:bCs/>
                <w:sz w:val="20"/>
                <w:szCs w:val="20"/>
              </w:rPr>
              <w:t>deflators</w:t>
            </w:r>
            <w:proofErr w:type="spellEnd"/>
          </w:p>
        </w:tc>
        <w:tc>
          <w:tcPr>
            <w:tcW w:w="1129" w:type="dxa"/>
            <w:tcBorders>
              <w:top w:val="nil"/>
              <w:left w:val="nil"/>
              <w:bottom w:val="nil"/>
              <w:right w:val="nil"/>
            </w:tcBorders>
            <w:shd w:val="clear" w:color="auto" w:fill="auto"/>
            <w:noWrap/>
            <w:vAlign w:val="center"/>
            <w:hideMark/>
          </w:tcPr>
          <w:p w14:paraId="46B20768" w14:textId="23E3A6EE"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5,4</w:t>
            </w:r>
          </w:p>
        </w:tc>
        <w:tc>
          <w:tcPr>
            <w:tcW w:w="1129" w:type="dxa"/>
            <w:tcBorders>
              <w:top w:val="nil"/>
              <w:left w:val="nil"/>
              <w:bottom w:val="nil"/>
              <w:right w:val="nil"/>
            </w:tcBorders>
            <w:shd w:val="clear" w:color="auto" w:fill="auto"/>
            <w:noWrap/>
            <w:vAlign w:val="center"/>
            <w:hideMark/>
          </w:tcPr>
          <w:p w14:paraId="36D30689" w14:textId="6F87C902"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2,4</w:t>
            </w:r>
          </w:p>
        </w:tc>
        <w:tc>
          <w:tcPr>
            <w:tcW w:w="1130" w:type="dxa"/>
            <w:tcBorders>
              <w:top w:val="nil"/>
              <w:left w:val="nil"/>
              <w:bottom w:val="nil"/>
              <w:right w:val="nil"/>
            </w:tcBorders>
            <w:shd w:val="clear" w:color="auto" w:fill="auto"/>
            <w:noWrap/>
            <w:vAlign w:val="center"/>
            <w:hideMark/>
          </w:tcPr>
          <w:p w14:paraId="58AE82DF" w14:textId="473735AE"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2,5</w:t>
            </w:r>
          </w:p>
        </w:tc>
        <w:tc>
          <w:tcPr>
            <w:tcW w:w="1129" w:type="dxa"/>
            <w:tcBorders>
              <w:top w:val="nil"/>
              <w:left w:val="nil"/>
              <w:bottom w:val="nil"/>
              <w:right w:val="nil"/>
            </w:tcBorders>
            <w:shd w:val="clear" w:color="auto" w:fill="auto"/>
            <w:noWrap/>
            <w:vAlign w:val="center"/>
            <w:hideMark/>
          </w:tcPr>
          <w:p w14:paraId="39DF7B54" w14:textId="2C133A0A"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2,5</w:t>
            </w:r>
          </w:p>
        </w:tc>
        <w:tc>
          <w:tcPr>
            <w:tcW w:w="1129" w:type="dxa"/>
            <w:tcBorders>
              <w:top w:val="nil"/>
              <w:left w:val="nil"/>
              <w:bottom w:val="nil"/>
              <w:right w:val="nil"/>
            </w:tcBorders>
            <w:shd w:val="clear" w:color="auto" w:fill="auto"/>
            <w:noWrap/>
            <w:vAlign w:val="center"/>
            <w:hideMark/>
          </w:tcPr>
          <w:p w14:paraId="4D8B28F2" w14:textId="78A665B3"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2,5</w:t>
            </w:r>
          </w:p>
        </w:tc>
        <w:tc>
          <w:tcPr>
            <w:tcW w:w="1130" w:type="dxa"/>
            <w:tcBorders>
              <w:top w:val="nil"/>
              <w:left w:val="nil"/>
              <w:bottom w:val="nil"/>
              <w:right w:val="nil"/>
            </w:tcBorders>
            <w:shd w:val="clear" w:color="auto" w:fill="auto"/>
            <w:noWrap/>
            <w:vAlign w:val="center"/>
            <w:hideMark/>
          </w:tcPr>
          <w:p w14:paraId="6EAEA72D" w14:textId="22987C97"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2,5</w:t>
            </w:r>
          </w:p>
        </w:tc>
      </w:tr>
      <w:tr w:rsidR="00CA3D16" w:rsidRPr="002869EC" w14:paraId="27700AA4"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4C8D0A68" w14:textId="77777777" w:rsidR="00CA3D16" w:rsidRPr="006C176C" w:rsidRDefault="00CA3D16" w:rsidP="00087737">
            <w:pPr>
              <w:spacing w:after="0" w:line="240" w:lineRule="auto"/>
              <w:ind w:firstLine="0"/>
              <w:jc w:val="left"/>
              <w:rPr>
                <w:rFonts w:eastAsia="Times New Roman" w:cs="Times New Roman"/>
                <w:color w:val="000000"/>
                <w:sz w:val="20"/>
                <w:szCs w:val="20"/>
                <w:lang w:eastAsia="lv-LV"/>
              </w:rPr>
            </w:pPr>
            <w:r w:rsidRPr="006C176C">
              <w:rPr>
                <w:rFonts w:eastAsia="Times New Roman" w:cs="Times New Roman"/>
                <w:color w:val="000000"/>
                <w:sz w:val="20"/>
                <w:szCs w:val="20"/>
                <w:lang w:eastAsia="lv-LV"/>
              </w:rPr>
              <w:t> </w:t>
            </w:r>
          </w:p>
        </w:tc>
        <w:tc>
          <w:tcPr>
            <w:tcW w:w="2783" w:type="dxa"/>
            <w:tcBorders>
              <w:top w:val="nil"/>
              <w:left w:val="nil"/>
              <w:bottom w:val="nil"/>
              <w:right w:val="nil"/>
            </w:tcBorders>
            <w:shd w:val="clear" w:color="000000" w:fill="95B3D7"/>
            <w:hideMark/>
          </w:tcPr>
          <w:p w14:paraId="59D51417" w14:textId="77777777" w:rsidR="00CA3D16" w:rsidRPr="006C176C" w:rsidRDefault="00CA3D16" w:rsidP="00087737">
            <w:pPr>
              <w:spacing w:after="0" w:line="240" w:lineRule="auto"/>
              <w:ind w:firstLine="0"/>
              <w:jc w:val="left"/>
              <w:rPr>
                <w:rFonts w:eastAsia="Times New Roman" w:cs="Times New Roman"/>
                <w:b/>
                <w:bCs/>
                <w:sz w:val="20"/>
                <w:szCs w:val="20"/>
                <w:lang w:eastAsia="lv-LV"/>
              </w:rPr>
            </w:pPr>
          </w:p>
        </w:tc>
        <w:tc>
          <w:tcPr>
            <w:tcW w:w="1129" w:type="dxa"/>
            <w:tcBorders>
              <w:top w:val="nil"/>
              <w:left w:val="nil"/>
              <w:bottom w:val="nil"/>
              <w:right w:val="nil"/>
            </w:tcBorders>
            <w:shd w:val="clear" w:color="000000" w:fill="95B3D7"/>
            <w:noWrap/>
            <w:vAlign w:val="bottom"/>
            <w:hideMark/>
          </w:tcPr>
          <w:p w14:paraId="5E70AE2A"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 no IKP</w:t>
            </w:r>
          </w:p>
        </w:tc>
        <w:tc>
          <w:tcPr>
            <w:tcW w:w="1129" w:type="dxa"/>
            <w:tcBorders>
              <w:top w:val="nil"/>
              <w:left w:val="nil"/>
              <w:bottom w:val="nil"/>
              <w:right w:val="nil"/>
            </w:tcBorders>
            <w:shd w:val="clear" w:color="000000" w:fill="95B3D7"/>
            <w:noWrap/>
            <w:vAlign w:val="bottom"/>
            <w:hideMark/>
          </w:tcPr>
          <w:p w14:paraId="23D66C1C"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 no IKP</w:t>
            </w:r>
          </w:p>
        </w:tc>
        <w:tc>
          <w:tcPr>
            <w:tcW w:w="1130" w:type="dxa"/>
            <w:tcBorders>
              <w:top w:val="nil"/>
              <w:left w:val="nil"/>
              <w:bottom w:val="nil"/>
              <w:right w:val="nil"/>
            </w:tcBorders>
            <w:shd w:val="clear" w:color="000000" w:fill="95B3D7"/>
            <w:noWrap/>
            <w:vAlign w:val="bottom"/>
            <w:hideMark/>
          </w:tcPr>
          <w:p w14:paraId="73FE2265"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 no IKP</w:t>
            </w:r>
          </w:p>
        </w:tc>
        <w:tc>
          <w:tcPr>
            <w:tcW w:w="1129" w:type="dxa"/>
            <w:tcBorders>
              <w:top w:val="nil"/>
              <w:left w:val="nil"/>
              <w:bottom w:val="nil"/>
              <w:right w:val="nil"/>
            </w:tcBorders>
            <w:shd w:val="clear" w:color="000000" w:fill="95B3D7"/>
            <w:noWrap/>
            <w:vAlign w:val="bottom"/>
            <w:hideMark/>
          </w:tcPr>
          <w:p w14:paraId="777A6DAE"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 no IKP</w:t>
            </w:r>
          </w:p>
        </w:tc>
        <w:tc>
          <w:tcPr>
            <w:tcW w:w="1129" w:type="dxa"/>
            <w:tcBorders>
              <w:top w:val="nil"/>
              <w:left w:val="nil"/>
              <w:bottom w:val="nil"/>
              <w:right w:val="nil"/>
            </w:tcBorders>
            <w:shd w:val="clear" w:color="000000" w:fill="95B3D7"/>
            <w:noWrap/>
            <w:vAlign w:val="bottom"/>
            <w:hideMark/>
          </w:tcPr>
          <w:p w14:paraId="493AB5F2" w14:textId="64A9C841"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 no</w:t>
            </w:r>
            <w:r w:rsidR="00744A00" w:rsidRPr="006C176C">
              <w:rPr>
                <w:rFonts w:eastAsia="Times New Roman" w:cs="Times New Roman"/>
                <w:color w:val="000000"/>
                <w:sz w:val="20"/>
                <w:szCs w:val="20"/>
                <w:lang w:eastAsia="lv-LV"/>
              </w:rPr>
              <w:t xml:space="preserve"> </w:t>
            </w:r>
            <w:r w:rsidRPr="006C176C">
              <w:rPr>
                <w:rFonts w:eastAsia="Times New Roman" w:cs="Times New Roman"/>
                <w:color w:val="000000"/>
                <w:sz w:val="20"/>
                <w:szCs w:val="20"/>
                <w:lang w:eastAsia="lv-LV"/>
              </w:rPr>
              <w:t>IKP</w:t>
            </w:r>
          </w:p>
        </w:tc>
        <w:tc>
          <w:tcPr>
            <w:tcW w:w="1130" w:type="dxa"/>
            <w:tcBorders>
              <w:top w:val="nil"/>
              <w:left w:val="nil"/>
              <w:bottom w:val="nil"/>
              <w:right w:val="nil"/>
            </w:tcBorders>
            <w:shd w:val="clear" w:color="000000" w:fill="95B3D7"/>
            <w:noWrap/>
            <w:vAlign w:val="bottom"/>
            <w:hideMark/>
          </w:tcPr>
          <w:p w14:paraId="6C62DAC8" w14:textId="77777777" w:rsidR="00CA3D16" w:rsidRPr="006C176C" w:rsidRDefault="00CA3D16" w:rsidP="00087737">
            <w:pPr>
              <w:spacing w:after="0" w:line="240" w:lineRule="auto"/>
              <w:ind w:firstLine="0"/>
              <w:jc w:val="center"/>
              <w:rPr>
                <w:rFonts w:eastAsia="Times New Roman" w:cs="Times New Roman"/>
                <w:color w:val="000000"/>
                <w:sz w:val="20"/>
                <w:szCs w:val="20"/>
                <w:lang w:eastAsia="lv-LV"/>
              </w:rPr>
            </w:pPr>
            <w:r w:rsidRPr="006C176C">
              <w:rPr>
                <w:rFonts w:eastAsia="Times New Roman" w:cs="Times New Roman"/>
                <w:color w:val="000000"/>
                <w:sz w:val="20"/>
                <w:szCs w:val="20"/>
                <w:lang w:eastAsia="lv-LV"/>
              </w:rPr>
              <w:t>% no IKP</w:t>
            </w:r>
          </w:p>
        </w:tc>
      </w:tr>
      <w:tr w:rsidR="003F681B" w:rsidRPr="002869EC" w14:paraId="5EF55378"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10550348" w14:textId="77777777" w:rsidR="003F681B" w:rsidRPr="006C176C" w:rsidRDefault="003F681B" w:rsidP="00087737">
            <w:pPr>
              <w:spacing w:after="0" w:line="240" w:lineRule="auto"/>
              <w:ind w:firstLine="0"/>
              <w:jc w:val="right"/>
              <w:rPr>
                <w:rFonts w:eastAsia="Times New Roman" w:cs="Times New Roman"/>
                <w:color w:val="000000"/>
                <w:sz w:val="20"/>
                <w:szCs w:val="20"/>
                <w:lang w:eastAsia="lv-LV"/>
              </w:rPr>
            </w:pPr>
            <w:r w:rsidRPr="006C176C">
              <w:rPr>
                <w:rFonts w:eastAsia="Times New Roman" w:cs="Times New Roman"/>
                <w:color w:val="000000"/>
                <w:sz w:val="20"/>
                <w:szCs w:val="20"/>
                <w:lang w:eastAsia="lv-LV"/>
              </w:rPr>
              <w:t>3</w:t>
            </w:r>
          </w:p>
        </w:tc>
        <w:tc>
          <w:tcPr>
            <w:tcW w:w="2783" w:type="dxa"/>
            <w:tcBorders>
              <w:top w:val="nil"/>
              <w:left w:val="nil"/>
              <w:bottom w:val="nil"/>
              <w:right w:val="nil"/>
            </w:tcBorders>
            <w:shd w:val="clear" w:color="000000" w:fill="DCE6F1"/>
            <w:hideMark/>
          </w:tcPr>
          <w:p w14:paraId="286BA27F" w14:textId="77777777" w:rsidR="003F681B" w:rsidRPr="006C176C" w:rsidRDefault="003F681B" w:rsidP="00087737">
            <w:pPr>
              <w:spacing w:after="0" w:line="240" w:lineRule="auto"/>
              <w:ind w:firstLine="0"/>
              <w:jc w:val="left"/>
              <w:rPr>
                <w:rFonts w:eastAsia="Times New Roman" w:cs="Times New Roman"/>
                <w:b/>
                <w:bCs/>
                <w:sz w:val="20"/>
                <w:szCs w:val="20"/>
                <w:lang w:eastAsia="lv-LV"/>
              </w:rPr>
            </w:pPr>
            <w:r w:rsidRPr="006C176C">
              <w:rPr>
                <w:rFonts w:cs="Times New Roman"/>
                <w:b/>
                <w:bCs/>
                <w:sz w:val="20"/>
                <w:szCs w:val="20"/>
              </w:rPr>
              <w:t>Neto aizdevumi/aizņēmumi</w:t>
            </w:r>
          </w:p>
        </w:tc>
        <w:tc>
          <w:tcPr>
            <w:tcW w:w="1129" w:type="dxa"/>
            <w:tcBorders>
              <w:top w:val="nil"/>
              <w:left w:val="nil"/>
              <w:bottom w:val="nil"/>
              <w:right w:val="nil"/>
            </w:tcBorders>
            <w:shd w:val="clear" w:color="auto" w:fill="auto"/>
            <w:noWrap/>
            <w:vAlign w:val="center"/>
            <w:hideMark/>
          </w:tcPr>
          <w:p w14:paraId="4445A499" w14:textId="4EF06A5F"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-2,2</w:t>
            </w:r>
          </w:p>
        </w:tc>
        <w:tc>
          <w:tcPr>
            <w:tcW w:w="1129" w:type="dxa"/>
            <w:tcBorders>
              <w:top w:val="nil"/>
              <w:left w:val="nil"/>
              <w:bottom w:val="nil"/>
              <w:right w:val="nil"/>
            </w:tcBorders>
            <w:shd w:val="clear" w:color="auto" w:fill="auto"/>
            <w:noWrap/>
            <w:vAlign w:val="center"/>
            <w:hideMark/>
          </w:tcPr>
          <w:p w14:paraId="3EC85FD8" w14:textId="782D9D38"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-2,6</w:t>
            </w:r>
          </w:p>
        </w:tc>
        <w:tc>
          <w:tcPr>
            <w:tcW w:w="1130" w:type="dxa"/>
            <w:tcBorders>
              <w:top w:val="nil"/>
              <w:left w:val="nil"/>
              <w:bottom w:val="nil"/>
              <w:right w:val="nil"/>
            </w:tcBorders>
            <w:shd w:val="clear" w:color="auto" w:fill="auto"/>
            <w:noWrap/>
            <w:vAlign w:val="center"/>
            <w:hideMark/>
          </w:tcPr>
          <w:p w14:paraId="2811A847" w14:textId="08F55DF7"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-2,9</w:t>
            </w:r>
          </w:p>
        </w:tc>
        <w:tc>
          <w:tcPr>
            <w:tcW w:w="1129" w:type="dxa"/>
            <w:tcBorders>
              <w:top w:val="nil"/>
              <w:left w:val="nil"/>
              <w:bottom w:val="nil"/>
              <w:right w:val="nil"/>
            </w:tcBorders>
            <w:shd w:val="clear" w:color="auto" w:fill="auto"/>
            <w:noWrap/>
            <w:vAlign w:val="center"/>
            <w:hideMark/>
          </w:tcPr>
          <w:p w14:paraId="48717838" w14:textId="48228081"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-2,9</w:t>
            </w:r>
          </w:p>
        </w:tc>
        <w:tc>
          <w:tcPr>
            <w:tcW w:w="1129" w:type="dxa"/>
            <w:tcBorders>
              <w:top w:val="nil"/>
              <w:left w:val="nil"/>
              <w:bottom w:val="nil"/>
              <w:right w:val="nil"/>
            </w:tcBorders>
            <w:shd w:val="clear" w:color="auto" w:fill="auto"/>
            <w:noWrap/>
            <w:vAlign w:val="center"/>
            <w:hideMark/>
          </w:tcPr>
          <w:p w14:paraId="441DE0AC" w14:textId="6EA8C268"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-2,9</w:t>
            </w:r>
          </w:p>
        </w:tc>
        <w:tc>
          <w:tcPr>
            <w:tcW w:w="1130" w:type="dxa"/>
            <w:tcBorders>
              <w:top w:val="nil"/>
              <w:left w:val="nil"/>
              <w:bottom w:val="nil"/>
              <w:right w:val="nil"/>
            </w:tcBorders>
            <w:shd w:val="clear" w:color="auto" w:fill="auto"/>
            <w:noWrap/>
            <w:vAlign w:val="center"/>
            <w:hideMark/>
          </w:tcPr>
          <w:p w14:paraId="494108A4" w14:textId="5B36FF0C"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-2,9</w:t>
            </w:r>
          </w:p>
        </w:tc>
      </w:tr>
      <w:tr w:rsidR="003F681B" w:rsidRPr="002869EC" w14:paraId="27CA84CE"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048FFEE9" w14:textId="77777777" w:rsidR="003F681B" w:rsidRPr="006C176C" w:rsidRDefault="003F681B" w:rsidP="00087737">
            <w:pPr>
              <w:spacing w:after="0" w:line="240" w:lineRule="auto"/>
              <w:ind w:firstLine="0"/>
              <w:jc w:val="right"/>
              <w:rPr>
                <w:rFonts w:eastAsia="Times New Roman" w:cs="Times New Roman"/>
                <w:color w:val="000000"/>
                <w:sz w:val="20"/>
                <w:szCs w:val="20"/>
                <w:lang w:eastAsia="lv-LV"/>
              </w:rPr>
            </w:pPr>
            <w:r w:rsidRPr="006C176C">
              <w:rPr>
                <w:rFonts w:eastAsia="Times New Roman" w:cs="Times New Roman"/>
                <w:color w:val="000000"/>
                <w:sz w:val="20"/>
                <w:szCs w:val="20"/>
                <w:lang w:eastAsia="lv-LV"/>
              </w:rPr>
              <w:t>4</w:t>
            </w:r>
          </w:p>
        </w:tc>
        <w:tc>
          <w:tcPr>
            <w:tcW w:w="2783" w:type="dxa"/>
            <w:tcBorders>
              <w:top w:val="nil"/>
              <w:left w:val="nil"/>
              <w:bottom w:val="nil"/>
              <w:right w:val="nil"/>
            </w:tcBorders>
            <w:shd w:val="clear" w:color="000000" w:fill="DCE6F1"/>
            <w:hideMark/>
          </w:tcPr>
          <w:p w14:paraId="2332DBBB" w14:textId="77777777" w:rsidR="003F681B" w:rsidRPr="006C176C" w:rsidRDefault="003F681B" w:rsidP="00087737">
            <w:pPr>
              <w:spacing w:after="0" w:line="240" w:lineRule="auto"/>
              <w:ind w:firstLine="0"/>
              <w:jc w:val="left"/>
              <w:rPr>
                <w:rFonts w:eastAsia="Times New Roman" w:cs="Times New Roman"/>
                <w:b/>
                <w:bCs/>
                <w:sz w:val="20"/>
                <w:szCs w:val="20"/>
                <w:lang w:eastAsia="lv-LV"/>
              </w:rPr>
            </w:pPr>
            <w:r w:rsidRPr="006C176C">
              <w:rPr>
                <w:rFonts w:cs="Times New Roman"/>
                <w:b/>
                <w:bCs/>
                <w:sz w:val="20"/>
                <w:szCs w:val="20"/>
              </w:rPr>
              <w:t>Strukturālā bilance</w:t>
            </w:r>
          </w:p>
        </w:tc>
        <w:tc>
          <w:tcPr>
            <w:tcW w:w="1129" w:type="dxa"/>
            <w:tcBorders>
              <w:top w:val="nil"/>
              <w:left w:val="nil"/>
              <w:bottom w:val="nil"/>
              <w:right w:val="nil"/>
            </w:tcBorders>
            <w:shd w:val="clear" w:color="auto" w:fill="auto"/>
            <w:noWrap/>
            <w:vAlign w:val="center"/>
            <w:hideMark/>
          </w:tcPr>
          <w:p w14:paraId="7124596A" w14:textId="67E36585"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-1,8</w:t>
            </w:r>
          </w:p>
        </w:tc>
        <w:tc>
          <w:tcPr>
            <w:tcW w:w="1129" w:type="dxa"/>
            <w:tcBorders>
              <w:top w:val="nil"/>
              <w:left w:val="nil"/>
              <w:bottom w:val="nil"/>
              <w:right w:val="nil"/>
            </w:tcBorders>
            <w:shd w:val="clear" w:color="auto" w:fill="auto"/>
            <w:noWrap/>
            <w:vAlign w:val="center"/>
            <w:hideMark/>
          </w:tcPr>
          <w:p w14:paraId="1A873876" w14:textId="19BA8A51"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-1,9</w:t>
            </w:r>
          </w:p>
        </w:tc>
        <w:tc>
          <w:tcPr>
            <w:tcW w:w="1130" w:type="dxa"/>
            <w:tcBorders>
              <w:top w:val="nil"/>
              <w:left w:val="nil"/>
              <w:bottom w:val="nil"/>
              <w:right w:val="nil"/>
            </w:tcBorders>
            <w:shd w:val="clear" w:color="auto" w:fill="auto"/>
            <w:noWrap/>
            <w:vAlign w:val="center"/>
            <w:hideMark/>
          </w:tcPr>
          <w:p w14:paraId="508DD192" w14:textId="24590797"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-2,5</w:t>
            </w:r>
          </w:p>
        </w:tc>
        <w:tc>
          <w:tcPr>
            <w:tcW w:w="1129" w:type="dxa"/>
            <w:tcBorders>
              <w:top w:val="nil"/>
              <w:left w:val="nil"/>
              <w:bottom w:val="nil"/>
              <w:right w:val="nil"/>
            </w:tcBorders>
            <w:shd w:val="clear" w:color="auto" w:fill="auto"/>
            <w:noWrap/>
            <w:vAlign w:val="center"/>
            <w:hideMark/>
          </w:tcPr>
          <w:p w14:paraId="6BADAB8C" w14:textId="0684EE3F"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-2,6</w:t>
            </w:r>
          </w:p>
        </w:tc>
        <w:tc>
          <w:tcPr>
            <w:tcW w:w="1129" w:type="dxa"/>
            <w:tcBorders>
              <w:top w:val="nil"/>
              <w:left w:val="nil"/>
              <w:bottom w:val="nil"/>
              <w:right w:val="nil"/>
            </w:tcBorders>
            <w:shd w:val="clear" w:color="auto" w:fill="auto"/>
            <w:noWrap/>
            <w:vAlign w:val="center"/>
            <w:hideMark/>
          </w:tcPr>
          <w:p w14:paraId="009B0E14" w14:textId="34B497D1"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-2,7</w:t>
            </w:r>
          </w:p>
        </w:tc>
        <w:tc>
          <w:tcPr>
            <w:tcW w:w="1130" w:type="dxa"/>
            <w:tcBorders>
              <w:top w:val="nil"/>
              <w:left w:val="nil"/>
              <w:bottom w:val="nil"/>
              <w:right w:val="nil"/>
            </w:tcBorders>
            <w:shd w:val="clear" w:color="auto" w:fill="auto"/>
            <w:noWrap/>
            <w:vAlign w:val="center"/>
            <w:hideMark/>
          </w:tcPr>
          <w:p w14:paraId="5777BE40" w14:textId="0F30F7DB"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-2,7</w:t>
            </w:r>
          </w:p>
        </w:tc>
      </w:tr>
      <w:tr w:rsidR="003F681B" w:rsidRPr="002869EC" w14:paraId="1291BBF9"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1F5592D4" w14:textId="77777777" w:rsidR="003F681B" w:rsidRPr="006C176C" w:rsidRDefault="003F681B" w:rsidP="00087737">
            <w:pPr>
              <w:spacing w:after="0" w:line="240" w:lineRule="auto"/>
              <w:ind w:firstLine="0"/>
              <w:jc w:val="right"/>
              <w:rPr>
                <w:rFonts w:eastAsia="Times New Roman" w:cs="Times New Roman"/>
                <w:color w:val="000000"/>
                <w:sz w:val="20"/>
                <w:szCs w:val="20"/>
                <w:lang w:eastAsia="lv-LV"/>
              </w:rPr>
            </w:pPr>
            <w:r w:rsidRPr="006C176C">
              <w:rPr>
                <w:rFonts w:eastAsia="Times New Roman" w:cs="Times New Roman"/>
                <w:color w:val="000000"/>
                <w:sz w:val="20"/>
                <w:szCs w:val="20"/>
                <w:lang w:eastAsia="lv-LV"/>
              </w:rPr>
              <w:t>5</w:t>
            </w:r>
          </w:p>
        </w:tc>
        <w:tc>
          <w:tcPr>
            <w:tcW w:w="2783" w:type="dxa"/>
            <w:tcBorders>
              <w:top w:val="nil"/>
              <w:left w:val="nil"/>
              <w:bottom w:val="nil"/>
              <w:right w:val="nil"/>
            </w:tcBorders>
            <w:shd w:val="clear" w:color="000000" w:fill="DCE6F1"/>
            <w:hideMark/>
          </w:tcPr>
          <w:p w14:paraId="30EE8723" w14:textId="77777777" w:rsidR="003F681B" w:rsidRPr="006C176C" w:rsidRDefault="003F681B" w:rsidP="00087737">
            <w:pPr>
              <w:spacing w:after="0" w:line="240" w:lineRule="auto"/>
              <w:ind w:firstLine="0"/>
              <w:jc w:val="left"/>
              <w:rPr>
                <w:rFonts w:eastAsia="Times New Roman" w:cs="Times New Roman"/>
                <w:b/>
                <w:bCs/>
                <w:color w:val="000000"/>
                <w:sz w:val="20"/>
                <w:szCs w:val="20"/>
                <w:lang w:eastAsia="lv-LV"/>
              </w:rPr>
            </w:pPr>
            <w:r w:rsidRPr="006C176C">
              <w:rPr>
                <w:rFonts w:cs="Times New Roman"/>
                <w:b/>
                <w:bCs/>
                <w:sz w:val="20"/>
                <w:szCs w:val="20"/>
              </w:rPr>
              <w:t>Strukturālā primārā bilance</w:t>
            </w:r>
          </w:p>
        </w:tc>
        <w:tc>
          <w:tcPr>
            <w:tcW w:w="1129" w:type="dxa"/>
            <w:tcBorders>
              <w:top w:val="nil"/>
              <w:left w:val="nil"/>
              <w:bottom w:val="nil"/>
              <w:right w:val="nil"/>
            </w:tcBorders>
            <w:shd w:val="clear" w:color="auto" w:fill="auto"/>
            <w:noWrap/>
            <w:vAlign w:val="center"/>
            <w:hideMark/>
          </w:tcPr>
          <w:p w14:paraId="49C3256D" w14:textId="64A1589C"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-1,2</w:t>
            </w:r>
          </w:p>
        </w:tc>
        <w:tc>
          <w:tcPr>
            <w:tcW w:w="1129" w:type="dxa"/>
            <w:tcBorders>
              <w:top w:val="nil"/>
              <w:left w:val="nil"/>
              <w:bottom w:val="nil"/>
              <w:right w:val="nil"/>
            </w:tcBorders>
            <w:shd w:val="clear" w:color="auto" w:fill="auto"/>
            <w:noWrap/>
            <w:vAlign w:val="center"/>
            <w:hideMark/>
          </w:tcPr>
          <w:p w14:paraId="5E7FAD06" w14:textId="1CD14086"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-0,8</w:t>
            </w:r>
          </w:p>
        </w:tc>
        <w:tc>
          <w:tcPr>
            <w:tcW w:w="1130" w:type="dxa"/>
            <w:tcBorders>
              <w:top w:val="nil"/>
              <w:left w:val="nil"/>
              <w:bottom w:val="nil"/>
              <w:right w:val="nil"/>
            </w:tcBorders>
            <w:shd w:val="clear" w:color="auto" w:fill="auto"/>
            <w:noWrap/>
            <w:vAlign w:val="center"/>
            <w:hideMark/>
          </w:tcPr>
          <w:p w14:paraId="631DA4A1" w14:textId="22A52514"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-1,3</w:t>
            </w:r>
          </w:p>
        </w:tc>
        <w:tc>
          <w:tcPr>
            <w:tcW w:w="1129" w:type="dxa"/>
            <w:tcBorders>
              <w:top w:val="nil"/>
              <w:left w:val="nil"/>
              <w:bottom w:val="nil"/>
              <w:right w:val="nil"/>
            </w:tcBorders>
            <w:shd w:val="clear" w:color="auto" w:fill="auto"/>
            <w:noWrap/>
            <w:vAlign w:val="center"/>
            <w:hideMark/>
          </w:tcPr>
          <w:p w14:paraId="0341B272" w14:textId="348C4649"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-1,3</w:t>
            </w:r>
          </w:p>
        </w:tc>
        <w:tc>
          <w:tcPr>
            <w:tcW w:w="1129" w:type="dxa"/>
            <w:tcBorders>
              <w:top w:val="nil"/>
              <w:left w:val="nil"/>
              <w:bottom w:val="nil"/>
              <w:right w:val="nil"/>
            </w:tcBorders>
            <w:shd w:val="clear" w:color="auto" w:fill="auto"/>
            <w:noWrap/>
            <w:vAlign w:val="center"/>
            <w:hideMark/>
          </w:tcPr>
          <w:p w14:paraId="0A677FDB" w14:textId="04712614"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-1,3</w:t>
            </w:r>
          </w:p>
        </w:tc>
        <w:tc>
          <w:tcPr>
            <w:tcW w:w="1130" w:type="dxa"/>
            <w:tcBorders>
              <w:top w:val="nil"/>
              <w:left w:val="nil"/>
              <w:bottom w:val="nil"/>
              <w:right w:val="nil"/>
            </w:tcBorders>
            <w:shd w:val="clear" w:color="auto" w:fill="auto"/>
            <w:noWrap/>
            <w:vAlign w:val="center"/>
            <w:hideMark/>
          </w:tcPr>
          <w:p w14:paraId="3FA0B021" w14:textId="03CE92A7"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-1,3</w:t>
            </w:r>
          </w:p>
        </w:tc>
      </w:tr>
      <w:tr w:rsidR="003F681B" w:rsidRPr="002869EC" w14:paraId="546344D7"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7BE4E96A" w14:textId="77777777" w:rsidR="003F681B" w:rsidRPr="006C176C" w:rsidRDefault="003F681B" w:rsidP="00087737">
            <w:pPr>
              <w:spacing w:after="0" w:line="240" w:lineRule="auto"/>
              <w:ind w:firstLine="0"/>
              <w:jc w:val="right"/>
              <w:rPr>
                <w:rFonts w:eastAsia="Times New Roman" w:cs="Times New Roman"/>
                <w:color w:val="000000"/>
                <w:sz w:val="20"/>
                <w:szCs w:val="20"/>
                <w:lang w:eastAsia="lv-LV"/>
              </w:rPr>
            </w:pPr>
            <w:r w:rsidRPr="006C176C">
              <w:rPr>
                <w:rFonts w:eastAsia="Times New Roman" w:cs="Times New Roman"/>
                <w:color w:val="000000"/>
                <w:sz w:val="20"/>
                <w:szCs w:val="20"/>
                <w:lang w:eastAsia="lv-LV"/>
              </w:rPr>
              <w:t>6</w:t>
            </w:r>
          </w:p>
        </w:tc>
        <w:tc>
          <w:tcPr>
            <w:tcW w:w="2783" w:type="dxa"/>
            <w:tcBorders>
              <w:top w:val="nil"/>
              <w:left w:val="nil"/>
              <w:bottom w:val="nil"/>
              <w:right w:val="nil"/>
            </w:tcBorders>
            <w:shd w:val="clear" w:color="000000" w:fill="DCE6F1"/>
            <w:hideMark/>
          </w:tcPr>
          <w:p w14:paraId="17DB7CEC" w14:textId="77777777" w:rsidR="003F681B" w:rsidRPr="006C176C" w:rsidRDefault="003F681B" w:rsidP="00087737">
            <w:pPr>
              <w:spacing w:after="0" w:line="240" w:lineRule="auto"/>
              <w:ind w:firstLine="0"/>
              <w:jc w:val="left"/>
              <w:rPr>
                <w:rFonts w:cs="Times New Roman"/>
                <w:b/>
                <w:bCs/>
                <w:sz w:val="20"/>
                <w:szCs w:val="20"/>
              </w:rPr>
            </w:pPr>
            <w:r w:rsidRPr="006C176C">
              <w:rPr>
                <w:rFonts w:cs="Times New Roman"/>
                <w:b/>
                <w:bCs/>
                <w:sz w:val="20"/>
                <w:szCs w:val="20"/>
              </w:rPr>
              <w:t>Bruto parāds</w:t>
            </w:r>
          </w:p>
        </w:tc>
        <w:tc>
          <w:tcPr>
            <w:tcW w:w="1129" w:type="dxa"/>
            <w:tcBorders>
              <w:top w:val="nil"/>
              <w:left w:val="nil"/>
              <w:bottom w:val="nil"/>
              <w:right w:val="nil"/>
            </w:tcBorders>
            <w:shd w:val="clear" w:color="auto" w:fill="auto"/>
            <w:noWrap/>
            <w:vAlign w:val="center"/>
            <w:hideMark/>
          </w:tcPr>
          <w:p w14:paraId="5A54357C" w14:textId="26DCCBCA"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43,6</w:t>
            </w:r>
          </w:p>
        </w:tc>
        <w:tc>
          <w:tcPr>
            <w:tcW w:w="1129" w:type="dxa"/>
            <w:tcBorders>
              <w:top w:val="nil"/>
              <w:left w:val="nil"/>
              <w:bottom w:val="nil"/>
              <w:right w:val="nil"/>
            </w:tcBorders>
            <w:shd w:val="clear" w:color="auto" w:fill="auto"/>
            <w:noWrap/>
            <w:vAlign w:val="center"/>
            <w:hideMark/>
          </w:tcPr>
          <w:p w14:paraId="6B94C863" w14:textId="7F82C3EB"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45,8</w:t>
            </w:r>
          </w:p>
        </w:tc>
        <w:tc>
          <w:tcPr>
            <w:tcW w:w="1130" w:type="dxa"/>
            <w:tcBorders>
              <w:top w:val="nil"/>
              <w:left w:val="nil"/>
              <w:bottom w:val="nil"/>
              <w:right w:val="nil"/>
            </w:tcBorders>
            <w:shd w:val="clear" w:color="auto" w:fill="auto"/>
            <w:noWrap/>
            <w:vAlign w:val="center"/>
            <w:hideMark/>
          </w:tcPr>
          <w:p w14:paraId="45D85ED9" w14:textId="56A30FC5"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47,5</w:t>
            </w:r>
          </w:p>
        </w:tc>
        <w:tc>
          <w:tcPr>
            <w:tcW w:w="1129" w:type="dxa"/>
            <w:tcBorders>
              <w:top w:val="nil"/>
              <w:left w:val="nil"/>
              <w:bottom w:val="nil"/>
              <w:right w:val="nil"/>
            </w:tcBorders>
            <w:shd w:val="clear" w:color="auto" w:fill="auto"/>
            <w:noWrap/>
            <w:vAlign w:val="center"/>
            <w:hideMark/>
          </w:tcPr>
          <w:p w14:paraId="18BB7F6E" w14:textId="48A0ED14"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48,5</w:t>
            </w:r>
          </w:p>
        </w:tc>
        <w:tc>
          <w:tcPr>
            <w:tcW w:w="1129" w:type="dxa"/>
            <w:tcBorders>
              <w:top w:val="nil"/>
              <w:left w:val="nil"/>
              <w:bottom w:val="nil"/>
              <w:right w:val="nil"/>
            </w:tcBorders>
            <w:shd w:val="clear" w:color="auto" w:fill="auto"/>
            <w:noWrap/>
            <w:vAlign w:val="center"/>
            <w:hideMark/>
          </w:tcPr>
          <w:p w14:paraId="6C145535" w14:textId="60B40369"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49,7</w:t>
            </w:r>
          </w:p>
        </w:tc>
        <w:tc>
          <w:tcPr>
            <w:tcW w:w="1130" w:type="dxa"/>
            <w:tcBorders>
              <w:top w:val="nil"/>
              <w:left w:val="nil"/>
              <w:bottom w:val="nil"/>
              <w:right w:val="nil"/>
            </w:tcBorders>
            <w:shd w:val="clear" w:color="auto" w:fill="auto"/>
            <w:noWrap/>
            <w:vAlign w:val="center"/>
            <w:hideMark/>
          </w:tcPr>
          <w:p w14:paraId="6315BF93" w14:textId="74F3C99A"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50,8</w:t>
            </w:r>
          </w:p>
        </w:tc>
      </w:tr>
      <w:tr w:rsidR="003F681B" w:rsidRPr="002869EC" w14:paraId="209EDDD1" w14:textId="77777777" w:rsidTr="009715D9">
        <w:trPr>
          <w:trHeight w:val="300"/>
          <w:jc w:val="center"/>
        </w:trPr>
        <w:tc>
          <w:tcPr>
            <w:tcW w:w="336" w:type="dxa"/>
            <w:tcBorders>
              <w:top w:val="nil"/>
              <w:left w:val="nil"/>
              <w:bottom w:val="nil"/>
              <w:right w:val="nil"/>
            </w:tcBorders>
            <w:shd w:val="clear" w:color="000000" w:fill="95B3D7"/>
            <w:noWrap/>
            <w:vAlign w:val="bottom"/>
            <w:hideMark/>
          </w:tcPr>
          <w:p w14:paraId="7F54CF28" w14:textId="77777777" w:rsidR="003F681B" w:rsidRPr="006C176C" w:rsidRDefault="003F681B" w:rsidP="00087737">
            <w:pPr>
              <w:spacing w:after="0" w:line="240" w:lineRule="auto"/>
              <w:ind w:firstLine="0"/>
              <w:rPr>
                <w:rFonts w:eastAsia="Times New Roman" w:cs="Times New Roman"/>
                <w:color w:val="000000"/>
                <w:sz w:val="20"/>
                <w:szCs w:val="20"/>
                <w:lang w:eastAsia="lv-LV"/>
              </w:rPr>
            </w:pPr>
            <w:r w:rsidRPr="006C176C">
              <w:rPr>
                <w:rFonts w:eastAsia="Times New Roman" w:cs="Times New Roman"/>
                <w:color w:val="000000"/>
                <w:sz w:val="20"/>
                <w:szCs w:val="20"/>
                <w:lang w:eastAsia="lv-LV"/>
              </w:rPr>
              <w:t>7</w:t>
            </w:r>
          </w:p>
        </w:tc>
        <w:tc>
          <w:tcPr>
            <w:tcW w:w="2783" w:type="dxa"/>
            <w:tcBorders>
              <w:top w:val="nil"/>
              <w:left w:val="nil"/>
              <w:bottom w:val="nil"/>
              <w:right w:val="nil"/>
            </w:tcBorders>
            <w:shd w:val="clear" w:color="000000" w:fill="DCE6F1"/>
            <w:hideMark/>
          </w:tcPr>
          <w:p w14:paraId="739C36AD" w14:textId="77777777" w:rsidR="003F681B" w:rsidRPr="006C176C" w:rsidRDefault="003F681B" w:rsidP="00087737">
            <w:pPr>
              <w:spacing w:after="0" w:line="240" w:lineRule="auto"/>
              <w:ind w:firstLine="0"/>
              <w:jc w:val="left"/>
              <w:rPr>
                <w:rFonts w:eastAsia="Times New Roman" w:cs="Times New Roman"/>
                <w:b/>
                <w:bCs/>
                <w:sz w:val="20"/>
                <w:szCs w:val="20"/>
                <w:lang w:eastAsia="lv-LV"/>
              </w:rPr>
            </w:pPr>
            <w:r w:rsidRPr="006C176C">
              <w:rPr>
                <w:rFonts w:cs="Times New Roman"/>
                <w:b/>
                <w:bCs/>
                <w:sz w:val="20"/>
                <w:szCs w:val="20"/>
              </w:rPr>
              <w:t>Bruto parāda izmaiņas</w:t>
            </w:r>
          </w:p>
        </w:tc>
        <w:tc>
          <w:tcPr>
            <w:tcW w:w="1129" w:type="dxa"/>
            <w:tcBorders>
              <w:top w:val="nil"/>
              <w:left w:val="nil"/>
              <w:bottom w:val="nil"/>
              <w:right w:val="nil"/>
            </w:tcBorders>
            <w:shd w:val="clear" w:color="auto" w:fill="auto"/>
            <w:noWrap/>
            <w:vAlign w:val="center"/>
            <w:hideMark/>
          </w:tcPr>
          <w:p w14:paraId="4AEA8282" w14:textId="478A1FD1"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1,8</w:t>
            </w:r>
          </w:p>
        </w:tc>
        <w:tc>
          <w:tcPr>
            <w:tcW w:w="1129" w:type="dxa"/>
            <w:tcBorders>
              <w:top w:val="nil"/>
              <w:left w:val="nil"/>
              <w:bottom w:val="nil"/>
              <w:right w:val="nil"/>
            </w:tcBorders>
            <w:shd w:val="clear" w:color="auto" w:fill="auto"/>
            <w:noWrap/>
            <w:vAlign w:val="center"/>
            <w:hideMark/>
          </w:tcPr>
          <w:p w14:paraId="219D9237" w14:textId="18F36CF8"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2,3</w:t>
            </w:r>
          </w:p>
        </w:tc>
        <w:tc>
          <w:tcPr>
            <w:tcW w:w="1130" w:type="dxa"/>
            <w:tcBorders>
              <w:top w:val="nil"/>
              <w:left w:val="nil"/>
              <w:bottom w:val="nil"/>
              <w:right w:val="nil"/>
            </w:tcBorders>
            <w:shd w:val="clear" w:color="auto" w:fill="auto"/>
            <w:noWrap/>
            <w:vAlign w:val="center"/>
            <w:hideMark/>
          </w:tcPr>
          <w:p w14:paraId="34FF0B6B" w14:textId="4DA829FA"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1,6</w:t>
            </w:r>
          </w:p>
        </w:tc>
        <w:tc>
          <w:tcPr>
            <w:tcW w:w="1129" w:type="dxa"/>
            <w:tcBorders>
              <w:top w:val="nil"/>
              <w:left w:val="nil"/>
              <w:bottom w:val="nil"/>
              <w:right w:val="nil"/>
            </w:tcBorders>
            <w:shd w:val="clear" w:color="auto" w:fill="auto"/>
            <w:noWrap/>
            <w:vAlign w:val="center"/>
            <w:hideMark/>
          </w:tcPr>
          <w:p w14:paraId="3765CDA1" w14:textId="475F4B63"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1,1</w:t>
            </w:r>
          </w:p>
        </w:tc>
        <w:tc>
          <w:tcPr>
            <w:tcW w:w="1129" w:type="dxa"/>
            <w:tcBorders>
              <w:top w:val="nil"/>
              <w:left w:val="nil"/>
              <w:bottom w:val="nil"/>
              <w:right w:val="nil"/>
            </w:tcBorders>
            <w:shd w:val="clear" w:color="auto" w:fill="auto"/>
            <w:noWrap/>
            <w:vAlign w:val="center"/>
            <w:hideMark/>
          </w:tcPr>
          <w:p w14:paraId="578E7772" w14:textId="2DDC0090"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1,2</w:t>
            </w:r>
          </w:p>
        </w:tc>
        <w:tc>
          <w:tcPr>
            <w:tcW w:w="1130" w:type="dxa"/>
            <w:tcBorders>
              <w:top w:val="nil"/>
              <w:left w:val="nil"/>
              <w:bottom w:val="nil"/>
              <w:right w:val="nil"/>
            </w:tcBorders>
            <w:shd w:val="clear" w:color="auto" w:fill="auto"/>
            <w:noWrap/>
            <w:vAlign w:val="center"/>
            <w:hideMark/>
          </w:tcPr>
          <w:p w14:paraId="0F894814" w14:textId="6C0E67DB" w:rsidR="003F681B" w:rsidRPr="004D0587" w:rsidRDefault="003F681B" w:rsidP="00087737">
            <w:pPr>
              <w:spacing w:after="0" w:line="240" w:lineRule="auto"/>
              <w:ind w:firstLine="0"/>
              <w:jc w:val="center"/>
              <w:rPr>
                <w:rFonts w:eastAsia="Times New Roman" w:cs="Times New Roman"/>
                <w:color w:val="000000"/>
                <w:sz w:val="20"/>
                <w:szCs w:val="20"/>
                <w:lang w:eastAsia="lv-LV"/>
              </w:rPr>
            </w:pPr>
            <w:r w:rsidRPr="004D0587">
              <w:rPr>
                <w:rFonts w:cs="Times New Roman"/>
                <w:sz w:val="20"/>
                <w:szCs w:val="20"/>
              </w:rPr>
              <w:t>1,2</w:t>
            </w:r>
          </w:p>
        </w:tc>
      </w:tr>
    </w:tbl>
    <w:p w14:paraId="1B13B2A7" w14:textId="77777777" w:rsidR="0017025D" w:rsidRDefault="0017025D" w:rsidP="00087737">
      <w:pPr>
        <w:spacing w:after="0" w:line="240" w:lineRule="auto"/>
        <w:ind w:firstLine="0"/>
        <w:rPr>
          <w:b/>
          <w:bCs/>
          <w:smallCaps/>
          <w:szCs w:val="20"/>
        </w:rPr>
      </w:pPr>
    </w:p>
    <w:p w14:paraId="469E23DE" w14:textId="05800385" w:rsidR="00CA3D16" w:rsidRDefault="0034054B" w:rsidP="00087737">
      <w:pPr>
        <w:spacing w:line="240" w:lineRule="auto"/>
        <w:ind w:left="720"/>
        <w:jc w:val="right"/>
        <w:rPr>
          <w:rFonts w:cs="Times New Roman"/>
          <w:b/>
          <w:bCs/>
          <w:szCs w:val="20"/>
          <w:lang w:eastAsia="lv-LV"/>
        </w:rPr>
      </w:pPr>
      <w:r w:rsidRPr="002869EC">
        <w:rPr>
          <w:b/>
          <w:bCs/>
          <w:smallCaps/>
          <w:szCs w:val="20"/>
        </w:rPr>
        <w:t xml:space="preserve"> </w:t>
      </w:r>
      <w:r w:rsidR="00CA3D16" w:rsidRPr="002869EC">
        <w:rPr>
          <w:rFonts w:cs="Times New Roman"/>
          <w:b/>
          <w:bCs/>
          <w:szCs w:val="20"/>
          <w:lang w:eastAsia="lv-LV"/>
        </w:rPr>
        <w:t>2. tabula. Makroekonomiskais scenārijs</w:t>
      </w:r>
    </w:p>
    <w:tbl>
      <w:tblPr>
        <w:tblW w:w="10622" w:type="dxa"/>
        <w:jc w:val="center"/>
        <w:tblLook w:val="04A0" w:firstRow="1" w:lastRow="0" w:firstColumn="1" w:lastColumn="0" w:noHBand="0" w:noVBand="1"/>
      </w:tblPr>
      <w:tblGrid>
        <w:gridCol w:w="1980"/>
        <w:gridCol w:w="860"/>
        <w:gridCol w:w="1080"/>
        <w:gridCol w:w="1094"/>
        <w:gridCol w:w="1094"/>
        <w:gridCol w:w="1094"/>
        <w:gridCol w:w="1094"/>
        <w:gridCol w:w="1094"/>
        <w:gridCol w:w="1094"/>
        <w:gridCol w:w="277"/>
      </w:tblGrid>
      <w:tr w:rsidR="008A29F6" w:rsidRPr="004E21A0" w14:paraId="1A19D877" w14:textId="77777777" w:rsidTr="008403D0">
        <w:trPr>
          <w:gridAfter w:val="1"/>
          <w:wAfter w:w="222" w:type="dxa"/>
          <w:trHeight w:val="315"/>
          <w:tblHeader/>
          <w:jc w:val="center"/>
        </w:trPr>
        <w:tc>
          <w:tcPr>
            <w:tcW w:w="1980" w:type="dxa"/>
            <w:tcBorders>
              <w:top w:val="nil"/>
              <w:left w:val="nil"/>
              <w:bottom w:val="nil"/>
              <w:right w:val="nil"/>
            </w:tcBorders>
            <w:shd w:val="clear" w:color="auto" w:fill="95B3D7"/>
            <w:noWrap/>
            <w:vAlign w:val="bottom"/>
            <w:hideMark/>
          </w:tcPr>
          <w:p w14:paraId="03BEAB14"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c>
          <w:tcPr>
            <w:tcW w:w="860" w:type="dxa"/>
            <w:tcBorders>
              <w:top w:val="nil"/>
              <w:left w:val="nil"/>
              <w:bottom w:val="nil"/>
              <w:right w:val="nil"/>
            </w:tcBorders>
            <w:shd w:val="clear" w:color="auto" w:fill="95B3D7"/>
            <w:noWrap/>
            <w:vAlign w:val="bottom"/>
            <w:hideMark/>
          </w:tcPr>
          <w:p w14:paraId="44B5CCB9"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c>
          <w:tcPr>
            <w:tcW w:w="1080" w:type="dxa"/>
            <w:tcBorders>
              <w:top w:val="nil"/>
              <w:left w:val="nil"/>
              <w:bottom w:val="nil"/>
              <w:right w:val="nil"/>
            </w:tcBorders>
            <w:shd w:val="clear" w:color="000000" w:fill="95B3D7"/>
            <w:noWrap/>
            <w:vAlign w:val="center"/>
            <w:hideMark/>
          </w:tcPr>
          <w:p w14:paraId="0D7BA05D" w14:textId="77777777"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2023</w:t>
            </w:r>
          </w:p>
        </w:tc>
        <w:tc>
          <w:tcPr>
            <w:tcW w:w="1080" w:type="dxa"/>
            <w:tcBorders>
              <w:top w:val="nil"/>
              <w:left w:val="nil"/>
              <w:bottom w:val="nil"/>
              <w:right w:val="nil"/>
            </w:tcBorders>
            <w:shd w:val="clear" w:color="000000" w:fill="95B3D7"/>
            <w:noWrap/>
            <w:vAlign w:val="center"/>
            <w:hideMark/>
          </w:tcPr>
          <w:p w14:paraId="5AC3CA61" w14:textId="77777777"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2023</w:t>
            </w:r>
          </w:p>
        </w:tc>
        <w:tc>
          <w:tcPr>
            <w:tcW w:w="1080" w:type="dxa"/>
            <w:tcBorders>
              <w:top w:val="nil"/>
              <w:left w:val="nil"/>
              <w:bottom w:val="nil"/>
              <w:right w:val="nil"/>
            </w:tcBorders>
            <w:shd w:val="clear" w:color="000000" w:fill="95B3D7"/>
            <w:noWrap/>
            <w:vAlign w:val="center"/>
            <w:hideMark/>
          </w:tcPr>
          <w:p w14:paraId="2437C6BA" w14:textId="77777777"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2024</w:t>
            </w:r>
          </w:p>
        </w:tc>
        <w:tc>
          <w:tcPr>
            <w:tcW w:w="1080" w:type="dxa"/>
            <w:tcBorders>
              <w:top w:val="nil"/>
              <w:left w:val="nil"/>
              <w:bottom w:val="nil"/>
              <w:right w:val="nil"/>
            </w:tcBorders>
            <w:shd w:val="clear" w:color="000000" w:fill="95B3D7"/>
            <w:noWrap/>
            <w:vAlign w:val="center"/>
            <w:hideMark/>
          </w:tcPr>
          <w:p w14:paraId="0ACF9F19" w14:textId="77777777"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2025</w:t>
            </w:r>
          </w:p>
        </w:tc>
        <w:tc>
          <w:tcPr>
            <w:tcW w:w="1080" w:type="dxa"/>
            <w:tcBorders>
              <w:top w:val="nil"/>
              <w:left w:val="nil"/>
              <w:bottom w:val="nil"/>
              <w:right w:val="nil"/>
            </w:tcBorders>
            <w:shd w:val="clear" w:color="000000" w:fill="95B3D7"/>
            <w:noWrap/>
            <w:vAlign w:val="center"/>
            <w:hideMark/>
          </w:tcPr>
          <w:p w14:paraId="5A17272C" w14:textId="77777777"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2026</w:t>
            </w:r>
          </w:p>
        </w:tc>
        <w:tc>
          <w:tcPr>
            <w:tcW w:w="1080" w:type="dxa"/>
            <w:tcBorders>
              <w:top w:val="nil"/>
              <w:left w:val="nil"/>
              <w:bottom w:val="nil"/>
              <w:right w:val="nil"/>
            </w:tcBorders>
            <w:shd w:val="clear" w:color="000000" w:fill="95B3D7"/>
            <w:noWrap/>
            <w:vAlign w:val="center"/>
            <w:hideMark/>
          </w:tcPr>
          <w:p w14:paraId="45469974" w14:textId="77777777"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2027</w:t>
            </w:r>
          </w:p>
        </w:tc>
        <w:tc>
          <w:tcPr>
            <w:tcW w:w="1080" w:type="dxa"/>
            <w:tcBorders>
              <w:top w:val="nil"/>
              <w:left w:val="nil"/>
              <w:bottom w:val="nil"/>
              <w:right w:val="nil"/>
            </w:tcBorders>
            <w:shd w:val="clear" w:color="000000" w:fill="95B3D7"/>
            <w:noWrap/>
            <w:vAlign w:val="center"/>
            <w:hideMark/>
          </w:tcPr>
          <w:p w14:paraId="4079C225" w14:textId="77777777"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2028</w:t>
            </w:r>
          </w:p>
        </w:tc>
      </w:tr>
      <w:tr w:rsidR="008A29F6" w:rsidRPr="004E21A0" w14:paraId="52D42BD6" w14:textId="77777777" w:rsidTr="00893C9C">
        <w:trPr>
          <w:gridAfter w:val="1"/>
          <w:wAfter w:w="222" w:type="dxa"/>
          <w:trHeight w:val="450"/>
          <w:jc w:val="center"/>
        </w:trPr>
        <w:tc>
          <w:tcPr>
            <w:tcW w:w="1980" w:type="dxa"/>
            <w:tcBorders>
              <w:top w:val="nil"/>
              <w:left w:val="nil"/>
              <w:bottom w:val="nil"/>
              <w:right w:val="nil"/>
            </w:tcBorders>
            <w:shd w:val="clear" w:color="000000" w:fill="95B3D7"/>
            <w:noWrap/>
            <w:vAlign w:val="center"/>
            <w:hideMark/>
          </w:tcPr>
          <w:p w14:paraId="6C920A98"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xml:space="preserve">IKP </w:t>
            </w:r>
          </w:p>
        </w:tc>
        <w:tc>
          <w:tcPr>
            <w:tcW w:w="860" w:type="dxa"/>
            <w:tcBorders>
              <w:top w:val="nil"/>
              <w:left w:val="nil"/>
              <w:bottom w:val="nil"/>
              <w:right w:val="nil"/>
            </w:tcBorders>
            <w:shd w:val="clear" w:color="000000" w:fill="95B3D7"/>
            <w:noWrap/>
            <w:vAlign w:val="center"/>
            <w:hideMark/>
          </w:tcPr>
          <w:p w14:paraId="39AD605B" w14:textId="77777777" w:rsidR="008A29F6" w:rsidRPr="004E21A0" w:rsidRDefault="008A29F6" w:rsidP="007436A0">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EKS kods</w:t>
            </w:r>
          </w:p>
        </w:tc>
        <w:tc>
          <w:tcPr>
            <w:tcW w:w="1080" w:type="dxa"/>
            <w:tcBorders>
              <w:top w:val="nil"/>
              <w:left w:val="nil"/>
              <w:bottom w:val="nil"/>
              <w:right w:val="nil"/>
            </w:tcBorders>
            <w:shd w:val="clear" w:color="000000" w:fill="95B3D7"/>
            <w:vAlign w:val="center"/>
            <w:hideMark/>
          </w:tcPr>
          <w:p w14:paraId="4B5655B4" w14:textId="0F8DBD78"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VV ml</w:t>
            </w:r>
            <w:r w:rsidR="00087737">
              <w:rPr>
                <w:rFonts w:eastAsia="Times New Roman" w:cs="Times New Roman"/>
                <w:color w:val="000000"/>
                <w:sz w:val="20"/>
                <w:szCs w:val="20"/>
                <w:lang w:eastAsia="lv-LV"/>
              </w:rPr>
              <w:t>jr</w:t>
            </w:r>
            <w:r w:rsidRPr="004E21A0">
              <w:rPr>
                <w:rFonts w:eastAsia="Times New Roman" w:cs="Times New Roman"/>
                <w:color w:val="000000"/>
                <w:sz w:val="20"/>
                <w:szCs w:val="20"/>
                <w:lang w:eastAsia="lv-LV"/>
              </w:rPr>
              <w:t>d.</w:t>
            </w:r>
          </w:p>
        </w:tc>
        <w:tc>
          <w:tcPr>
            <w:tcW w:w="1080" w:type="dxa"/>
            <w:tcBorders>
              <w:top w:val="nil"/>
              <w:left w:val="nil"/>
              <w:bottom w:val="nil"/>
              <w:right w:val="nil"/>
            </w:tcBorders>
            <w:shd w:val="clear" w:color="000000" w:fill="95B3D7"/>
            <w:vAlign w:val="center"/>
            <w:hideMark/>
          </w:tcPr>
          <w:p w14:paraId="4A22C1A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326B95F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6464A8A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04A5ED0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6C83C6E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1672EBE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r>
      <w:tr w:rsidR="0078217A" w:rsidRPr="004E21A0" w14:paraId="1E8A3D4F" w14:textId="77777777" w:rsidTr="004D0587">
        <w:trPr>
          <w:gridAfter w:val="1"/>
          <w:wAfter w:w="222" w:type="dxa"/>
          <w:trHeight w:val="315"/>
          <w:jc w:val="center"/>
        </w:trPr>
        <w:tc>
          <w:tcPr>
            <w:tcW w:w="1980" w:type="dxa"/>
            <w:tcBorders>
              <w:top w:val="nil"/>
              <w:left w:val="nil"/>
              <w:bottom w:val="nil"/>
              <w:right w:val="nil"/>
            </w:tcBorders>
            <w:shd w:val="clear" w:color="000000" w:fill="DCE6F1"/>
            <w:vAlign w:val="center"/>
            <w:hideMark/>
          </w:tcPr>
          <w:p w14:paraId="30DFF45A" w14:textId="77777777" w:rsidR="0078217A" w:rsidRPr="004E21A0" w:rsidRDefault="0078217A"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Reālais IKP</w:t>
            </w:r>
          </w:p>
        </w:tc>
        <w:tc>
          <w:tcPr>
            <w:tcW w:w="860" w:type="dxa"/>
            <w:tcBorders>
              <w:top w:val="nil"/>
              <w:left w:val="nil"/>
              <w:bottom w:val="nil"/>
              <w:right w:val="nil"/>
            </w:tcBorders>
            <w:shd w:val="clear" w:color="000000" w:fill="DCE6F1"/>
            <w:vAlign w:val="center"/>
            <w:hideMark/>
          </w:tcPr>
          <w:p w14:paraId="1AADFD3C" w14:textId="77777777" w:rsidR="0078217A" w:rsidRPr="004E21A0" w:rsidRDefault="0078217A"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B1*g</w:t>
            </w:r>
          </w:p>
        </w:tc>
        <w:tc>
          <w:tcPr>
            <w:tcW w:w="1080" w:type="dxa"/>
            <w:tcBorders>
              <w:top w:val="nil"/>
              <w:left w:val="nil"/>
              <w:bottom w:val="nil"/>
              <w:right w:val="nil"/>
            </w:tcBorders>
            <w:shd w:val="clear" w:color="000000" w:fill="F2F2F2"/>
            <w:vAlign w:val="center"/>
            <w:hideMark/>
          </w:tcPr>
          <w:p w14:paraId="1FD8A6CA" w14:textId="77777777" w:rsidR="0078217A" w:rsidRPr="004E21A0" w:rsidRDefault="0078217A"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55834B81" w14:textId="77777777" w:rsidR="0078217A" w:rsidRPr="004E21A0" w:rsidRDefault="0078217A"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-0,3</w:t>
            </w:r>
          </w:p>
        </w:tc>
        <w:tc>
          <w:tcPr>
            <w:tcW w:w="1080" w:type="dxa"/>
            <w:tcBorders>
              <w:top w:val="nil"/>
              <w:left w:val="nil"/>
              <w:bottom w:val="nil"/>
              <w:right w:val="nil"/>
            </w:tcBorders>
            <w:shd w:val="clear" w:color="auto" w:fill="auto"/>
            <w:noWrap/>
            <w:vAlign w:val="center"/>
            <w:hideMark/>
          </w:tcPr>
          <w:p w14:paraId="28F46F94" w14:textId="77777777" w:rsidR="0078217A" w:rsidRPr="004E21A0" w:rsidRDefault="0078217A"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1,4</w:t>
            </w:r>
          </w:p>
        </w:tc>
        <w:tc>
          <w:tcPr>
            <w:tcW w:w="1080" w:type="dxa"/>
            <w:tcBorders>
              <w:top w:val="nil"/>
              <w:left w:val="nil"/>
              <w:bottom w:val="nil"/>
              <w:right w:val="nil"/>
            </w:tcBorders>
            <w:shd w:val="clear" w:color="auto" w:fill="auto"/>
            <w:noWrap/>
            <w:hideMark/>
          </w:tcPr>
          <w:p w14:paraId="446940D4" w14:textId="5FB76C14" w:rsidR="0078217A" w:rsidRPr="004E21A0" w:rsidRDefault="0078217A"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2,9</w:t>
            </w:r>
          </w:p>
        </w:tc>
        <w:tc>
          <w:tcPr>
            <w:tcW w:w="1080" w:type="dxa"/>
            <w:tcBorders>
              <w:top w:val="nil"/>
              <w:left w:val="nil"/>
              <w:bottom w:val="nil"/>
              <w:right w:val="nil"/>
            </w:tcBorders>
            <w:shd w:val="clear" w:color="auto" w:fill="auto"/>
            <w:noWrap/>
            <w:hideMark/>
          </w:tcPr>
          <w:p w14:paraId="14E8EA79" w14:textId="733262A0" w:rsidR="0078217A" w:rsidRPr="004E21A0" w:rsidRDefault="0078217A"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1,6</w:t>
            </w:r>
          </w:p>
        </w:tc>
        <w:tc>
          <w:tcPr>
            <w:tcW w:w="1080" w:type="dxa"/>
            <w:tcBorders>
              <w:top w:val="nil"/>
              <w:left w:val="nil"/>
              <w:bottom w:val="nil"/>
              <w:right w:val="nil"/>
            </w:tcBorders>
            <w:shd w:val="clear" w:color="auto" w:fill="auto"/>
            <w:noWrap/>
            <w:hideMark/>
          </w:tcPr>
          <w:p w14:paraId="4677D52F" w14:textId="38424431" w:rsidR="0078217A" w:rsidRPr="004E21A0" w:rsidRDefault="0078217A"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1,2</w:t>
            </w:r>
          </w:p>
        </w:tc>
        <w:tc>
          <w:tcPr>
            <w:tcW w:w="1080" w:type="dxa"/>
            <w:tcBorders>
              <w:top w:val="nil"/>
              <w:left w:val="nil"/>
              <w:bottom w:val="nil"/>
              <w:right w:val="nil"/>
            </w:tcBorders>
            <w:shd w:val="clear" w:color="auto" w:fill="auto"/>
            <w:noWrap/>
            <w:hideMark/>
          </w:tcPr>
          <w:p w14:paraId="7E3A52DF" w14:textId="429B31AB" w:rsidR="0078217A" w:rsidRPr="004E21A0" w:rsidRDefault="0078217A"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1,1</w:t>
            </w:r>
          </w:p>
        </w:tc>
      </w:tr>
      <w:tr w:rsidR="008A29F6" w:rsidRPr="004E21A0" w14:paraId="2B03AC9C" w14:textId="77777777" w:rsidTr="004D0587">
        <w:trPr>
          <w:gridAfter w:val="1"/>
          <w:wAfter w:w="222" w:type="dxa"/>
          <w:trHeight w:val="315"/>
          <w:jc w:val="center"/>
        </w:trPr>
        <w:tc>
          <w:tcPr>
            <w:tcW w:w="1980" w:type="dxa"/>
            <w:tcBorders>
              <w:top w:val="nil"/>
              <w:left w:val="nil"/>
              <w:bottom w:val="nil"/>
              <w:right w:val="nil"/>
            </w:tcBorders>
            <w:shd w:val="clear" w:color="000000" w:fill="DCE6F1"/>
            <w:vAlign w:val="center"/>
            <w:hideMark/>
          </w:tcPr>
          <w:p w14:paraId="385EC2C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IKP </w:t>
            </w:r>
            <w:proofErr w:type="spellStart"/>
            <w:r w:rsidRPr="004E21A0">
              <w:rPr>
                <w:rFonts w:eastAsia="Times New Roman" w:cs="Times New Roman"/>
                <w:color w:val="000000"/>
                <w:sz w:val="20"/>
                <w:szCs w:val="20"/>
                <w:lang w:eastAsia="lv-LV"/>
              </w:rPr>
              <w:t>deflators</w:t>
            </w:r>
            <w:proofErr w:type="spellEnd"/>
          </w:p>
        </w:tc>
        <w:tc>
          <w:tcPr>
            <w:tcW w:w="860" w:type="dxa"/>
            <w:tcBorders>
              <w:top w:val="nil"/>
              <w:left w:val="nil"/>
              <w:bottom w:val="nil"/>
              <w:right w:val="nil"/>
            </w:tcBorders>
            <w:shd w:val="clear" w:color="000000" w:fill="DCE6F1"/>
            <w:vAlign w:val="center"/>
            <w:hideMark/>
          </w:tcPr>
          <w:p w14:paraId="26627C1F"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vAlign w:val="center"/>
            <w:hideMark/>
          </w:tcPr>
          <w:p w14:paraId="2B407D77"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641A0DA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5,4</w:t>
            </w:r>
          </w:p>
        </w:tc>
        <w:tc>
          <w:tcPr>
            <w:tcW w:w="1080" w:type="dxa"/>
            <w:tcBorders>
              <w:top w:val="nil"/>
              <w:left w:val="nil"/>
              <w:bottom w:val="nil"/>
              <w:right w:val="nil"/>
            </w:tcBorders>
            <w:shd w:val="clear" w:color="auto" w:fill="auto"/>
            <w:noWrap/>
            <w:vAlign w:val="center"/>
            <w:hideMark/>
          </w:tcPr>
          <w:p w14:paraId="568AAE3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2,4</w:t>
            </w:r>
          </w:p>
        </w:tc>
        <w:tc>
          <w:tcPr>
            <w:tcW w:w="1080" w:type="dxa"/>
            <w:tcBorders>
              <w:top w:val="nil"/>
              <w:left w:val="nil"/>
              <w:bottom w:val="nil"/>
              <w:right w:val="nil"/>
            </w:tcBorders>
            <w:shd w:val="clear" w:color="auto" w:fill="auto"/>
            <w:noWrap/>
            <w:vAlign w:val="center"/>
            <w:hideMark/>
          </w:tcPr>
          <w:p w14:paraId="21493E3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2,5</w:t>
            </w:r>
          </w:p>
        </w:tc>
        <w:tc>
          <w:tcPr>
            <w:tcW w:w="1080" w:type="dxa"/>
            <w:tcBorders>
              <w:top w:val="nil"/>
              <w:left w:val="nil"/>
              <w:bottom w:val="nil"/>
              <w:right w:val="nil"/>
            </w:tcBorders>
            <w:shd w:val="clear" w:color="auto" w:fill="auto"/>
            <w:noWrap/>
            <w:vAlign w:val="center"/>
            <w:hideMark/>
          </w:tcPr>
          <w:p w14:paraId="11E437C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2,5</w:t>
            </w:r>
          </w:p>
        </w:tc>
        <w:tc>
          <w:tcPr>
            <w:tcW w:w="1080" w:type="dxa"/>
            <w:tcBorders>
              <w:top w:val="nil"/>
              <w:left w:val="nil"/>
              <w:bottom w:val="nil"/>
              <w:right w:val="nil"/>
            </w:tcBorders>
            <w:shd w:val="clear" w:color="auto" w:fill="auto"/>
            <w:noWrap/>
            <w:vAlign w:val="center"/>
            <w:hideMark/>
          </w:tcPr>
          <w:p w14:paraId="7B3C431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2,5</w:t>
            </w:r>
          </w:p>
        </w:tc>
        <w:tc>
          <w:tcPr>
            <w:tcW w:w="1080" w:type="dxa"/>
            <w:tcBorders>
              <w:top w:val="nil"/>
              <w:left w:val="nil"/>
              <w:bottom w:val="nil"/>
              <w:right w:val="nil"/>
            </w:tcBorders>
            <w:shd w:val="clear" w:color="auto" w:fill="auto"/>
            <w:noWrap/>
            <w:vAlign w:val="center"/>
            <w:hideMark/>
          </w:tcPr>
          <w:p w14:paraId="51E721A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2,5</w:t>
            </w:r>
          </w:p>
        </w:tc>
      </w:tr>
      <w:tr w:rsidR="008A29F6" w:rsidRPr="004E21A0" w14:paraId="6AA78821" w14:textId="77777777" w:rsidTr="004D0587">
        <w:trPr>
          <w:gridAfter w:val="1"/>
          <w:wAfter w:w="222" w:type="dxa"/>
          <w:trHeight w:val="315"/>
          <w:jc w:val="center"/>
        </w:trPr>
        <w:tc>
          <w:tcPr>
            <w:tcW w:w="1980" w:type="dxa"/>
            <w:tcBorders>
              <w:top w:val="nil"/>
              <w:left w:val="nil"/>
              <w:bottom w:val="nil"/>
              <w:right w:val="nil"/>
            </w:tcBorders>
            <w:shd w:val="clear" w:color="000000" w:fill="DCE6F1"/>
            <w:vAlign w:val="center"/>
            <w:hideMark/>
          </w:tcPr>
          <w:p w14:paraId="4701B071"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Nominālais IKP</w:t>
            </w:r>
          </w:p>
        </w:tc>
        <w:tc>
          <w:tcPr>
            <w:tcW w:w="860" w:type="dxa"/>
            <w:tcBorders>
              <w:top w:val="nil"/>
              <w:left w:val="nil"/>
              <w:bottom w:val="nil"/>
              <w:right w:val="nil"/>
            </w:tcBorders>
            <w:shd w:val="clear" w:color="000000" w:fill="DCE6F1"/>
            <w:vAlign w:val="center"/>
            <w:hideMark/>
          </w:tcPr>
          <w:p w14:paraId="26DABBBD"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B1*g</w:t>
            </w:r>
          </w:p>
        </w:tc>
        <w:tc>
          <w:tcPr>
            <w:tcW w:w="1080" w:type="dxa"/>
            <w:tcBorders>
              <w:top w:val="nil"/>
              <w:left w:val="nil"/>
              <w:bottom w:val="nil"/>
              <w:right w:val="nil"/>
            </w:tcBorders>
            <w:shd w:val="clear" w:color="auto" w:fill="auto"/>
            <w:vAlign w:val="center"/>
            <w:hideMark/>
          </w:tcPr>
          <w:p w14:paraId="30610F9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40,3</w:t>
            </w:r>
          </w:p>
        </w:tc>
        <w:tc>
          <w:tcPr>
            <w:tcW w:w="1080" w:type="dxa"/>
            <w:tcBorders>
              <w:top w:val="nil"/>
              <w:left w:val="nil"/>
              <w:bottom w:val="nil"/>
              <w:right w:val="nil"/>
            </w:tcBorders>
            <w:shd w:val="clear" w:color="auto" w:fill="auto"/>
            <w:noWrap/>
            <w:vAlign w:val="center"/>
            <w:hideMark/>
          </w:tcPr>
          <w:p w14:paraId="169FC3B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5,1</w:t>
            </w:r>
          </w:p>
        </w:tc>
        <w:tc>
          <w:tcPr>
            <w:tcW w:w="1080" w:type="dxa"/>
            <w:tcBorders>
              <w:top w:val="nil"/>
              <w:left w:val="nil"/>
              <w:bottom w:val="nil"/>
              <w:right w:val="nil"/>
            </w:tcBorders>
            <w:shd w:val="clear" w:color="auto" w:fill="auto"/>
            <w:noWrap/>
            <w:vAlign w:val="center"/>
            <w:hideMark/>
          </w:tcPr>
          <w:p w14:paraId="0A24DFC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3,8</w:t>
            </w:r>
          </w:p>
        </w:tc>
        <w:tc>
          <w:tcPr>
            <w:tcW w:w="1080" w:type="dxa"/>
            <w:tcBorders>
              <w:top w:val="nil"/>
              <w:left w:val="nil"/>
              <w:bottom w:val="nil"/>
              <w:right w:val="nil"/>
            </w:tcBorders>
            <w:shd w:val="clear" w:color="auto" w:fill="auto"/>
            <w:noWrap/>
            <w:vAlign w:val="center"/>
            <w:hideMark/>
          </w:tcPr>
          <w:p w14:paraId="43A8F4D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5,5</w:t>
            </w:r>
          </w:p>
        </w:tc>
        <w:tc>
          <w:tcPr>
            <w:tcW w:w="1080" w:type="dxa"/>
            <w:tcBorders>
              <w:top w:val="nil"/>
              <w:left w:val="nil"/>
              <w:bottom w:val="nil"/>
              <w:right w:val="nil"/>
            </w:tcBorders>
            <w:shd w:val="clear" w:color="auto" w:fill="auto"/>
            <w:noWrap/>
            <w:vAlign w:val="center"/>
            <w:hideMark/>
          </w:tcPr>
          <w:p w14:paraId="43C67E8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4,1</w:t>
            </w:r>
          </w:p>
        </w:tc>
        <w:tc>
          <w:tcPr>
            <w:tcW w:w="1080" w:type="dxa"/>
            <w:tcBorders>
              <w:top w:val="nil"/>
              <w:left w:val="nil"/>
              <w:bottom w:val="nil"/>
              <w:right w:val="nil"/>
            </w:tcBorders>
            <w:shd w:val="clear" w:color="auto" w:fill="auto"/>
            <w:noWrap/>
            <w:vAlign w:val="center"/>
            <w:hideMark/>
          </w:tcPr>
          <w:p w14:paraId="30F0DC6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3,7</w:t>
            </w:r>
          </w:p>
        </w:tc>
        <w:tc>
          <w:tcPr>
            <w:tcW w:w="1080" w:type="dxa"/>
            <w:tcBorders>
              <w:top w:val="nil"/>
              <w:left w:val="nil"/>
              <w:bottom w:val="nil"/>
              <w:right w:val="nil"/>
            </w:tcBorders>
            <w:shd w:val="clear" w:color="auto" w:fill="auto"/>
            <w:noWrap/>
            <w:vAlign w:val="center"/>
            <w:hideMark/>
          </w:tcPr>
          <w:p w14:paraId="23435F3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3,6</w:t>
            </w:r>
          </w:p>
        </w:tc>
      </w:tr>
      <w:tr w:rsidR="008A29F6" w:rsidRPr="004E21A0" w14:paraId="4A4908C3" w14:textId="77777777" w:rsidTr="00893C9C">
        <w:trPr>
          <w:gridAfter w:val="1"/>
          <w:wAfter w:w="222" w:type="dxa"/>
          <w:trHeight w:val="450"/>
          <w:jc w:val="center"/>
        </w:trPr>
        <w:tc>
          <w:tcPr>
            <w:tcW w:w="1980" w:type="dxa"/>
            <w:tcBorders>
              <w:top w:val="nil"/>
              <w:left w:val="nil"/>
              <w:bottom w:val="nil"/>
              <w:right w:val="nil"/>
            </w:tcBorders>
            <w:shd w:val="clear" w:color="000000" w:fill="95B3D7"/>
            <w:vAlign w:val="center"/>
            <w:hideMark/>
          </w:tcPr>
          <w:p w14:paraId="381E5612"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lastRenderedPageBreak/>
              <w:t>Reālā IKP komponents</w:t>
            </w:r>
          </w:p>
        </w:tc>
        <w:tc>
          <w:tcPr>
            <w:tcW w:w="860" w:type="dxa"/>
            <w:tcBorders>
              <w:top w:val="nil"/>
              <w:left w:val="nil"/>
              <w:bottom w:val="nil"/>
              <w:right w:val="nil"/>
            </w:tcBorders>
            <w:shd w:val="clear" w:color="000000" w:fill="95B3D7"/>
            <w:noWrap/>
            <w:vAlign w:val="center"/>
            <w:hideMark/>
          </w:tcPr>
          <w:p w14:paraId="7ED8C295"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EKS kods</w:t>
            </w:r>
          </w:p>
        </w:tc>
        <w:tc>
          <w:tcPr>
            <w:tcW w:w="1080" w:type="dxa"/>
            <w:tcBorders>
              <w:top w:val="nil"/>
              <w:left w:val="nil"/>
              <w:bottom w:val="nil"/>
              <w:right w:val="nil"/>
            </w:tcBorders>
            <w:shd w:val="clear" w:color="000000" w:fill="95B3D7"/>
            <w:vAlign w:val="center"/>
            <w:hideMark/>
          </w:tcPr>
          <w:p w14:paraId="5CADCA5C" w14:textId="6DB2EDE4"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VV ml</w:t>
            </w:r>
            <w:r w:rsidR="00087737">
              <w:rPr>
                <w:rFonts w:eastAsia="Times New Roman" w:cs="Times New Roman"/>
                <w:color w:val="000000"/>
                <w:sz w:val="20"/>
                <w:szCs w:val="20"/>
                <w:lang w:eastAsia="lv-LV"/>
              </w:rPr>
              <w:t>jr</w:t>
            </w:r>
            <w:r w:rsidRPr="004E21A0">
              <w:rPr>
                <w:rFonts w:eastAsia="Times New Roman" w:cs="Times New Roman"/>
                <w:color w:val="000000"/>
                <w:sz w:val="20"/>
                <w:szCs w:val="20"/>
                <w:lang w:eastAsia="lv-LV"/>
              </w:rPr>
              <w:t>d.</w:t>
            </w:r>
          </w:p>
        </w:tc>
        <w:tc>
          <w:tcPr>
            <w:tcW w:w="1080" w:type="dxa"/>
            <w:tcBorders>
              <w:top w:val="nil"/>
              <w:left w:val="nil"/>
              <w:bottom w:val="nil"/>
              <w:right w:val="nil"/>
            </w:tcBorders>
            <w:shd w:val="clear" w:color="000000" w:fill="95B3D7"/>
            <w:vAlign w:val="center"/>
            <w:hideMark/>
          </w:tcPr>
          <w:p w14:paraId="12390B8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317D222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2893E44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4CA9FEF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30A63A6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741AFC2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r>
      <w:tr w:rsidR="00893C9C" w:rsidRPr="004E21A0" w14:paraId="372B01A8"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6EE20684"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Privātā patēriņa izdevumi</w:t>
            </w:r>
          </w:p>
        </w:tc>
        <w:tc>
          <w:tcPr>
            <w:tcW w:w="860" w:type="dxa"/>
            <w:tcBorders>
              <w:top w:val="nil"/>
              <w:left w:val="nil"/>
              <w:bottom w:val="nil"/>
              <w:right w:val="nil"/>
            </w:tcBorders>
            <w:shd w:val="clear" w:color="000000" w:fill="DCE6F1"/>
            <w:vAlign w:val="center"/>
            <w:hideMark/>
          </w:tcPr>
          <w:p w14:paraId="7020E272"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P.3</w:t>
            </w:r>
          </w:p>
        </w:tc>
        <w:tc>
          <w:tcPr>
            <w:tcW w:w="1080" w:type="dxa"/>
            <w:tcBorders>
              <w:top w:val="nil"/>
              <w:left w:val="nil"/>
              <w:bottom w:val="nil"/>
              <w:right w:val="nil"/>
            </w:tcBorders>
            <w:shd w:val="clear" w:color="000000" w:fill="F2F2F2"/>
            <w:vAlign w:val="center"/>
            <w:hideMark/>
          </w:tcPr>
          <w:p w14:paraId="389C3037"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5AF2911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-1,3</w:t>
            </w:r>
          </w:p>
        </w:tc>
        <w:tc>
          <w:tcPr>
            <w:tcW w:w="1080" w:type="dxa"/>
            <w:tcBorders>
              <w:top w:val="nil"/>
              <w:left w:val="nil"/>
              <w:bottom w:val="nil"/>
              <w:right w:val="nil"/>
            </w:tcBorders>
            <w:shd w:val="clear" w:color="auto" w:fill="auto"/>
            <w:noWrap/>
            <w:vAlign w:val="center"/>
            <w:hideMark/>
          </w:tcPr>
          <w:p w14:paraId="26B5C4E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1,6</w:t>
            </w:r>
          </w:p>
        </w:tc>
        <w:tc>
          <w:tcPr>
            <w:tcW w:w="1080" w:type="dxa"/>
            <w:tcBorders>
              <w:top w:val="nil"/>
              <w:left w:val="nil"/>
              <w:bottom w:val="nil"/>
              <w:right w:val="nil"/>
            </w:tcBorders>
            <w:shd w:val="clear" w:color="000000" w:fill="F2F2F2"/>
            <w:noWrap/>
            <w:vAlign w:val="center"/>
            <w:hideMark/>
          </w:tcPr>
          <w:p w14:paraId="2650853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7A12CBD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E2300E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FE652E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93C9C" w:rsidRPr="004E21A0" w14:paraId="6B8BE243"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7C9D4BFC"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Valdības patēriņa izdevumi</w:t>
            </w:r>
          </w:p>
        </w:tc>
        <w:tc>
          <w:tcPr>
            <w:tcW w:w="860" w:type="dxa"/>
            <w:tcBorders>
              <w:top w:val="nil"/>
              <w:left w:val="nil"/>
              <w:bottom w:val="nil"/>
              <w:right w:val="nil"/>
            </w:tcBorders>
            <w:shd w:val="clear" w:color="000000" w:fill="DCE6F1"/>
            <w:vAlign w:val="center"/>
            <w:hideMark/>
          </w:tcPr>
          <w:p w14:paraId="3978FEA1"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P.3</w:t>
            </w:r>
          </w:p>
        </w:tc>
        <w:tc>
          <w:tcPr>
            <w:tcW w:w="1080" w:type="dxa"/>
            <w:tcBorders>
              <w:top w:val="nil"/>
              <w:left w:val="nil"/>
              <w:bottom w:val="nil"/>
              <w:right w:val="nil"/>
            </w:tcBorders>
            <w:shd w:val="clear" w:color="000000" w:fill="F2F2F2"/>
            <w:vAlign w:val="center"/>
            <w:hideMark/>
          </w:tcPr>
          <w:p w14:paraId="71CD3888"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68FEB5A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7,0</w:t>
            </w:r>
          </w:p>
        </w:tc>
        <w:tc>
          <w:tcPr>
            <w:tcW w:w="1080" w:type="dxa"/>
            <w:tcBorders>
              <w:top w:val="nil"/>
              <w:left w:val="nil"/>
              <w:bottom w:val="nil"/>
              <w:right w:val="nil"/>
            </w:tcBorders>
            <w:shd w:val="clear" w:color="auto" w:fill="auto"/>
            <w:noWrap/>
            <w:vAlign w:val="center"/>
            <w:hideMark/>
          </w:tcPr>
          <w:p w14:paraId="0E8B0E5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4,6</w:t>
            </w:r>
          </w:p>
        </w:tc>
        <w:tc>
          <w:tcPr>
            <w:tcW w:w="1080" w:type="dxa"/>
            <w:tcBorders>
              <w:top w:val="nil"/>
              <w:left w:val="nil"/>
              <w:bottom w:val="nil"/>
              <w:right w:val="nil"/>
            </w:tcBorders>
            <w:shd w:val="clear" w:color="000000" w:fill="F2F2F2"/>
            <w:noWrap/>
            <w:vAlign w:val="center"/>
            <w:hideMark/>
          </w:tcPr>
          <w:p w14:paraId="07B247E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D7CF4AE"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DC3A4E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759A2F1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93C9C" w:rsidRPr="004E21A0" w14:paraId="6EAFE4ED"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48073EBD"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Bruto pamatkapitāla veidošana</w:t>
            </w:r>
          </w:p>
        </w:tc>
        <w:tc>
          <w:tcPr>
            <w:tcW w:w="860" w:type="dxa"/>
            <w:tcBorders>
              <w:top w:val="nil"/>
              <w:left w:val="nil"/>
              <w:bottom w:val="nil"/>
              <w:right w:val="nil"/>
            </w:tcBorders>
            <w:shd w:val="clear" w:color="000000" w:fill="DCE6F1"/>
            <w:vAlign w:val="center"/>
            <w:hideMark/>
          </w:tcPr>
          <w:p w14:paraId="58FEA5D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P.51</w:t>
            </w:r>
          </w:p>
        </w:tc>
        <w:tc>
          <w:tcPr>
            <w:tcW w:w="1080" w:type="dxa"/>
            <w:tcBorders>
              <w:top w:val="nil"/>
              <w:left w:val="nil"/>
              <w:bottom w:val="nil"/>
              <w:right w:val="nil"/>
            </w:tcBorders>
            <w:shd w:val="clear" w:color="000000" w:fill="F2F2F2"/>
            <w:vAlign w:val="center"/>
            <w:hideMark/>
          </w:tcPr>
          <w:p w14:paraId="3C2CE007"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209B4BD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4,1</w:t>
            </w:r>
          </w:p>
        </w:tc>
        <w:tc>
          <w:tcPr>
            <w:tcW w:w="1080" w:type="dxa"/>
            <w:tcBorders>
              <w:top w:val="nil"/>
              <w:left w:val="nil"/>
              <w:bottom w:val="nil"/>
              <w:right w:val="nil"/>
            </w:tcBorders>
            <w:shd w:val="clear" w:color="auto" w:fill="auto"/>
            <w:noWrap/>
            <w:vAlign w:val="center"/>
            <w:hideMark/>
          </w:tcPr>
          <w:p w14:paraId="00B9C5D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0,2</w:t>
            </w:r>
          </w:p>
        </w:tc>
        <w:tc>
          <w:tcPr>
            <w:tcW w:w="1080" w:type="dxa"/>
            <w:tcBorders>
              <w:top w:val="nil"/>
              <w:left w:val="nil"/>
              <w:bottom w:val="nil"/>
              <w:right w:val="nil"/>
            </w:tcBorders>
            <w:shd w:val="clear" w:color="000000" w:fill="F2F2F2"/>
            <w:noWrap/>
            <w:vAlign w:val="center"/>
            <w:hideMark/>
          </w:tcPr>
          <w:p w14:paraId="71E75BD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3BB0A5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987A84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744EB5D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A29F6" w:rsidRPr="004E21A0" w14:paraId="0367E7AD" w14:textId="77777777" w:rsidTr="00893C9C">
        <w:trPr>
          <w:gridAfter w:val="1"/>
          <w:wAfter w:w="222" w:type="dxa"/>
          <w:trHeight w:val="765"/>
          <w:jc w:val="center"/>
        </w:trPr>
        <w:tc>
          <w:tcPr>
            <w:tcW w:w="1980" w:type="dxa"/>
            <w:tcBorders>
              <w:top w:val="nil"/>
              <w:left w:val="nil"/>
              <w:bottom w:val="nil"/>
              <w:right w:val="nil"/>
            </w:tcBorders>
            <w:shd w:val="clear" w:color="000000" w:fill="DCE6F1"/>
            <w:vAlign w:val="center"/>
            <w:hideMark/>
          </w:tcPr>
          <w:p w14:paraId="3B12105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Krājumu pārmaiņas un neto vērtslietu iegāde (% no IKP)</w:t>
            </w:r>
          </w:p>
        </w:tc>
        <w:tc>
          <w:tcPr>
            <w:tcW w:w="860" w:type="dxa"/>
            <w:tcBorders>
              <w:top w:val="nil"/>
              <w:left w:val="nil"/>
              <w:bottom w:val="nil"/>
              <w:right w:val="nil"/>
            </w:tcBorders>
            <w:shd w:val="clear" w:color="000000" w:fill="DCE6F1"/>
            <w:vAlign w:val="center"/>
            <w:hideMark/>
          </w:tcPr>
          <w:p w14:paraId="3F09855D"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P.52 + P.53</w:t>
            </w:r>
          </w:p>
        </w:tc>
        <w:tc>
          <w:tcPr>
            <w:tcW w:w="1080" w:type="dxa"/>
            <w:tcBorders>
              <w:top w:val="nil"/>
              <w:left w:val="nil"/>
              <w:bottom w:val="nil"/>
              <w:right w:val="nil"/>
            </w:tcBorders>
            <w:shd w:val="clear" w:color="000000" w:fill="F2F2F2"/>
            <w:vAlign w:val="center"/>
            <w:hideMark/>
          </w:tcPr>
          <w:p w14:paraId="6B4E1D9E"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ED338A0"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7830204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953089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17CE60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F90EF8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6422A9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93C9C" w:rsidRPr="004E21A0" w14:paraId="3CC1F5AF"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442F9A02"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Preču un pakalpojumu eksports</w:t>
            </w:r>
          </w:p>
        </w:tc>
        <w:tc>
          <w:tcPr>
            <w:tcW w:w="860" w:type="dxa"/>
            <w:tcBorders>
              <w:top w:val="nil"/>
              <w:left w:val="nil"/>
              <w:bottom w:val="nil"/>
              <w:right w:val="nil"/>
            </w:tcBorders>
            <w:shd w:val="clear" w:color="000000" w:fill="DCE6F1"/>
            <w:vAlign w:val="center"/>
            <w:hideMark/>
          </w:tcPr>
          <w:p w14:paraId="71342779"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P.6</w:t>
            </w:r>
          </w:p>
        </w:tc>
        <w:tc>
          <w:tcPr>
            <w:tcW w:w="1080" w:type="dxa"/>
            <w:tcBorders>
              <w:top w:val="nil"/>
              <w:left w:val="nil"/>
              <w:bottom w:val="nil"/>
              <w:right w:val="nil"/>
            </w:tcBorders>
            <w:shd w:val="clear" w:color="000000" w:fill="F2F2F2"/>
            <w:vAlign w:val="center"/>
            <w:hideMark/>
          </w:tcPr>
          <w:p w14:paraId="78DB4A9C"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0FCA340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-5,9</w:t>
            </w:r>
          </w:p>
        </w:tc>
        <w:tc>
          <w:tcPr>
            <w:tcW w:w="1080" w:type="dxa"/>
            <w:tcBorders>
              <w:top w:val="nil"/>
              <w:left w:val="nil"/>
              <w:bottom w:val="nil"/>
              <w:right w:val="nil"/>
            </w:tcBorders>
            <w:shd w:val="clear" w:color="auto" w:fill="auto"/>
            <w:noWrap/>
            <w:vAlign w:val="center"/>
            <w:hideMark/>
          </w:tcPr>
          <w:p w14:paraId="5B3B36B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0,3</w:t>
            </w:r>
          </w:p>
        </w:tc>
        <w:tc>
          <w:tcPr>
            <w:tcW w:w="1080" w:type="dxa"/>
            <w:tcBorders>
              <w:top w:val="nil"/>
              <w:left w:val="nil"/>
              <w:bottom w:val="nil"/>
              <w:right w:val="nil"/>
            </w:tcBorders>
            <w:shd w:val="clear" w:color="000000" w:fill="F2F2F2"/>
            <w:noWrap/>
            <w:vAlign w:val="center"/>
            <w:hideMark/>
          </w:tcPr>
          <w:p w14:paraId="09AF684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93FEBB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442C4B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081764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93C9C" w:rsidRPr="004E21A0" w14:paraId="6D00649C"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4D1FCB29"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Preču un pakalpojumu imports</w:t>
            </w:r>
          </w:p>
        </w:tc>
        <w:tc>
          <w:tcPr>
            <w:tcW w:w="860" w:type="dxa"/>
            <w:tcBorders>
              <w:top w:val="nil"/>
              <w:left w:val="nil"/>
              <w:bottom w:val="nil"/>
              <w:right w:val="nil"/>
            </w:tcBorders>
            <w:shd w:val="clear" w:color="000000" w:fill="DCE6F1"/>
            <w:vAlign w:val="center"/>
            <w:hideMark/>
          </w:tcPr>
          <w:p w14:paraId="57C1C440"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P.7</w:t>
            </w:r>
          </w:p>
        </w:tc>
        <w:tc>
          <w:tcPr>
            <w:tcW w:w="1080" w:type="dxa"/>
            <w:tcBorders>
              <w:top w:val="nil"/>
              <w:left w:val="nil"/>
              <w:bottom w:val="nil"/>
              <w:right w:val="nil"/>
            </w:tcBorders>
            <w:shd w:val="clear" w:color="000000" w:fill="F2F2F2"/>
            <w:vAlign w:val="center"/>
            <w:hideMark/>
          </w:tcPr>
          <w:p w14:paraId="3F92BBB8"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7B384DF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-2,8</w:t>
            </w:r>
          </w:p>
        </w:tc>
        <w:tc>
          <w:tcPr>
            <w:tcW w:w="1080" w:type="dxa"/>
            <w:tcBorders>
              <w:top w:val="nil"/>
              <w:left w:val="nil"/>
              <w:bottom w:val="nil"/>
              <w:right w:val="nil"/>
            </w:tcBorders>
            <w:shd w:val="clear" w:color="auto" w:fill="auto"/>
            <w:noWrap/>
            <w:vAlign w:val="center"/>
            <w:hideMark/>
          </w:tcPr>
          <w:p w14:paraId="3A1411E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1,0</w:t>
            </w:r>
          </w:p>
        </w:tc>
        <w:tc>
          <w:tcPr>
            <w:tcW w:w="1080" w:type="dxa"/>
            <w:tcBorders>
              <w:top w:val="nil"/>
              <w:left w:val="nil"/>
              <w:bottom w:val="nil"/>
              <w:right w:val="nil"/>
            </w:tcBorders>
            <w:shd w:val="clear" w:color="000000" w:fill="F2F2F2"/>
            <w:noWrap/>
            <w:vAlign w:val="center"/>
            <w:hideMark/>
          </w:tcPr>
          <w:p w14:paraId="2F000A5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F9A48C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CE706E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601D65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A29F6" w:rsidRPr="004E21A0" w14:paraId="080DD529"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588C59BD"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Devums reālā IKP pieaugumā</w:t>
            </w:r>
          </w:p>
        </w:tc>
        <w:tc>
          <w:tcPr>
            <w:tcW w:w="860" w:type="dxa"/>
            <w:tcBorders>
              <w:top w:val="nil"/>
              <w:left w:val="nil"/>
              <w:bottom w:val="nil"/>
              <w:right w:val="nil"/>
            </w:tcBorders>
            <w:shd w:val="clear" w:color="000000" w:fill="DCE6F1"/>
            <w:vAlign w:val="center"/>
            <w:hideMark/>
          </w:tcPr>
          <w:p w14:paraId="1B5B90A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vAlign w:val="center"/>
            <w:hideMark/>
          </w:tcPr>
          <w:p w14:paraId="22C8830D"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0158484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32DA0C0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720D78B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09DDAF1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1893892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6F00AD8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93C9C" w:rsidRPr="004E21A0" w14:paraId="0FC6BA95"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15B73387"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Iekšzemes gala pieprasījums</w:t>
            </w:r>
          </w:p>
        </w:tc>
        <w:tc>
          <w:tcPr>
            <w:tcW w:w="860" w:type="dxa"/>
            <w:tcBorders>
              <w:top w:val="nil"/>
              <w:left w:val="nil"/>
              <w:bottom w:val="nil"/>
              <w:right w:val="nil"/>
            </w:tcBorders>
            <w:shd w:val="clear" w:color="000000" w:fill="DCE6F1"/>
            <w:vAlign w:val="center"/>
            <w:hideMark/>
          </w:tcPr>
          <w:p w14:paraId="30408D4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vAlign w:val="center"/>
            <w:hideMark/>
          </w:tcPr>
          <w:p w14:paraId="377877FE"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23A022A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2,4</w:t>
            </w:r>
          </w:p>
        </w:tc>
        <w:tc>
          <w:tcPr>
            <w:tcW w:w="1080" w:type="dxa"/>
            <w:tcBorders>
              <w:top w:val="nil"/>
              <w:left w:val="nil"/>
              <w:bottom w:val="nil"/>
              <w:right w:val="nil"/>
            </w:tcBorders>
            <w:shd w:val="clear" w:color="auto" w:fill="auto"/>
            <w:noWrap/>
            <w:vAlign w:val="center"/>
            <w:hideMark/>
          </w:tcPr>
          <w:p w14:paraId="515DBF7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2,0</w:t>
            </w:r>
          </w:p>
        </w:tc>
        <w:tc>
          <w:tcPr>
            <w:tcW w:w="1080" w:type="dxa"/>
            <w:tcBorders>
              <w:top w:val="nil"/>
              <w:left w:val="nil"/>
              <w:bottom w:val="nil"/>
              <w:right w:val="nil"/>
            </w:tcBorders>
            <w:shd w:val="clear" w:color="000000" w:fill="F2F2F2"/>
            <w:noWrap/>
            <w:vAlign w:val="center"/>
            <w:hideMark/>
          </w:tcPr>
          <w:p w14:paraId="1487734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B5D467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465833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566FCF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93C9C" w:rsidRPr="004E21A0" w14:paraId="6B0E5060"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3801E15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Krājumu pārmaiņas un neto vērtslietu iegāde</w:t>
            </w:r>
          </w:p>
        </w:tc>
        <w:tc>
          <w:tcPr>
            <w:tcW w:w="860" w:type="dxa"/>
            <w:tcBorders>
              <w:top w:val="nil"/>
              <w:left w:val="nil"/>
              <w:bottom w:val="nil"/>
              <w:right w:val="nil"/>
            </w:tcBorders>
            <w:shd w:val="clear" w:color="000000" w:fill="DCE6F1"/>
            <w:vAlign w:val="center"/>
            <w:hideMark/>
          </w:tcPr>
          <w:p w14:paraId="3B2DF45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P.52 + P.53</w:t>
            </w:r>
          </w:p>
        </w:tc>
        <w:tc>
          <w:tcPr>
            <w:tcW w:w="1080" w:type="dxa"/>
            <w:tcBorders>
              <w:top w:val="nil"/>
              <w:left w:val="nil"/>
              <w:bottom w:val="nil"/>
              <w:right w:val="nil"/>
            </w:tcBorders>
            <w:shd w:val="clear" w:color="000000" w:fill="F2F2F2"/>
            <w:vAlign w:val="center"/>
            <w:hideMark/>
          </w:tcPr>
          <w:p w14:paraId="6D035025"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3326918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-0,7</w:t>
            </w:r>
          </w:p>
        </w:tc>
        <w:tc>
          <w:tcPr>
            <w:tcW w:w="1080" w:type="dxa"/>
            <w:tcBorders>
              <w:top w:val="nil"/>
              <w:left w:val="nil"/>
              <w:bottom w:val="nil"/>
              <w:right w:val="nil"/>
            </w:tcBorders>
            <w:shd w:val="clear" w:color="auto" w:fill="auto"/>
            <w:noWrap/>
            <w:vAlign w:val="center"/>
            <w:hideMark/>
          </w:tcPr>
          <w:p w14:paraId="69A9CC1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0,0</w:t>
            </w:r>
          </w:p>
        </w:tc>
        <w:tc>
          <w:tcPr>
            <w:tcW w:w="1080" w:type="dxa"/>
            <w:tcBorders>
              <w:top w:val="nil"/>
              <w:left w:val="nil"/>
              <w:bottom w:val="nil"/>
              <w:right w:val="nil"/>
            </w:tcBorders>
            <w:shd w:val="clear" w:color="000000" w:fill="F2F2F2"/>
            <w:noWrap/>
            <w:vAlign w:val="center"/>
            <w:hideMark/>
          </w:tcPr>
          <w:p w14:paraId="3206BB3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747E27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BC7309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39FF06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93C9C" w:rsidRPr="004E21A0" w14:paraId="7CFC036F" w14:textId="77777777" w:rsidTr="00893C9C">
        <w:trPr>
          <w:gridAfter w:val="1"/>
          <w:wAfter w:w="222" w:type="dxa"/>
          <w:trHeight w:val="510"/>
          <w:jc w:val="center"/>
        </w:trPr>
        <w:tc>
          <w:tcPr>
            <w:tcW w:w="1980" w:type="dxa"/>
            <w:tcBorders>
              <w:top w:val="nil"/>
              <w:left w:val="nil"/>
              <w:bottom w:val="nil"/>
              <w:right w:val="nil"/>
            </w:tcBorders>
            <w:shd w:val="clear" w:color="000000" w:fill="DCE6F1"/>
            <w:vAlign w:val="center"/>
            <w:hideMark/>
          </w:tcPr>
          <w:p w14:paraId="205EAC5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Preču un pakalpojumu ārējais saldo</w:t>
            </w:r>
          </w:p>
        </w:tc>
        <w:tc>
          <w:tcPr>
            <w:tcW w:w="860" w:type="dxa"/>
            <w:tcBorders>
              <w:top w:val="nil"/>
              <w:left w:val="nil"/>
              <w:bottom w:val="nil"/>
              <w:right w:val="nil"/>
            </w:tcBorders>
            <w:shd w:val="clear" w:color="000000" w:fill="DCE6F1"/>
            <w:vAlign w:val="center"/>
            <w:hideMark/>
          </w:tcPr>
          <w:p w14:paraId="6B05B08F"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B.11</w:t>
            </w:r>
          </w:p>
        </w:tc>
        <w:tc>
          <w:tcPr>
            <w:tcW w:w="1080" w:type="dxa"/>
            <w:tcBorders>
              <w:top w:val="nil"/>
              <w:left w:val="nil"/>
              <w:bottom w:val="nil"/>
              <w:right w:val="nil"/>
            </w:tcBorders>
            <w:shd w:val="clear" w:color="000000" w:fill="F2F2F2"/>
            <w:vAlign w:val="center"/>
            <w:hideMark/>
          </w:tcPr>
          <w:p w14:paraId="545357EE"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1C613A9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-2,0</w:t>
            </w:r>
          </w:p>
        </w:tc>
        <w:tc>
          <w:tcPr>
            <w:tcW w:w="1080" w:type="dxa"/>
            <w:tcBorders>
              <w:top w:val="nil"/>
              <w:left w:val="nil"/>
              <w:bottom w:val="nil"/>
              <w:right w:val="nil"/>
            </w:tcBorders>
            <w:shd w:val="clear" w:color="auto" w:fill="auto"/>
            <w:noWrap/>
            <w:vAlign w:val="center"/>
            <w:hideMark/>
          </w:tcPr>
          <w:p w14:paraId="5910EF9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-0,6</w:t>
            </w:r>
          </w:p>
        </w:tc>
        <w:tc>
          <w:tcPr>
            <w:tcW w:w="1080" w:type="dxa"/>
            <w:tcBorders>
              <w:top w:val="nil"/>
              <w:left w:val="nil"/>
              <w:bottom w:val="nil"/>
              <w:right w:val="nil"/>
            </w:tcBorders>
            <w:shd w:val="clear" w:color="000000" w:fill="F2F2F2"/>
            <w:noWrap/>
            <w:vAlign w:val="center"/>
            <w:hideMark/>
          </w:tcPr>
          <w:p w14:paraId="79C3898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D8009E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40911E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AFF9D3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r>
      <w:tr w:rsidR="008A29F6" w:rsidRPr="004E21A0" w14:paraId="136F808F" w14:textId="77777777" w:rsidTr="00893C9C">
        <w:trPr>
          <w:gridAfter w:val="1"/>
          <w:wAfter w:w="222" w:type="dxa"/>
          <w:trHeight w:val="458"/>
          <w:jc w:val="center"/>
        </w:trPr>
        <w:tc>
          <w:tcPr>
            <w:tcW w:w="1980" w:type="dxa"/>
            <w:vMerge w:val="restart"/>
            <w:tcBorders>
              <w:top w:val="nil"/>
              <w:left w:val="nil"/>
              <w:bottom w:val="nil"/>
              <w:right w:val="nil"/>
            </w:tcBorders>
            <w:shd w:val="clear" w:color="000000" w:fill="95B3D7"/>
            <w:vAlign w:val="center"/>
            <w:hideMark/>
          </w:tcPr>
          <w:p w14:paraId="5C5A61BB" w14:textId="475D7C61" w:rsidR="008A29F6" w:rsidRPr="004E21A0" w:rsidRDefault="008A29F6" w:rsidP="00087737">
            <w:pPr>
              <w:spacing w:after="0" w:line="240" w:lineRule="auto"/>
              <w:ind w:firstLine="0"/>
              <w:jc w:val="center"/>
              <w:rPr>
                <w:rFonts w:eastAsia="Times New Roman" w:cs="Times New Roman"/>
                <w:b/>
                <w:bCs/>
                <w:color w:val="000000"/>
                <w:sz w:val="20"/>
                <w:szCs w:val="20"/>
                <w:lang w:eastAsia="lv-LV"/>
              </w:rPr>
            </w:pPr>
            <w:proofErr w:type="spellStart"/>
            <w:r w:rsidRPr="004E21A0">
              <w:rPr>
                <w:rFonts w:eastAsia="Times New Roman" w:cs="Times New Roman"/>
                <w:b/>
                <w:bCs/>
                <w:color w:val="000000"/>
                <w:sz w:val="20"/>
                <w:szCs w:val="20"/>
                <w:lang w:eastAsia="lv-LV"/>
              </w:rPr>
              <w:t>Deflatori</w:t>
            </w:r>
            <w:proofErr w:type="spellEnd"/>
            <w:r w:rsidRPr="004E21A0">
              <w:rPr>
                <w:rFonts w:eastAsia="Times New Roman" w:cs="Times New Roman"/>
                <w:b/>
                <w:bCs/>
                <w:color w:val="000000"/>
                <w:sz w:val="20"/>
                <w:szCs w:val="20"/>
                <w:lang w:eastAsia="lv-LV"/>
              </w:rPr>
              <w:t xml:space="preserve"> un </w:t>
            </w:r>
            <w:r w:rsidR="00F05DE0" w:rsidRPr="004E21A0">
              <w:rPr>
                <w:rFonts w:eastAsia="Times New Roman" w:cs="Times New Roman"/>
                <w:b/>
                <w:bCs/>
                <w:color w:val="000000"/>
                <w:sz w:val="20"/>
                <w:szCs w:val="20"/>
                <w:lang w:eastAsia="lv-LV"/>
              </w:rPr>
              <w:t>SPCI</w:t>
            </w:r>
          </w:p>
        </w:tc>
        <w:tc>
          <w:tcPr>
            <w:tcW w:w="860" w:type="dxa"/>
            <w:vMerge w:val="restart"/>
            <w:tcBorders>
              <w:top w:val="nil"/>
              <w:left w:val="nil"/>
              <w:bottom w:val="nil"/>
              <w:right w:val="nil"/>
            </w:tcBorders>
            <w:shd w:val="clear" w:color="000000" w:fill="95B3D7"/>
            <w:noWrap/>
            <w:vAlign w:val="center"/>
            <w:hideMark/>
          </w:tcPr>
          <w:p w14:paraId="12642A4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vMerge w:val="restart"/>
            <w:tcBorders>
              <w:top w:val="nil"/>
              <w:left w:val="nil"/>
              <w:bottom w:val="nil"/>
              <w:right w:val="nil"/>
            </w:tcBorders>
            <w:shd w:val="clear" w:color="000000" w:fill="95B3D7"/>
            <w:noWrap/>
            <w:vAlign w:val="center"/>
            <w:hideMark/>
          </w:tcPr>
          <w:p w14:paraId="27B6125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vMerge w:val="restart"/>
            <w:tcBorders>
              <w:top w:val="nil"/>
              <w:left w:val="nil"/>
              <w:bottom w:val="nil"/>
              <w:right w:val="nil"/>
            </w:tcBorders>
            <w:shd w:val="clear" w:color="000000" w:fill="95B3D7"/>
            <w:vAlign w:val="center"/>
            <w:hideMark/>
          </w:tcPr>
          <w:p w14:paraId="0EE9C6A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vMerge w:val="restart"/>
            <w:tcBorders>
              <w:top w:val="nil"/>
              <w:left w:val="nil"/>
              <w:bottom w:val="nil"/>
              <w:right w:val="nil"/>
            </w:tcBorders>
            <w:shd w:val="clear" w:color="000000" w:fill="95B3D7"/>
            <w:vAlign w:val="center"/>
            <w:hideMark/>
          </w:tcPr>
          <w:p w14:paraId="3976DFF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vMerge w:val="restart"/>
            <w:tcBorders>
              <w:top w:val="nil"/>
              <w:left w:val="nil"/>
              <w:bottom w:val="nil"/>
              <w:right w:val="nil"/>
            </w:tcBorders>
            <w:shd w:val="clear" w:color="000000" w:fill="95B3D7"/>
            <w:vAlign w:val="center"/>
            <w:hideMark/>
          </w:tcPr>
          <w:p w14:paraId="207AE4C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vMerge w:val="restart"/>
            <w:tcBorders>
              <w:top w:val="nil"/>
              <w:left w:val="nil"/>
              <w:bottom w:val="nil"/>
              <w:right w:val="nil"/>
            </w:tcBorders>
            <w:shd w:val="clear" w:color="000000" w:fill="95B3D7"/>
            <w:vAlign w:val="center"/>
            <w:hideMark/>
          </w:tcPr>
          <w:p w14:paraId="25A70B7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vMerge w:val="restart"/>
            <w:tcBorders>
              <w:top w:val="nil"/>
              <w:left w:val="nil"/>
              <w:bottom w:val="nil"/>
              <w:right w:val="nil"/>
            </w:tcBorders>
            <w:shd w:val="clear" w:color="000000" w:fill="95B3D7"/>
            <w:vAlign w:val="center"/>
            <w:hideMark/>
          </w:tcPr>
          <w:p w14:paraId="146FD36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vMerge w:val="restart"/>
            <w:tcBorders>
              <w:top w:val="nil"/>
              <w:left w:val="nil"/>
              <w:bottom w:val="nil"/>
              <w:right w:val="nil"/>
            </w:tcBorders>
            <w:shd w:val="clear" w:color="000000" w:fill="95B3D7"/>
            <w:vAlign w:val="center"/>
            <w:hideMark/>
          </w:tcPr>
          <w:p w14:paraId="210D39C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r>
      <w:tr w:rsidR="008A29F6" w:rsidRPr="004E21A0" w14:paraId="3DE497AD" w14:textId="77777777" w:rsidTr="004D0587">
        <w:trPr>
          <w:trHeight w:val="315"/>
          <w:jc w:val="center"/>
        </w:trPr>
        <w:tc>
          <w:tcPr>
            <w:tcW w:w="1980" w:type="dxa"/>
            <w:vMerge/>
            <w:tcBorders>
              <w:top w:val="nil"/>
              <w:left w:val="nil"/>
              <w:bottom w:val="nil"/>
              <w:right w:val="nil"/>
            </w:tcBorders>
            <w:vAlign w:val="center"/>
            <w:hideMark/>
          </w:tcPr>
          <w:p w14:paraId="37A3B6EE"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p>
        </w:tc>
        <w:tc>
          <w:tcPr>
            <w:tcW w:w="860" w:type="dxa"/>
            <w:vMerge/>
            <w:tcBorders>
              <w:top w:val="nil"/>
              <w:left w:val="nil"/>
              <w:bottom w:val="nil"/>
              <w:right w:val="nil"/>
            </w:tcBorders>
            <w:vAlign w:val="center"/>
            <w:hideMark/>
          </w:tcPr>
          <w:p w14:paraId="1EAD9F28"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1080" w:type="dxa"/>
            <w:vMerge/>
            <w:tcBorders>
              <w:top w:val="nil"/>
              <w:left w:val="nil"/>
              <w:bottom w:val="nil"/>
              <w:right w:val="nil"/>
            </w:tcBorders>
            <w:vAlign w:val="center"/>
            <w:hideMark/>
          </w:tcPr>
          <w:p w14:paraId="05BF7B14"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1080" w:type="dxa"/>
            <w:vMerge/>
            <w:tcBorders>
              <w:top w:val="nil"/>
              <w:left w:val="nil"/>
              <w:bottom w:val="nil"/>
              <w:right w:val="nil"/>
            </w:tcBorders>
            <w:vAlign w:val="center"/>
            <w:hideMark/>
          </w:tcPr>
          <w:p w14:paraId="1DE174ED"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1080" w:type="dxa"/>
            <w:vMerge/>
            <w:tcBorders>
              <w:top w:val="nil"/>
              <w:left w:val="nil"/>
              <w:bottom w:val="nil"/>
              <w:right w:val="nil"/>
            </w:tcBorders>
            <w:vAlign w:val="center"/>
            <w:hideMark/>
          </w:tcPr>
          <w:p w14:paraId="6D4F669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1080" w:type="dxa"/>
            <w:vMerge/>
            <w:tcBorders>
              <w:top w:val="nil"/>
              <w:left w:val="nil"/>
              <w:bottom w:val="nil"/>
              <w:right w:val="nil"/>
            </w:tcBorders>
            <w:vAlign w:val="center"/>
            <w:hideMark/>
          </w:tcPr>
          <w:p w14:paraId="1A1F7511"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1080" w:type="dxa"/>
            <w:vMerge/>
            <w:tcBorders>
              <w:top w:val="nil"/>
              <w:left w:val="nil"/>
              <w:bottom w:val="nil"/>
              <w:right w:val="nil"/>
            </w:tcBorders>
            <w:vAlign w:val="center"/>
            <w:hideMark/>
          </w:tcPr>
          <w:p w14:paraId="43DAC84B"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1080" w:type="dxa"/>
            <w:vMerge/>
            <w:tcBorders>
              <w:top w:val="nil"/>
              <w:left w:val="nil"/>
              <w:bottom w:val="nil"/>
              <w:right w:val="nil"/>
            </w:tcBorders>
            <w:vAlign w:val="center"/>
            <w:hideMark/>
          </w:tcPr>
          <w:p w14:paraId="3B42CB2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1080" w:type="dxa"/>
            <w:vMerge/>
            <w:tcBorders>
              <w:top w:val="nil"/>
              <w:left w:val="nil"/>
              <w:bottom w:val="nil"/>
              <w:right w:val="nil"/>
            </w:tcBorders>
            <w:vAlign w:val="center"/>
            <w:hideMark/>
          </w:tcPr>
          <w:p w14:paraId="0C784BD9"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p>
        </w:tc>
        <w:tc>
          <w:tcPr>
            <w:tcW w:w="222" w:type="dxa"/>
            <w:tcBorders>
              <w:top w:val="nil"/>
              <w:left w:val="nil"/>
              <w:bottom w:val="nil"/>
              <w:right w:val="nil"/>
            </w:tcBorders>
            <w:shd w:val="clear" w:color="auto" w:fill="auto"/>
            <w:noWrap/>
            <w:vAlign w:val="bottom"/>
            <w:hideMark/>
          </w:tcPr>
          <w:p w14:paraId="7E026B8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p>
        </w:tc>
      </w:tr>
      <w:tr w:rsidR="00893C9C" w:rsidRPr="004E21A0" w14:paraId="46DC889D" w14:textId="77777777" w:rsidTr="00893C9C">
        <w:trPr>
          <w:trHeight w:val="510"/>
          <w:jc w:val="center"/>
        </w:trPr>
        <w:tc>
          <w:tcPr>
            <w:tcW w:w="1980" w:type="dxa"/>
            <w:tcBorders>
              <w:top w:val="nil"/>
              <w:left w:val="nil"/>
              <w:bottom w:val="nil"/>
              <w:right w:val="nil"/>
            </w:tcBorders>
            <w:shd w:val="clear" w:color="000000" w:fill="DCE6F1"/>
            <w:vAlign w:val="center"/>
            <w:hideMark/>
          </w:tcPr>
          <w:p w14:paraId="059B9C25"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Privātā patēriņa </w:t>
            </w:r>
            <w:proofErr w:type="spellStart"/>
            <w:r w:rsidRPr="004E21A0">
              <w:rPr>
                <w:rFonts w:eastAsia="Times New Roman" w:cs="Times New Roman"/>
                <w:color w:val="000000"/>
                <w:sz w:val="20"/>
                <w:szCs w:val="20"/>
                <w:lang w:eastAsia="lv-LV"/>
              </w:rPr>
              <w:t>deflators</w:t>
            </w:r>
            <w:proofErr w:type="spellEnd"/>
          </w:p>
        </w:tc>
        <w:tc>
          <w:tcPr>
            <w:tcW w:w="860" w:type="dxa"/>
            <w:tcBorders>
              <w:top w:val="nil"/>
              <w:left w:val="nil"/>
              <w:bottom w:val="nil"/>
              <w:right w:val="nil"/>
            </w:tcBorders>
            <w:shd w:val="clear" w:color="000000" w:fill="DCE6F1"/>
            <w:noWrap/>
            <w:vAlign w:val="center"/>
            <w:hideMark/>
          </w:tcPr>
          <w:p w14:paraId="3DC1F82E"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55AD427"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1889B50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8,0</w:t>
            </w:r>
          </w:p>
        </w:tc>
        <w:tc>
          <w:tcPr>
            <w:tcW w:w="1080" w:type="dxa"/>
            <w:tcBorders>
              <w:top w:val="nil"/>
              <w:left w:val="nil"/>
              <w:bottom w:val="nil"/>
              <w:right w:val="nil"/>
            </w:tcBorders>
            <w:shd w:val="clear" w:color="auto" w:fill="auto"/>
            <w:noWrap/>
            <w:vAlign w:val="center"/>
            <w:hideMark/>
          </w:tcPr>
          <w:p w14:paraId="75F2DE1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1,0</w:t>
            </w:r>
          </w:p>
        </w:tc>
        <w:tc>
          <w:tcPr>
            <w:tcW w:w="1080" w:type="dxa"/>
            <w:tcBorders>
              <w:top w:val="nil"/>
              <w:left w:val="nil"/>
              <w:bottom w:val="nil"/>
              <w:right w:val="nil"/>
            </w:tcBorders>
            <w:shd w:val="clear" w:color="000000" w:fill="F2F2F2"/>
            <w:noWrap/>
            <w:vAlign w:val="center"/>
            <w:hideMark/>
          </w:tcPr>
          <w:p w14:paraId="013E8DD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7D5470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C11C48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0AD928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5DDB78A5"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0AE031CF" w14:textId="77777777" w:rsidTr="00893C9C">
        <w:trPr>
          <w:trHeight w:val="315"/>
          <w:jc w:val="center"/>
        </w:trPr>
        <w:tc>
          <w:tcPr>
            <w:tcW w:w="1980" w:type="dxa"/>
            <w:tcBorders>
              <w:top w:val="nil"/>
              <w:left w:val="nil"/>
              <w:bottom w:val="nil"/>
              <w:right w:val="nil"/>
            </w:tcBorders>
            <w:shd w:val="clear" w:color="000000" w:fill="DCE6F1"/>
            <w:vAlign w:val="center"/>
            <w:hideMark/>
          </w:tcPr>
          <w:p w14:paraId="4ECE2F55"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SPCI</w:t>
            </w:r>
          </w:p>
        </w:tc>
        <w:tc>
          <w:tcPr>
            <w:tcW w:w="860" w:type="dxa"/>
            <w:tcBorders>
              <w:top w:val="nil"/>
              <w:left w:val="nil"/>
              <w:bottom w:val="nil"/>
              <w:right w:val="nil"/>
            </w:tcBorders>
            <w:shd w:val="clear" w:color="000000" w:fill="DCE6F1"/>
            <w:noWrap/>
            <w:vAlign w:val="center"/>
            <w:hideMark/>
          </w:tcPr>
          <w:p w14:paraId="56FAB8ED"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B954F4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5A0E9E2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8,9</w:t>
            </w:r>
          </w:p>
        </w:tc>
        <w:tc>
          <w:tcPr>
            <w:tcW w:w="1080" w:type="dxa"/>
            <w:tcBorders>
              <w:top w:val="nil"/>
              <w:left w:val="nil"/>
              <w:bottom w:val="nil"/>
              <w:right w:val="nil"/>
            </w:tcBorders>
            <w:shd w:val="clear" w:color="auto" w:fill="auto"/>
            <w:noWrap/>
            <w:vAlign w:val="center"/>
            <w:hideMark/>
          </w:tcPr>
          <w:p w14:paraId="7DD5E55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1,2</w:t>
            </w:r>
          </w:p>
        </w:tc>
        <w:tc>
          <w:tcPr>
            <w:tcW w:w="1080" w:type="dxa"/>
            <w:tcBorders>
              <w:top w:val="nil"/>
              <w:left w:val="nil"/>
              <w:bottom w:val="nil"/>
              <w:right w:val="nil"/>
            </w:tcBorders>
            <w:shd w:val="clear" w:color="000000" w:fill="F2F2F2"/>
            <w:noWrap/>
            <w:vAlign w:val="center"/>
            <w:hideMark/>
          </w:tcPr>
          <w:p w14:paraId="11CCADD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7435428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A453A5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0CDAD4D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42235A40"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4560ADF1" w14:textId="77777777" w:rsidTr="00893C9C">
        <w:trPr>
          <w:trHeight w:val="510"/>
          <w:jc w:val="center"/>
        </w:trPr>
        <w:tc>
          <w:tcPr>
            <w:tcW w:w="1980" w:type="dxa"/>
            <w:tcBorders>
              <w:top w:val="nil"/>
              <w:left w:val="nil"/>
              <w:bottom w:val="nil"/>
              <w:right w:val="nil"/>
            </w:tcBorders>
            <w:shd w:val="clear" w:color="000000" w:fill="DCE6F1"/>
            <w:vAlign w:val="center"/>
            <w:hideMark/>
          </w:tcPr>
          <w:p w14:paraId="72E949C5"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Valdības patēriņa </w:t>
            </w:r>
            <w:proofErr w:type="spellStart"/>
            <w:r w:rsidRPr="004E21A0">
              <w:rPr>
                <w:rFonts w:eastAsia="Times New Roman" w:cs="Times New Roman"/>
                <w:color w:val="000000"/>
                <w:sz w:val="20"/>
                <w:szCs w:val="20"/>
                <w:lang w:eastAsia="lv-LV"/>
              </w:rPr>
              <w:t>deflators</w:t>
            </w:r>
            <w:proofErr w:type="spellEnd"/>
          </w:p>
        </w:tc>
        <w:tc>
          <w:tcPr>
            <w:tcW w:w="860" w:type="dxa"/>
            <w:tcBorders>
              <w:top w:val="nil"/>
              <w:left w:val="nil"/>
              <w:bottom w:val="nil"/>
              <w:right w:val="nil"/>
            </w:tcBorders>
            <w:shd w:val="clear" w:color="000000" w:fill="DCE6F1"/>
            <w:noWrap/>
            <w:vAlign w:val="center"/>
            <w:hideMark/>
          </w:tcPr>
          <w:p w14:paraId="7ABFED65"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0032C0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04BC2D5C"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0,6</w:t>
            </w:r>
          </w:p>
        </w:tc>
        <w:tc>
          <w:tcPr>
            <w:tcW w:w="1080" w:type="dxa"/>
            <w:tcBorders>
              <w:top w:val="nil"/>
              <w:left w:val="nil"/>
              <w:bottom w:val="nil"/>
              <w:right w:val="nil"/>
            </w:tcBorders>
            <w:shd w:val="clear" w:color="auto" w:fill="auto"/>
            <w:noWrap/>
            <w:vAlign w:val="center"/>
            <w:hideMark/>
          </w:tcPr>
          <w:p w14:paraId="4224D3B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3,6</w:t>
            </w:r>
          </w:p>
        </w:tc>
        <w:tc>
          <w:tcPr>
            <w:tcW w:w="1080" w:type="dxa"/>
            <w:tcBorders>
              <w:top w:val="nil"/>
              <w:left w:val="nil"/>
              <w:bottom w:val="nil"/>
              <w:right w:val="nil"/>
            </w:tcBorders>
            <w:shd w:val="clear" w:color="000000" w:fill="F2F2F2"/>
            <w:noWrap/>
            <w:vAlign w:val="center"/>
            <w:hideMark/>
          </w:tcPr>
          <w:p w14:paraId="19DB4DF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0D4B4DA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CEE033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71FE13C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3B494EA6"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432ECC84" w14:textId="77777777" w:rsidTr="00893C9C">
        <w:trPr>
          <w:trHeight w:val="315"/>
          <w:jc w:val="center"/>
        </w:trPr>
        <w:tc>
          <w:tcPr>
            <w:tcW w:w="1980" w:type="dxa"/>
            <w:tcBorders>
              <w:top w:val="nil"/>
              <w:left w:val="nil"/>
              <w:bottom w:val="nil"/>
              <w:right w:val="nil"/>
            </w:tcBorders>
            <w:shd w:val="clear" w:color="000000" w:fill="DCE6F1"/>
            <w:vAlign w:val="center"/>
            <w:hideMark/>
          </w:tcPr>
          <w:p w14:paraId="6D33FC5F"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Investīciju </w:t>
            </w:r>
            <w:proofErr w:type="spellStart"/>
            <w:r w:rsidRPr="004E21A0">
              <w:rPr>
                <w:rFonts w:eastAsia="Times New Roman" w:cs="Times New Roman"/>
                <w:color w:val="000000"/>
                <w:sz w:val="20"/>
                <w:szCs w:val="20"/>
                <w:lang w:eastAsia="lv-LV"/>
              </w:rPr>
              <w:t>deflators</w:t>
            </w:r>
            <w:proofErr w:type="spellEnd"/>
          </w:p>
        </w:tc>
        <w:tc>
          <w:tcPr>
            <w:tcW w:w="860" w:type="dxa"/>
            <w:tcBorders>
              <w:top w:val="nil"/>
              <w:left w:val="nil"/>
              <w:bottom w:val="nil"/>
              <w:right w:val="nil"/>
            </w:tcBorders>
            <w:shd w:val="clear" w:color="000000" w:fill="DCE6F1"/>
            <w:noWrap/>
            <w:vAlign w:val="center"/>
            <w:hideMark/>
          </w:tcPr>
          <w:p w14:paraId="7E65BBD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FE37C79"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752AFA4E"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6,4</w:t>
            </w:r>
          </w:p>
        </w:tc>
        <w:tc>
          <w:tcPr>
            <w:tcW w:w="1080" w:type="dxa"/>
            <w:tcBorders>
              <w:top w:val="nil"/>
              <w:left w:val="nil"/>
              <w:bottom w:val="nil"/>
              <w:right w:val="nil"/>
            </w:tcBorders>
            <w:shd w:val="clear" w:color="auto" w:fill="auto"/>
            <w:noWrap/>
            <w:vAlign w:val="center"/>
            <w:hideMark/>
          </w:tcPr>
          <w:p w14:paraId="0CD1861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3,0</w:t>
            </w:r>
          </w:p>
        </w:tc>
        <w:tc>
          <w:tcPr>
            <w:tcW w:w="1080" w:type="dxa"/>
            <w:tcBorders>
              <w:top w:val="nil"/>
              <w:left w:val="nil"/>
              <w:bottom w:val="nil"/>
              <w:right w:val="nil"/>
            </w:tcBorders>
            <w:shd w:val="clear" w:color="000000" w:fill="F2F2F2"/>
            <w:noWrap/>
            <w:vAlign w:val="center"/>
            <w:hideMark/>
          </w:tcPr>
          <w:p w14:paraId="5D10D3E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99D1DD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B8E259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745921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33031E1B"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351B76E9" w14:textId="77777777" w:rsidTr="00893C9C">
        <w:trPr>
          <w:trHeight w:val="765"/>
          <w:jc w:val="center"/>
        </w:trPr>
        <w:tc>
          <w:tcPr>
            <w:tcW w:w="1980" w:type="dxa"/>
            <w:tcBorders>
              <w:top w:val="nil"/>
              <w:left w:val="nil"/>
              <w:bottom w:val="nil"/>
              <w:right w:val="nil"/>
            </w:tcBorders>
            <w:shd w:val="clear" w:color="000000" w:fill="DCE6F1"/>
            <w:vAlign w:val="center"/>
            <w:hideMark/>
          </w:tcPr>
          <w:p w14:paraId="2B72B86C"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Eksporta cenu </w:t>
            </w:r>
            <w:proofErr w:type="spellStart"/>
            <w:r w:rsidRPr="004E21A0">
              <w:rPr>
                <w:rFonts w:eastAsia="Times New Roman" w:cs="Times New Roman"/>
                <w:color w:val="000000"/>
                <w:sz w:val="20"/>
                <w:szCs w:val="20"/>
                <w:lang w:eastAsia="lv-LV"/>
              </w:rPr>
              <w:t>deflators</w:t>
            </w:r>
            <w:proofErr w:type="spellEnd"/>
            <w:r w:rsidRPr="004E21A0">
              <w:rPr>
                <w:rFonts w:eastAsia="Times New Roman" w:cs="Times New Roman"/>
                <w:color w:val="000000"/>
                <w:sz w:val="20"/>
                <w:szCs w:val="20"/>
                <w:lang w:eastAsia="lv-LV"/>
              </w:rPr>
              <w:t xml:space="preserve"> (preces un pakalpojumi)</w:t>
            </w:r>
          </w:p>
        </w:tc>
        <w:tc>
          <w:tcPr>
            <w:tcW w:w="860" w:type="dxa"/>
            <w:tcBorders>
              <w:top w:val="nil"/>
              <w:left w:val="nil"/>
              <w:bottom w:val="nil"/>
              <w:right w:val="nil"/>
            </w:tcBorders>
            <w:shd w:val="clear" w:color="000000" w:fill="DCE6F1"/>
            <w:noWrap/>
            <w:vAlign w:val="center"/>
            <w:hideMark/>
          </w:tcPr>
          <w:p w14:paraId="6B19D78E"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96F57FF"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1F8FC3C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-1,8</w:t>
            </w:r>
          </w:p>
        </w:tc>
        <w:tc>
          <w:tcPr>
            <w:tcW w:w="1080" w:type="dxa"/>
            <w:tcBorders>
              <w:top w:val="nil"/>
              <w:left w:val="nil"/>
              <w:bottom w:val="nil"/>
              <w:right w:val="nil"/>
            </w:tcBorders>
            <w:shd w:val="clear" w:color="auto" w:fill="auto"/>
            <w:noWrap/>
            <w:vAlign w:val="center"/>
            <w:hideMark/>
          </w:tcPr>
          <w:p w14:paraId="69558F1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1,5</w:t>
            </w:r>
          </w:p>
        </w:tc>
        <w:tc>
          <w:tcPr>
            <w:tcW w:w="1080" w:type="dxa"/>
            <w:tcBorders>
              <w:top w:val="nil"/>
              <w:left w:val="nil"/>
              <w:bottom w:val="nil"/>
              <w:right w:val="nil"/>
            </w:tcBorders>
            <w:shd w:val="clear" w:color="000000" w:fill="F2F2F2"/>
            <w:noWrap/>
            <w:vAlign w:val="center"/>
            <w:hideMark/>
          </w:tcPr>
          <w:p w14:paraId="125F463E"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C1666A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26DF6D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FA3FAB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10D5F914"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10144687" w14:textId="77777777" w:rsidTr="00893C9C">
        <w:trPr>
          <w:trHeight w:val="765"/>
          <w:jc w:val="center"/>
        </w:trPr>
        <w:tc>
          <w:tcPr>
            <w:tcW w:w="1980" w:type="dxa"/>
            <w:tcBorders>
              <w:top w:val="nil"/>
              <w:left w:val="nil"/>
              <w:bottom w:val="nil"/>
              <w:right w:val="nil"/>
            </w:tcBorders>
            <w:shd w:val="clear" w:color="000000" w:fill="DCE6F1"/>
            <w:vAlign w:val="center"/>
            <w:hideMark/>
          </w:tcPr>
          <w:p w14:paraId="3C5DB2DA"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Importa cenu </w:t>
            </w:r>
            <w:proofErr w:type="spellStart"/>
            <w:r w:rsidRPr="004E21A0">
              <w:rPr>
                <w:rFonts w:eastAsia="Times New Roman" w:cs="Times New Roman"/>
                <w:color w:val="000000"/>
                <w:sz w:val="20"/>
                <w:szCs w:val="20"/>
                <w:lang w:eastAsia="lv-LV"/>
              </w:rPr>
              <w:t>deflators</w:t>
            </w:r>
            <w:proofErr w:type="spellEnd"/>
            <w:r w:rsidRPr="004E21A0">
              <w:rPr>
                <w:rFonts w:eastAsia="Times New Roman" w:cs="Times New Roman"/>
                <w:color w:val="000000"/>
                <w:sz w:val="20"/>
                <w:szCs w:val="20"/>
                <w:lang w:eastAsia="lv-LV"/>
              </w:rPr>
              <w:t xml:space="preserve"> (preces un pakalpojumi)</w:t>
            </w:r>
          </w:p>
        </w:tc>
        <w:tc>
          <w:tcPr>
            <w:tcW w:w="860" w:type="dxa"/>
            <w:tcBorders>
              <w:top w:val="nil"/>
              <w:left w:val="nil"/>
              <w:bottom w:val="nil"/>
              <w:right w:val="nil"/>
            </w:tcBorders>
            <w:shd w:val="clear" w:color="000000" w:fill="DCE6F1"/>
            <w:noWrap/>
            <w:vAlign w:val="center"/>
            <w:hideMark/>
          </w:tcPr>
          <w:p w14:paraId="71A320A5"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A2856C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1895B51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-5,2</w:t>
            </w:r>
          </w:p>
        </w:tc>
        <w:tc>
          <w:tcPr>
            <w:tcW w:w="1080" w:type="dxa"/>
            <w:tcBorders>
              <w:top w:val="nil"/>
              <w:left w:val="nil"/>
              <w:bottom w:val="nil"/>
              <w:right w:val="nil"/>
            </w:tcBorders>
            <w:shd w:val="clear" w:color="auto" w:fill="auto"/>
            <w:noWrap/>
            <w:vAlign w:val="center"/>
            <w:hideMark/>
          </w:tcPr>
          <w:p w14:paraId="4250C79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0,7</w:t>
            </w:r>
          </w:p>
        </w:tc>
        <w:tc>
          <w:tcPr>
            <w:tcW w:w="1080" w:type="dxa"/>
            <w:tcBorders>
              <w:top w:val="nil"/>
              <w:left w:val="nil"/>
              <w:bottom w:val="nil"/>
              <w:right w:val="nil"/>
            </w:tcBorders>
            <w:shd w:val="clear" w:color="000000" w:fill="F2F2F2"/>
            <w:noWrap/>
            <w:vAlign w:val="center"/>
            <w:hideMark/>
          </w:tcPr>
          <w:p w14:paraId="3005A0F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2FD8EB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458813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261A4B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36F91836"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A29F6" w:rsidRPr="004E21A0" w14:paraId="2716EBD8" w14:textId="77777777" w:rsidTr="004D0587">
        <w:trPr>
          <w:trHeight w:val="450"/>
          <w:jc w:val="center"/>
        </w:trPr>
        <w:tc>
          <w:tcPr>
            <w:tcW w:w="1980" w:type="dxa"/>
            <w:tcBorders>
              <w:top w:val="nil"/>
              <w:left w:val="nil"/>
              <w:bottom w:val="nil"/>
              <w:right w:val="nil"/>
            </w:tcBorders>
            <w:shd w:val="clear" w:color="000000" w:fill="95B3D7"/>
            <w:vAlign w:val="center"/>
            <w:hideMark/>
          </w:tcPr>
          <w:p w14:paraId="04C62AF3"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Darba tirgus</w:t>
            </w:r>
          </w:p>
        </w:tc>
        <w:tc>
          <w:tcPr>
            <w:tcW w:w="860" w:type="dxa"/>
            <w:tcBorders>
              <w:top w:val="nil"/>
              <w:left w:val="nil"/>
              <w:bottom w:val="nil"/>
              <w:right w:val="nil"/>
            </w:tcBorders>
            <w:shd w:val="clear" w:color="000000" w:fill="95B3D7"/>
            <w:noWrap/>
            <w:vAlign w:val="center"/>
            <w:hideMark/>
          </w:tcPr>
          <w:p w14:paraId="416A56B0"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EKS kods</w:t>
            </w:r>
          </w:p>
        </w:tc>
        <w:tc>
          <w:tcPr>
            <w:tcW w:w="1080" w:type="dxa"/>
            <w:tcBorders>
              <w:top w:val="nil"/>
              <w:left w:val="nil"/>
              <w:bottom w:val="nil"/>
              <w:right w:val="nil"/>
            </w:tcBorders>
            <w:shd w:val="clear" w:color="000000" w:fill="95B3D7"/>
            <w:noWrap/>
            <w:vAlign w:val="center"/>
            <w:hideMark/>
          </w:tcPr>
          <w:p w14:paraId="278C706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līmenis</w:t>
            </w:r>
          </w:p>
        </w:tc>
        <w:tc>
          <w:tcPr>
            <w:tcW w:w="1080" w:type="dxa"/>
            <w:tcBorders>
              <w:top w:val="nil"/>
              <w:left w:val="nil"/>
              <w:bottom w:val="nil"/>
              <w:right w:val="nil"/>
            </w:tcBorders>
            <w:shd w:val="clear" w:color="000000" w:fill="95B3D7"/>
            <w:vAlign w:val="center"/>
            <w:hideMark/>
          </w:tcPr>
          <w:p w14:paraId="51C22BA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2110F9D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234D569E"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6900B70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5B795F6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5A4DDB8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222" w:type="dxa"/>
            <w:vAlign w:val="center"/>
            <w:hideMark/>
          </w:tcPr>
          <w:p w14:paraId="77EC3743"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82A44" w:rsidRPr="004E21A0" w14:paraId="03DEE3F7" w14:textId="77777777" w:rsidTr="004E21A0">
        <w:trPr>
          <w:trHeight w:val="1020"/>
          <w:jc w:val="center"/>
        </w:trPr>
        <w:tc>
          <w:tcPr>
            <w:tcW w:w="1980" w:type="dxa"/>
            <w:tcBorders>
              <w:top w:val="nil"/>
              <w:left w:val="nil"/>
              <w:bottom w:val="nil"/>
              <w:right w:val="nil"/>
            </w:tcBorders>
            <w:shd w:val="clear" w:color="000000" w:fill="DCE6F1"/>
            <w:vAlign w:val="center"/>
            <w:hideMark/>
          </w:tcPr>
          <w:p w14:paraId="747BB253"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Iekšzemes nodarbinātība (1000 personas, nacionālie konti)</w:t>
            </w:r>
          </w:p>
        </w:tc>
        <w:tc>
          <w:tcPr>
            <w:tcW w:w="860" w:type="dxa"/>
            <w:tcBorders>
              <w:top w:val="nil"/>
              <w:left w:val="nil"/>
              <w:bottom w:val="nil"/>
              <w:right w:val="nil"/>
            </w:tcBorders>
            <w:shd w:val="clear" w:color="000000" w:fill="DCE6F1"/>
            <w:noWrap/>
            <w:vAlign w:val="center"/>
            <w:hideMark/>
          </w:tcPr>
          <w:p w14:paraId="48751DBA"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500240E9"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884</w:t>
            </w:r>
          </w:p>
        </w:tc>
        <w:tc>
          <w:tcPr>
            <w:tcW w:w="1080" w:type="dxa"/>
            <w:tcBorders>
              <w:top w:val="nil"/>
              <w:left w:val="nil"/>
              <w:bottom w:val="nil"/>
              <w:right w:val="nil"/>
            </w:tcBorders>
            <w:shd w:val="clear" w:color="auto" w:fill="auto"/>
            <w:noWrap/>
            <w:vAlign w:val="center"/>
            <w:hideMark/>
          </w:tcPr>
          <w:p w14:paraId="01810A68" w14:textId="7F06D83E"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-0,2</w:t>
            </w:r>
          </w:p>
        </w:tc>
        <w:tc>
          <w:tcPr>
            <w:tcW w:w="1080" w:type="dxa"/>
            <w:tcBorders>
              <w:top w:val="nil"/>
              <w:left w:val="nil"/>
              <w:bottom w:val="nil"/>
              <w:right w:val="nil"/>
            </w:tcBorders>
            <w:shd w:val="clear" w:color="auto" w:fill="auto"/>
            <w:noWrap/>
            <w:vAlign w:val="center"/>
            <w:hideMark/>
          </w:tcPr>
          <w:p w14:paraId="4E78F080" w14:textId="44A2B16B"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0,0</w:t>
            </w:r>
          </w:p>
        </w:tc>
        <w:tc>
          <w:tcPr>
            <w:tcW w:w="1080" w:type="dxa"/>
            <w:tcBorders>
              <w:top w:val="nil"/>
              <w:left w:val="nil"/>
              <w:bottom w:val="nil"/>
              <w:right w:val="nil"/>
            </w:tcBorders>
            <w:shd w:val="clear" w:color="000000" w:fill="F2F2F2"/>
            <w:noWrap/>
            <w:vAlign w:val="center"/>
            <w:hideMark/>
          </w:tcPr>
          <w:p w14:paraId="10AF4B9A"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FF3FD82"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E511E4C"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9041AAE"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3D807395" w14:textId="77777777" w:rsidR="00882A44" w:rsidRPr="004E21A0" w:rsidRDefault="00882A44" w:rsidP="00087737">
            <w:pPr>
              <w:spacing w:after="0" w:line="240" w:lineRule="auto"/>
              <w:ind w:firstLine="0"/>
              <w:jc w:val="left"/>
              <w:rPr>
                <w:rFonts w:eastAsia="Times New Roman" w:cs="Times New Roman"/>
                <w:sz w:val="20"/>
                <w:szCs w:val="20"/>
                <w:lang w:eastAsia="lv-LV"/>
              </w:rPr>
            </w:pPr>
          </w:p>
        </w:tc>
      </w:tr>
      <w:tr w:rsidR="00882A44" w:rsidRPr="004E21A0" w14:paraId="49DEC9A8" w14:textId="77777777" w:rsidTr="004E21A0">
        <w:trPr>
          <w:trHeight w:val="1020"/>
          <w:jc w:val="center"/>
        </w:trPr>
        <w:tc>
          <w:tcPr>
            <w:tcW w:w="1980" w:type="dxa"/>
            <w:tcBorders>
              <w:top w:val="nil"/>
              <w:left w:val="nil"/>
              <w:bottom w:val="nil"/>
              <w:right w:val="nil"/>
            </w:tcBorders>
            <w:shd w:val="clear" w:color="000000" w:fill="DCE6F1"/>
            <w:vAlign w:val="center"/>
            <w:hideMark/>
          </w:tcPr>
          <w:p w14:paraId="18DC1D20"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Vidējais nostrādāto stundu skaits gadā uz vienu nodarbināto personu</w:t>
            </w:r>
          </w:p>
        </w:tc>
        <w:tc>
          <w:tcPr>
            <w:tcW w:w="860" w:type="dxa"/>
            <w:tcBorders>
              <w:top w:val="nil"/>
              <w:left w:val="nil"/>
              <w:bottom w:val="nil"/>
              <w:right w:val="nil"/>
            </w:tcBorders>
            <w:shd w:val="clear" w:color="000000" w:fill="DCE6F1"/>
            <w:noWrap/>
            <w:vAlign w:val="center"/>
            <w:hideMark/>
          </w:tcPr>
          <w:p w14:paraId="4F561669"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34A6A66B"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1 862</w:t>
            </w:r>
          </w:p>
        </w:tc>
        <w:tc>
          <w:tcPr>
            <w:tcW w:w="1080" w:type="dxa"/>
            <w:tcBorders>
              <w:top w:val="nil"/>
              <w:left w:val="nil"/>
              <w:bottom w:val="nil"/>
              <w:right w:val="nil"/>
            </w:tcBorders>
            <w:shd w:val="clear" w:color="auto" w:fill="auto"/>
            <w:noWrap/>
            <w:vAlign w:val="center"/>
            <w:hideMark/>
          </w:tcPr>
          <w:p w14:paraId="784B1C67" w14:textId="307D291E"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-0,4</w:t>
            </w:r>
          </w:p>
        </w:tc>
        <w:tc>
          <w:tcPr>
            <w:tcW w:w="1080" w:type="dxa"/>
            <w:tcBorders>
              <w:top w:val="nil"/>
              <w:left w:val="nil"/>
              <w:bottom w:val="nil"/>
              <w:right w:val="nil"/>
            </w:tcBorders>
            <w:shd w:val="clear" w:color="auto" w:fill="auto"/>
            <w:noWrap/>
            <w:vAlign w:val="center"/>
            <w:hideMark/>
          </w:tcPr>
          <w:p w14:paraId="748D8AD5" w14:textId="4C9F362B"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0,0</w:t>
            </w:r>
          </w:p>
        </w:tc>
        <w:tc>
          <w:tcPr>
            <w:tcW w:w="1080" w:type="dxa"/>
            <w:tcBorders>
              <w:top w:val="nil"/>
              <w:left w:val="nil"/>
              <w:bottom w:val="nil"/>
              <w:right w:val="nil"/>
            </w:tcBorders>
            <w:shd w:val="clear" w:color="000000" w:fill="F2F2F2"/>
            <w:noWrap/>
            <w:vAlign w:val="center"/>
            <w:hideMark/>
          </w:tcPr>
          <w:p w14:paraId="75141179"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DEF5827"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02159A20"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1C67BD2"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0688D1A1" w14:textId="77777777" w:rsidR="00882A44" w:rsidRPr="004E21A0" w:rsidRDefault="00882A44" w:rsidP="00087737">
            <w:pPr>
              <w:spacing w:after="0" w:line="240" w:lineRule="auto"/>
              <w:ind w:firstLine="0"/>
              <w:jc w:val="left"/>
              <w:rPr>
                <w:rFonts w:eastAsia="Times New Roman" w:cs="Times New Roman"/>
                <w:sz w:val="20"/>
                <w:szCs w:val="20"/>
                <w:lang w:eastAsia="lv-LV"/>
              </w:rPr>
            </w:pPr>
          </w:p>
        </w:tc>
      </w:tr>
      <w:tr w:rsidR="00882A44" w:rsidRPr="004E21A0" w14:paraId="35BB5B23" w14:textId="77777777" w:rsidTr="004E21A0">
        <w:trPr>
          <w:trHeight w:val="510"/>
          <w:jc w:val="center"/>
        </w:trPr>
        <w:tc>
          <w:tcPr>
            <w:tcW w:w="1980" w:type="dxa"/>
            <w:tcBorders>
              <w:top w:val="nil"/>
              <w:left w:val="nil"/>
              <w:bottom w:val="nil"/>
              <w:right w:val="nil"/>
            </w:tcBorders>
            <w:shd w:val="clear" w:color="000000" w:fill="DCE6F1"/>
            <w:vAlign w:val="center"/>
            <w:hideMark/>
          </w:tcPr>
          <w:p w14:paraId="02EB0668"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Reālais IKP uz vienu nodarbināto personu</w:t>
            </w:r>
          </w:p>
        </w:tc>
        <w:tc>
          <w:tcPr>
            <w:tcW w:w="860" w:type="dxa"/>
            <w:tcBorders>
              <w:top w:val="nil"/>
              <w:left w:val="nil"/>
              <w:bottom w:val="nil"/>
              <w:right w:val="nil"/>
            </w:tcBorders>
            <w:shd w:val="clear" w:color="000000" w:fill="DCE6F1"/>
            <w:noWrap/>
            <w:vAlign w:val="center"/>
            <w:hideMark/>
          </w:tcPr>
          <w:p w14:paraId="0D616521"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C714FF2"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5214E728" w14:textId="12EDFA66"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-0,1</w:t>
            </w:r>
          </w:p>
        </w:tc>
        <w:tc>
          <w:tcPr>
            <w:tcW w:w="1080" w:type="dxa"/>
            <w:tcBorders>
              <w:top w:val="nil"/>
              <w:left w:val="nil"/>
              <w:bottom w:val="nil"/>
              <w:right w:val="nil"/>
            </w:tcBorders>
            <w:shd w:val="clear" w:color="auto" w:fill="auto"/>
            <w:noWrap/>
            <w:vAlign w:val="center"/>
            <w:hideMark/>
          </w:tcPr>
          <w:p w14:paraId="06F4C745" w14:textId="4EABC850"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1,4</w:t>
            </w:r>
          </w:p>
        </w:tc>
        <w:tc>
          <w:tcPr>
            <w:tcW w:w="1080" w:type="dxa"/>
            <w:tcBorders>
              <w:top w:val="nil"/>
              <w:left w:val="nil"/>
              <w:bottom w:val="nil"/>
              <w:right w:val="nil"/>
            </w:tcBorders>
            <w:shd w:val="clear" w:color="000000" w:fill="F2F2F2"/>
            <w:noWrap/>
            <w:vAlign w:val="center"/>
            <w:hideMark/>
          </w:tcPr>
          <w:p w14:paraId="778D5E75"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056D97C8"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8648F13"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4D1A751"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1A0C98FB" w14:textId="77777777" w:rsidR="00882A44" w:rsidRPr="004E21A0" w:rsidRDefault="00882A44" w:rsidP="00087737">
            <w:pPr>
              <w:spacing w:after="0" w:line="240" w:lineRule="auto"/>
              <w:ind w:firstLine="0"/>
              <w:jc w:val="left"/>
              <w:rPr>
                <w:rFonts w:eastAsia="Times New Roman" w:cs="Times New Roman"/>
                <w:sz w:val="20"/>
                <w:szCs w:val="20"/>
                <w:lang w:eastAsia="lv-LV"/>
              </w:rPr>
            </w:pPr>
          </w:p>
        </w:tc>
      </w:tr>
      <w:tr w:rsidR="00882A44" w:rsidRPr="004E21A0" w14:paraId="11465C42" w14:textId="77777777" w:rsidTr="004E21A0">
        <w:trPr>
          <w:trHeight w:val="510"/>
          <w:jc w:val="center"/>
        </w:trPr>
        <w:tc>
          <w:tcPr>
            <w:tcW w:w="1980" w:type="dxa"/>
            <w:tcBorders>
              <w:top w:val="nil"/>
              <w:left w:val="nil"/>
              <w:bottom w:val="nil"/>
              <w:right w:val="nil"/>
            </w:tcBorders>
            <w:shd w:val="clear" w:color="000000" w:fill="DCE6F1"/>
            <w:vAlign w:val="center"/>
            <w:hideMark/>
          </w:tcPr>
          <w:p w14:paraId="209E7C92"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Reālais IKP uz vienu nostrādāto stundu</w:t>
            </w:r>
          </w:p>
        </w:tc>
        <w:tc>
          <w:tcPr>
            <w:tcW w:w="860" w:type="dxa"/>
            <w:tcBorders>
              <w:top w:val="nil"/>
              <w:left w:val="nil"/>
              <w:bottom w:val="nil"/>
              <w:right w:val="nil"/>
            </w:tcBorders>
            <w:shd w:val="clear" w:color="000000" w:fill="DCE6F1"/>
            <w:noWrap/>
            <w:vAlign w:val="center"/>
            <w:hideMark/>
          </w:tcPr>
          <w:p w14:paraId="7B1DBBA3"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EB44ACF"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25A6C4F0" w14:textId="7E03EC20"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0,3</w:t>
            </w:r>
          </w:p>
        </w:tc>
        <w:tc>
          <w:tcPr>
            <w:tcW w:w="1080" w:type="dxa"/>
            <w:tcBorders>
              <w:top w:val="nil"/>
              <w:left w:val="nil"/>
              <w:bottom w:val="nil"/>
              <w:right w:val="nil"/>
            </w:tcBorders>
            <w:shd w:val="clear" w:color="auto" w:fill="auto"/>
            <w:noWrap/>
            <w:vAlign w:val="center"/>
            <w:hideMark/>
          </w:tcPr>
          <w:p w14:paraId="09DDE795" w14:textId="77867252"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1,4</w:t>
            </w:r>
          </w:p>
        </w:tc>
        <w:tc>
          <w:tcPr>
            <w:tcW w:w="1080" w:type="dxa"/>
            <w:tcBorders>
              <w:top w:val="nil"/>
              <w:left w:val="nil"/>
              <w:bottom w:val="nil"/>
              <w:right w:val="nil"/>
            </w:tcBorders>
            <w:shd w:val="clear" w:color="000000" w:fill="F2F2F2"/>
            <w:noWrap/>
            <w:vAlign w:val="center"/>
            <w:hideMark/>
          </w:tcPr>
          <w:p w14:paraId="210A020B"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7FD1B58"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40EAD0C"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2119A66"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185D0A42" w14:textId="77777777" w:rsidR="00882A44" w:rsidRPr="004E21A0" w:rsidRDefault="00882A44" w:rsidP="00087737">
            <w:pPr>
              <w:spacing w:after="0" w:line="240" w:lineRule="auto"/>
              <w:ind w:firstLine="0"/>
              <w:jc w:val="left"/>
              <w:rPr>
                <w:rFonts w:eastAsia="Times New Roman" w:cs="Times New Roman"/>
                <w:sz w:val="20"/>
                <w:szCs w:val="20"/>
                <w:lang w:eastAsia="lv-LV"/>
              </w:rPr>
            </w:pPr>
          </w:p>
        </w:tc>
      </w:tr>
      <w:tr w:rsidR="00882A44" w:rsidRPr="004E21A0" w14:paraId="5B600C12" w14:textId="77777777" w:rsidTr="004E21A0">
        <w:trPr>
          <w:trHeight w:val="510"/>
          <w:jc w:val="center"/>
        </w:trPr>
        <w:tc>
          <w:tcPr>
            <w:tcW w:w="1980" w:type="dxa"/>
            <w:tcBorders>
              <w:top w:val="nil"/>
              <w:left w:val="nil"/>
              <w:bottom w:val="nil"/>
              <w:right w:val="nil"/>
            </w:tcBorders>
            <w:shd w:val="clear" w:color="000000" w:fill="DCE6F1"/>
            <w:vAlign w:val="center"/>
            <w:hideMark/>
          </w:tcPr>
          <w:p w14:paraId="14234934" w14:textId="1FD11E70"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lastRenderedPageBreak/>
              <w:t>Kompensācija darba ņēmējiem (VV ml</w:t>
            </w:r>
            <w:r w:rsidR="00087737">
              <w:rPr>
                <w:rFonts w:eastAsia="Times New Roman" w:cs="Times New Roman"/>
                <w:color w:val="000000"/>
                <w:sz w:val="20"/>
                <w:szCs w:val="20"/>
                <w:lang w:eastAsia="lv-LV"/>
              </w:rPr>
              <w:t>jr</w:t>
            </w:r>
            <w:r w:rsidRPr="004E21A0">
              <w:rPr>
                <w:rFonts w:eastAsia="Times New Roman" w:cs="Times New Roman"/>
                <w:color w:val="000000"/>
                <w:sz w:val="20"/>
                <w:szCs w:val="20"/>
                <w:lang w:eastAsia="lv-LV"/>
              </w:rPr>
              <w:t>d.)</w:t>
            </w:r>
          </w:p>
        </w:tc>
        <w:tc>
          <w:tcPr>
            <w:tcW w:w="860" w:type="dxa"/>
            <w:tcBorders>
              <w:top w:val="nil"/>
              <w:left w:val="nil"/>
              <w:bottom w:val="nil"/>
              <w:right w:val="nil"/>
            </w:tcBorders>
            <w:shd w:val="clear" w:color="000000" w:fill="DCE6F1"/>
            <w:noWrap/>
            <w:vAlign w:val="center"/>
            <w:hideMark/>
          </w:tcPr>
          <w:p w14:paraId="28BC0F48"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D.1</w:t>
            </w:r>
          </w:p>
        </w:tc>
        <w:tc>
          <w:tcPr>
            <w:tcW w:w="1080" w:type="dxa"/>
            <w:tcBorders>
              <w:top w:val="nil"/>
              <w:left w:val="nil"/>
              <w:bottom w:val="nil"/>
              <w:right w:val="nil"/>
            </w:tcBorders>
            <w:shd w:val="clear" w:color="auto" w:fill="auto"/>
            <w:noWrap/>
            <w:vAlign w:val="center"/>
            <w:hideMark/>
          </w:tcPr>
          <w:p w14:paraId="51A30A42" w14:textId="7BDCA6CD"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20,6</w:t>
            </w:r>
          </w:p>
        </w:tc>
        <w:tc>
          <w:tcPr>
            <w:tcW w:w="1080" w:type="dxa"/>
            <w:tcBorders>
              <w:top w:val="nil"/>
              <w:left w:val="nil"/>
              <w:bottom w:val="nil"/>
              <w:right w:val="nil"/>
            </w:tcBorders>
            <w:shd w:val="clear" w:color="auto" w:fill="auto"/>
            <w:noWrap/>
            <w:vAlign w:val="center"/>
            <w:hideMark/>
          </w:tcPr>
          <w:p w14:paraId="76CD5C4A" w14:textId="5AF7FFC8"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12,7</w:t>
            </w:r>
          </w:p>
        </w:tc>
        <w:tc>
          <w:tcPr>
            <w:tcW w:w="1080" w:type="dxa"/>
            <w:tcBorders>
              <w:top w:val="nil"/>
              <w:left w:val="nil"/>
              <w:bottom w:val="nil"/>
              <w:right w:val="nil"/>
            </w:tcBorders>
            <w:shd w:val="clear" w:color="auto" w:fill="auto"/>
            <w:noWrap/>
            <w:vAlign w:val="center"/>
            <w:hideMark/>
          </w:tcPr>
          <w:p w14:paraId="3F5A8CAD" w14:textId="1A4755A3"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6,7</w:t>
            </w:r>
          </w:p>
        </w:tc>
        <w:tc>
          <w:tcPr>
            <w:tcW w:w="1080" w:type="dxa"/>
            <w:tcBorders>
              <w:top w:val="nil"/>
              <w:left w:val="nil"/>
              <w:bottom w:val="nil"/>
              <w:right w:val="nil"/>
            </w:tcBorders>
            <w:shd w:val="clear" w:color="000000" w:fill="F2F2F2"/>
            <w:noWrap/>
            <w:vAlign w:val="center"/>
            <w:hideMark/>
          </w:tcPr>
          <w:p w14:paraId="0FD3A430"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54E8906"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70EB7EDF"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56F2D19"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6521C3C3" w14:textId="77777777" w:rsidR="00882A44" w:rsidRPr="004E21A0" w:rsidRDefault="00882A44" w:rsidP="00087737">
            <w:pPr>
              <w:spacing w:after="0" w:line="240" w:lineRule="auto"/>
              <w:ind w:firstLine="0"/>
              <w:jc w:val="left"/>
              <w:rPr>
                <w:rFonts w:eastAsia="Times New Roman" w:cs="Times New Roman"/>
                <w:sz w:val="20"/>
                <w:szCs w:val="20"/>
                <w:lang w:eastAsia="lv-LV"/>
              </w:rPr>
            </w:pPr>
          </w:p>
        </w:tc>
      </w:tr>
      <w:tr w:rsidR="00882A44" w:rsidRPr="004E21A0" w14:paraId="24543021" w14:textId="77777777" w:rsidTr="004E21A0">
        <w:trPr>
          <w:trHeight w:val="510"/>
          <w:jc w:val="center"/>
        </w:trPr>
        <w:tc>
          <w:tcPr>
            <w:tcW w:w="1980" w:type="dxa"/>
            <w:tcBorders>
              <w:top w:val="nil"/>
              <w:left w:val="nil"/>
              <w:bottom w:val="nil"/>
              <w:right w:val="nil"/>
            </w:tcBorders>
            <w:shd w:val="clear" w:color="000000" w:fill="DCE6F1"/>
            <w:vAlign w:val="center"/>
            <w:hideMark/>
          </w:tcPr>
          <w:p w14:paraId="0EBBEE87"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Atlīdzība uz vienu darbinieku (= 23/19)</w:t>
            </w:r>
          </w:p>
        </w:tc>
        <w:tc>
          <w:tcPr>
            <w:tcW w:w="860" w:type="dxa"/>
            <w:tcBorders>
              <w:top w:val="nil"/>
              <w:left w:val="nil"/>
              <w:bottom w:val="nil"/>
              <w:right w:val="nil"/>
            </w:tcBorders>
            <w:shd w:val="clear" w:color="000000" w:fill="DCE6F1"/>
            <w:noWrap/>
            <w:vAlign w:val="center"/>
            <w:hideMark/>
          </w:tcPr>
          <w:p w14:paraId="5ABA584E" w14:textId="77777777" w:rsidR="00882A44" w:rsidRPr="004E21A0" w:rsidRDefault="00882A44"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39DA8912" w14:textId="5F234BAB"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23 298</w:t>
            </w:r>
          </w:p>
        </w:tc>
        <w:tc>
          <w:tcPr>
            <w:tcW w:w="1080" w:type="dxa"/>
            <w:tcBorders>
              <w:top w:val="nil"/>
              <w:left w:val="nil"/>
              <w:bottom w:val="nil"/>
              <w:right w:val="nil"/>
            </w:tcBorders>
            <w:shd w:val="clear" w:color="auto" w:fill="auto"/>
            <w:noWrap/>
            <w:vAlign w:val="center"/>
            <w:hideMark/>
          </w:tcPr>
          <w:p w14:paraId="0FC93E20" w14:textId="4A40F4A8"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13,0</w:t>
            </w:r>
          </w:p>
        </w:tc>
        <w:tc>
          <w:tcPr>
            <w:tcW w:w="1080" w:type="dxa"/>
            <w:tcBorders>
              <w:top w:val="nil"/>
              <w:left w:val="nil"/>
              <w:bottom w:val="nil"/>
              <w:right w:val="nil"/>
            </w:tcBorders>
            <w:shd w:val="clear" w:color="auto" w:fill="auto"/>
            <w:noWrap/>
            <w:vAlign w:val="center"/>
            <w:hideMark/>
          </w:tcPr>
          <w:p w14:paraId="36610926" w14:textId="5B421079"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6,7</w:t>
            </w:r>
          </w:p>
        </w:tc>
        <w:tc>
          <w:tcPr>
            <w:tcW w:w="1080" w:type="dxa"/>
            <w:tcBorders>
              <w:top w:val="nil"/>
              <w:left w:val="nil"/>
              <w:bottom w:val="nil"/>
              <w:right w:val="nil"/>
            </w:tcBorders>
            <w:shd w:val="clear" w:color="000000" w:fill="F2F2F2"/>
            <w:noWrap/>
            <w:vAlign w:val="center"/>
            <w:hideMark/>
          </w:tcPr>
          <w:p w14:paraId="43A8C122"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C061662"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5095900F"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4C45CDA" w14:textId="77777777" w:rsidR="00882A44" w:rsidRPr="004E21A0" w:rsidRDefault="00882A44"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4C2AE306" w14:textId="77777777" w:rsidR="00882A44" w:rsidRPr="004E21A0" w:rsidRDefault="00882A44" w:rsidP="00087737">
            <w:pPr>
              <w:spacing w:after="0" w:line="240" w:lineRule="auto"/>
              <w:ind w:firstLine="0"/>
              <w:jc w:val="left"/>
              <w:rPr>
                <w:rFonts w:eastAsia="Times New Roman" w:cs="Times New Roman"/>
                <w:sz w:val="20"/>
                <w:szCs w:val="20"/>
                <w:lang w:eastAsia="lv-LV"/>
              </w:rPr>
            </w:pPr>
          </w:p>
        </w:tc>
      </w:tr>
      <w:tr w:rsidR="008A29F6" w:rsidRPr="004E21A0" w14:paraId="2612C475" w14:textId="77777777" w:rsidTr="00893C9C">
        <w:trPr>
          <w:trHeight w:val="315"/>
          <w:jc w:val="center"/>
        </w:trPr>
        <w:tc>
          <w:tcPr>
            <w:tcW w:w="1980" w:type="dxa"/>
            <w:tcBorders>
              <w:top w:val="nil"/>
              <w:left w:val="nil"/>
              <w:bottom w:val="nil"/>
              <w:right w:val="nil"/>
            </w:tcBorders>
            <w:shd w:val="clear" w:color="000000" w:fill="95B3D7"/>
            <w:noWrap/>
            <w:vAlign w:val="center"/>
            <w:hideMark/>
          </w:tcPr>
          <w:p w14:paraId="4CC71863"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860" w:type="dxa"/>
            <w:tcBorders>
              <w:top w:val="nil"/>
              <w:left w:val="nil"/>
              <w:bottom w:val="nil"/>
              <w:right w:val="nil"/>
            </w:tcBorders>
            <w:shd w:val="clear" w:color="000000" w:fill="95B3D7"/>
            <w:noWrap/>
            <w:vAlign w:val="center"/>
            <w:hideMark/>
          </w:tcPr>
          <w:p w14:paraId="0CFF62DD"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95B3D7"/>
            <w:noWrap/>
            <w:vAlign w:val="center"/>
            <w:hideMark/>
          </w:tcPr>
          <w:p w14:paraId="3C80640B"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95B3D7"/>
            <w:noWrap/>
            <w:vAlign w:val="center"/>
            <w:hideMark/>
          </w:tcPr>
          <w:p w14:paraId="248AD6D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w:t>
            </w:r>
          </w:p>
        </w:tc>
        <w:tc>
          <w:tcPr>
            <w:tcW w:w="1080" w:type="dxa"/>
            <w:tcBorders>
              <w:top w:val="nil"/>
              <w:left w:val="nil"/>
              <w:bottom w:val="nil"/>
              <w:right w:val="nil"/>
            </w:tcBorders>
            <w:shd w:val="clear" w:color="000000" w:fill="95B3D7"/>
            <w:noWrap/>
            <w:vAlign w:val="center"/>
            <w:hideMark/>
          </w:tcPr>
          <w:p w14:paraId="7D60853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w:t>
            </w:r>
          </w:p>
        </w:tc>
        <w:tc>
          <w:tcPr>
            <w:tcW w:w="1080" w:type="dxa"/>
            <w:tcBorders>
              <w:top w:val="nil"/>
              <w:left w:val="nil"/>
              <w:bottom w:val="nil"/>
              <w:right w:val="nil"/>
            </w:tcBorders>
            <w:shd w:val="clear" w:color="000000" w:fill="95B3D7"/>
            <w:noWrap/>
            <w:vAlign w:val="center"/>
            <w:hideMark/>
          </w:tcPr>
          <w:p w14:paraId="7AE46985"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w:t>
            </w:r>
          </w:p>
        </w:tc>
        <w:tc>
          <w:tcPr>
            <w:tcW w:w="1080" w:type="dxa"/>
            <w:tcBorders>
              <w:top w:val="nil"/>
              <w:left w:val="nil"/>
              <w:bottom w:val="nil"/>
              <w:right w:val="nil"/>
            </w:tcBorders>
            <w:shd w:val="clear" w:color="000000" w:fill="95B3D7"/>
            <w:noWrap/>
            <w:vAlign w:val="center"/>
            <w:hideMark/>
          </w:tcPr>
          <w:p w14:paraId="27B116F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w:t>
            </w:r>
          </w:p>
        </w:tc>
        <w:tc>
          <w:tcPr>
            <w:tcW w:w="1080" w:type="dxa"/>
            <w:tcBorders>
              <w:top w:val="nil"/>
              <w:left w:val="nil"/>
              <w:bottom w:val="nil"/>
              <w:right w:val="nil"/>
            </w:tcBorders>
            <w:shd w:val="clear" w:color="000000" w:fill="95B3D7"/>
            <w:noWrap/>
            <w:vAlign w:val="center"/>
            <w:hideMark/>
          </w:tcPr>
          <w:p w14:paraId="4FCAE11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w:t>
            </w:r>
          </w:p>
        </w:tc>
        <w:tc>
          <w:tcPr>
            <w:tcW w:w="1080" w:type="dxa"/>
            <w:tcBorders>
              <w:top w:val="nil"/>
              <w:left w:val="nil"/>
              <w:bottom w:val="nil"/>
              <w:right w:val="nil"/>
            </w:tcBorders>
            <w:shd w:val="clear" w:color="000000" w:fill="95B3D7"/>
            <w:noWrap/>
            <w:vAlign w:val="center"/>
            <w:hideMark/>
          </w:tcPr>
          <w:p w14:paraId="352AF82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w:t>
            </w:r>
          </w:p>
        </w:tc>
        <w:tc>
          <w:tcPr>
            <w:tcW w:w="222" w:type="dxa"/>
            <w:vAlign w:val="center"/>
            <w:hideMark/>
          </w:tcPr>
          <w:p w14:paraId="4C7E586A"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A29F6" w:rsidRPr="004E21A0" w14:paraId="4567F09F" w14:textId="77777777" w:rsidTr="004D0587">
        <w:trPr>
          <w:trHeight w:val="315"/>
          <w:jc w:val="center"/>
        </w:trPr>
        <w:tc>
          <w:tcPr>
            <w:tcW w:w="1980" w:type="dxa"/>
            <w:tcBorders>
              <w:top w:val="nil"/>
              <w:left w:val="nil"/>
              <w:bottom w:val="nil"/>
              <w:right w:val="nil"/>
            </w:tcBorders>
            <w:shd w:val="clear" w:color="000000" w:fill="DCE6F1"/>
            <w:noWrap/>
            <w:vAlign w:val="center"/>
            <w:hideMark/>
          </w:tcPr>
          <w:p w14:paraId="3907903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Bezdarba līmenis (%)</w:t>
            </w:r>
          </w:p>
        </w:tc>
        <w:tc>
          <w:tcPr>
            <w:tcW w:w="860" w:type="dxa"/>
            <w:tcBorders>
              <w:top w:val="nil"/>
              <w:left w:val="nil"/>
              <w:bottom w:val="nil"/>
              <w:right w:val="nil"/>
            </w:tcBorders>
            <w:shd w:val="clear" w:color="000000" w:fill="DCE6F1"/>
            <w:noWrap/>
            <w:vAlign w:val="center"/>
            <w:hideMark/>
          </w:tcPr>
          <w:p w14:paraId="7233CA3E"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7E2A4EF"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5CDE3AC4"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6,5</w:t>
            </w:r>
          </w:p>
        </w:tc>
        <w:tc>
          <w:tcPr>
            <w:tcW w:w="1080" w:type="dxa"/>
            <w:tcBorders>
              <w:top w:val="nil"/>
              <w:left w:val="nil"/>
              <w:bottom w:val="nil"/>
              <w:right w:val="nil"/>
            </w:tcBorders>
            <w:shd w:val="clear" w:color="auto" w:fill="auto"/>
            <w:noWrap/>
            <w:vAlign w:val="center"/>
            <w:hideMark/>
          </w:tcPr>
          <w:p w14:paraId="54815827"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6,7</w:t>
            </w:r>
          </w:p>
        </w:tc>
        <w:tc>
          <w:tcPr>
            <w:tcW w:w="1080" w:type="dxa"/>
            <w:tcBorders>
              <w:top w:val="nil"/>
              <w:left w:val="nil"/>
              <w:bottom w:val="nil"/>
              <w:right w:val="nil"/>
            </w:tcBorders>
            <w:shd w:val="clear" w:color="000000" w:fill="F2F2F2"/>
            <w:noWrap/>
            <w:vAlign w:val="center"/>
            <w:hideMark/>
          </w:tcPr>
          <w:p w14:paraId="011FC00A"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A16FA61"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E901E4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9E744B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58440B07"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40F61388" w14:textId="77777777" w:rsidTr="00893C9C">
        <w:trPr>
          <w:trHeight w:val="450"/>
          <w:jc w:val="center"/>
        </w:trPr>
        <w:tc>
          <w:tcPr>
            <w:tcW w:w="2840" w:type="dxa"/>
            <w:gridSpan w:val="2"/>
            <w:tcBorders>
              <w:top w:val="nil"/>
              <w:left w:val="nil"/>
              <w:bottom w:val="nil"/>
              <w:right w:val="nil"/>
            </w:tcBorders>
            <w:shd w:val="clear" w:color="000000" w:fill="95B3D7"/>
            <w:noWrap/>
            <w:vAlign w:val="center"/>
            <w:hideMark/>
          </w:tcPr>
          <w:p w14:paraId="3F86DEE0"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Potenciālais IKP un komponenti</w:t>
            </w:r>
          </w:p>
        </w:tc>
        <w:tc>
          <w:tcPr>
            <w:tcW w:w="1080" w:type="dxa"/>
            <w:tcBorders>
              <w:top w:val="nil"/>
              <w:left w:val="nil"/>
              <w:bottom w:val="nil"/>
              <w:right w:val="nil"/>
            </w:tcBorders>
            <w:shd w:val="clear" w:color="000000" w:fill="95B3D7"/>
            <w:noWrap/>
            <w:vAlign w:val="center"/>
            <w:hideMark/>
          </w:tcPr>
          <w:p w14:paraId="34210C6B"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95B3D7"/>
            <w:vAlign w:val="center"/>
            <w:hideMark/>
          </w:tcPr>
          <w:p w14:paraId="72E644E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06EF330F"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21867CC6"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3F6D85DB"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67B4F8CD"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1080" w:type="dxa"/>
            <w:tcBorders>
              <w:top w:val="nil"/>
              <w:left w:val="nil"/>
              <w:bottom w:val="nil"/>
              <w:right w:val="nil"/>
            </w:tcBorders>
            <w:shd w:val="clear" w:color="000000" w:fill="95B3D7"/>
            <w:vAlign w:val="center"/>
            <w:hideMark/>
          </w:tcPr>
          <w:p w14:paraId="24B9ACF0"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 temps</w:t>
            </w:r>
          </w:p>
        </w:tc>
        <w:tc>
          <w:tcPr>
            <w:tcW w:w="222" w:type="dxa"/>
            <w:vAlign w:val="center"/>
            <w:hideMark/>
          </w:tcPr>
          <w:p w14:paraId="022C2C36"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1007CBBB" w14:textId="77777777" w:rsidTr="00893C9C">
        <w:trPr>
          <w:trHeight w:val="315"/>
          <w:jc w:val="center"/>
        </w:trPr>
        <w:tc>
          <w:tcPr>
            <w:tcW w:w="1980" w:type="dxa"/>
            <w:tcBorders>
              <w:top w:val="nil"/>
              <w:left w:val="nil"/>
              <w:bottom w:val="nil"/>
              <w:right w:val="nil"/>
            </w:tcBorders>
            <w:shd w:val="clear" w:color="000000" w:fill="DCE6F1"/>
            <w:noWrap/>
            <w:vAlign w:val="center"/>
            <w:hideMark/>
          </w:tcPr>
          <w:p w14:paraId="2E3B0643"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Potenciālais IKP</w:t>
            </w:r>
          </w:p>
        </w:tc>
        <w:tc>
          <w:tcPr>
            <w:tcW w:w="860" w:type="dxa"/>
            <w:tcBorders>
              <w:top w:val="nil"/>
              <w:left w:val="nil"/>
              <w:bottom w:val="nil"/>
              <w:right w:val="nil"/>
            </w:tcBorders>
            <w:shd w:val="clear" w:color="000000" w:fill="DCE6F1"/>
            <w:noWrap/>
            <w:vAlign w:val="center"/>
            <w:hideMark/>
          </w:tcPr>
          <w:p w14:paraId="296C12EE"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21EFF17"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6A2CEBE5" w14:textId="713AC882"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2,3</w:t>
            </w:r>
          </w:p>
        </w:tc>
        <w:tc>
          <w:tcPr>
            <w:tcW w:w="1080" w:type="dxa"/>
            <w:tcBorders>
              <w:top w:val="nil"/>
              <w:left w:val="nil"/>
              <w:bottom w:val="nil"/>
              <w:right w:val="nil"/>
            </w:tcBorders>
            <w:shd w:val="clear" w:color="auto" w:fill="auto"/>
            <w:noWrap/>
            <w:vAlign w:val="center"/>
            <w:hideMark/>
          </w:tcPr>
          <w:p w14:paraId="5862A886" w14:textId="4CEF8539"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2,2</w:t>
            </w:r>
          </w:p>
        </w:tc>
        <w:tc>
          <w:tcPr>
            <w:tcW w:w="1080" w:type="dxa"/>
            <w:tcBorders>
              <w:top w:val="nil"/>
              <w:left w:val="nil"/>
              <w:bottom w:val="nil"/>
              <w:right w:val="nil"/>
            </w:tcBorders>
            <w:shd w:val="clear" w:color="auto" w:fill="auto"/>
            <w:noWrap/>
            <w:vAlign w:val="center"/>
            <w:hideMark/>
          </w:tcPr>
          <w:p w14:paraId="5BE811F1" w14:textId="1A74E5B4"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2,1</w:t>
            </w:r>
          </w:p>
        </w:tc>
        <w:tc>
          <w:tcPr>
            <w:tcW w:w="1080" w:type="dxa"/>
            <w:tcBorders>
              <w:top w:val="nil"/>
              <w:left w:val="nil"/>
              <w:bottom w:val="nil"/>
              <w:right w:val="nil"/>
            </w:tcBorders>
            <w:shd w:val="clear" w:color="auto" w:fill="auto"/>
            <w:noWrap/>
            <w:vAlign w:val="center"/>
            <w:hideMark/>
          </w:tcPr>
          <w:p w14:paraId="71052EA7" w14:textId="4968A5C9"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1,2</w:t>
            </w:r>
          </w:p>
        </w:tc>
        <w:tc>
          <w:tcPr>
            <w:tcW w:w="1080" w:type="dxa"/>
            <w:tcBorders>
              <w:top w:val="nil"/>
              <w:left w:val="nil"/>
              <w:bottom w:val="nil"/>
              <w:right w:val="nil"/>
            </w:tcBorders>
            <w:shd w:val="clear" w:color="auto" w:fill="auto"/>
            <w:noWrap/>
            <w:vAlign w:val="center"/>
            <w:hideMark/>
          </w:tcPr>
          <w:p w14:paraId="6EDBB048" w14:textId="5CA556CC"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0,9</w:t>
            </w:r>
          </w:p>
        </w:tc>
        <w:tc>
          <w:tcPr>
            <w:tcW w:w="1080" w:type="dxa"/>
            <w:tcBorders>
              <w:top w:val="nil"/>
              <w:left w:val="nil"/>
              <w:bottom w:val="nil"/>
              <w:right w:val="nil"/>
            </w:tcBorders>
            <w:shd w:val="clear" w:color="auto" w:fill="auto"/>
            <w:noWrap/>
            <w:vAlign w:val="center"/>
            <w:hideMark/>
          </w:tcPr>
          <w:p w14:paraId="7D069E7B" w14:textId="656F5234"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0,9</w:t>
            </w:r>
          </w:p>
        </w:tc>
        <w:tc>
          <w:tcPr>
            <w:tcW w:w="222" w:type="dxa"/>
            <w:vAlign w:val="center"/>
            <w:hideMark/>
          </w:tcPr>
          <w:p w14:paraId="01FADD48" w14:textId="77777777" w:rsidR="00893C9C" w:rsidRPr="004E21A0" w:rsidRDefault="00893C9C" w:rsidP="00087737">
            <w:pPr>
              <w:spacing w:after="0" w:line="240" w:lineRule="auto"/>
              <w:ind w:firstLine="0"/>
              <w:jc w:val="left"/>
              <w:rPr>
                <w:rFonts w:eastAsia="Times New Roman" w:cs="Times New Roman"/>
                <w:sz w:val="20"/>
                <w:szCs w:val="20"/>
                <w:lang w:eastAsia="lv-LV"/>
              </w:rPr>
            </w:pPr>
          </w:p>
        </w:tc>
      </w:tr>
      <w:tr w:rsidR="008A29F6" w:rsidRPr="004E21A0" w14:paraId="4BC3C02E" w14:textId="77777777" w:rsidTr="004D0587">
        <w:trPr>
          <w:trHeight w:val="315"/>
          <w:jc w:val="center"/>
        </w:trPr>
        <w:tc>
          <w:tcPr>
            <w:tcW w:w="3920" w:type="dxa"/>
            <w:gridSpan w:val="3"/>
            <w:tcBorders>
              <w:top w:val="nil"/>
              <w:left w:val="nil"/>
              <w:bottom w:val="nil"/>
              <w:right w:val="nil"/>
            </w:tcBorders>
            <w:shd w:val="clear" w:color="000000" w:fill="DCE6F1"/>
            <w:noWrap/>
            <w:vAlign w:val="center"/>
            <w:hideMark/>
          </w:tcPr>
          <w:p w14:paraId="62F0F9E5" w14:textId="77777777" w:rsidR="00F05DE0"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Devums potenciālajam </w:t>
            </w:r>
          </w:p>
          <w:p w14:paraId="161F7DBC" w14:textId="7CC9C0A8"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pieaugumam</w:t>
            </w:r>
          </w:p>
        </w:tc>
        <w:tc>
          <w:tcPr>
            <w:tcW w:w="1080" w:type="dxa"/>
            <w:tcBorders>
              <w:top w:val="nil"/>
              <w:left w:val="nil"/>
              <w:bottom w:val="nil"/>
              <w:right w:val="nil"/>
            </w:tcBorders>
            <w:shd w:val="clear" w:color="000000" w:fill="DCE6F1"/>
            <w:noWrap/>
            <w:vAlign w:val="center"/>
            <w:hideMark/>
          </w:tcPr>
          <w:p w14:paraId="512753A3"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6CC072D9"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2E02D87B"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3E37C505"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7C8E1E97"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DCE6F1"/>
            <w:noWrap/>
            <w:vAlign w:val="center"/>
            <w:hideMark/>
          </w:tcPr>
          <w:p w14:paraId="73387586"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58017A75"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03D09C34" w14:textId="77777777" w:rsidTr="004D0587">
        <w:trPr>
          <w:trHeight w:val="315"/>
          <w:jc w:val="center"/>
        </w:trPr>
        <w:tc>
          <w:tcPr>
            <w:tcW w:w="1980" w:type="dxa"/>
            <w:tcBorders>
              <w:top w:val="nil"/>
              <w:left w:val="nil"/>
              <w:bottom w:val="nil"/>
              <w:right w:val="nil"/>
            </w:tcBorders>
            <w:shd w:val="clear" w:color="000000" w:fill="DCE6F1"/>
            <w:noWrap/>
            <w:vAlign w:val="center"/>
            <w:hideMark/>
          </w:tcPr>
          <w:p w14:paraId="2FB09135"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Darbaspēks</w:t>
            </w:r>
          </w:p>
        </w:tc>
        <w:tc>
          <w:tcPr>
            <w:tcW w:w="860" w:type="dxa"/>
            <w:tcBorders>
              <w:top w:val="nil"/>
              <w:left w:val="nil"/>
              <w:bottom w:val="nil"/>
              <w:right w:val="nil"/>
            </w:tcBorders>
            <w:shd w:val="clear" w:color="000000" w:fill="DCE6F1"/>
            <w:noWrap/>
            <w:vAlign w:val="center"/>
            <w:hideMark/>
          </w:tcPr>
          <w:p w14:paraId="23BF78B2"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0386015C"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46EEDED8" w14:textId="03AA6D6A"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0,0</w:t>
            </w:r>
          </w:p>
        </w:tc>
        <w:tc>
          <w:tcPr>
            <w:tcW w:w="1080" w:type="dxa"/>
            <w:tcBorders>
              <w:top w:val="nil"/>
              <w:left w:val="nil"/>
              <w:bottom w:val="nil"/>
              <w:right w:val="nil"/>
            </w:tcBorders>
            <w:shd w:val="clear" w:color="auto" w:fill="auto"/>
            <w:noWrap/>
            <w:vAlign w:val="center"/>
            <w:hideMark/>
          </w:tcPr>
          <w:p w14:paraId="54E7D5B1" w14:textId="389F4F5C"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0,1</w:t>
            </w:r>
          </w:p>
        </w:tc>
        <w:tc>
          <w:tcPr>
            <w:tcW w:w="1080" w:type="dxa"/>
            <w:tcBorders>
              <w:top w:val="nil"/>
              <w:left w:val="nil"/>
              <w:bottom w:val="nil"/>
              <w:right w:val="nil"/>
            </w:tcBorders>
            <w:shd w:val="clear" w:color="000000" w:fill="F2F2F2"/>
            <w:noWrap/>
            <w:vAlign w:val="center"/>
            <w:hideMark/>
          </w:tcPr>
          <w:p w14:paraId="5CFDBD3E"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0D51DA7A"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83743D4"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B31D6C3"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6208B9E6" w14:textId="77777777" w:rsidR="00893C9C" w:rsidRPr="004E21A0" w:rsidRDefault="00893C9C" w:rsidP="00087737">
            <w:pPr>
              <w:spacing w:after="0" w:line="240" w:lineRule="auto"/>
              <w:ind w:firstLine="0"/>
              <w:jc w:val="left"/>
              <w:rPr>
                <w:rFonts w:eastAsia="Times New Roman" w:cs="Times New Roman"/>
                <w:sz w:val="20"/>
                <w:szCs w:val="20"/>
                <w:lang w:eastAsia="lv-LV"/>
              </w:rPr>
            </w:pPr>
          </w:p>
        </w:tc>
      </w:tr>
      <w:tr w:rsidR="00893C9C" w:rsidRPr="004E21A0" w14:paraId="3E4A7E25" w14:textId="77777777" w:rsidTr="004D0587">
        <w:trPr>
          <w:trHeight w:val="315"/>
          <w:jc w:val="center"/>
        </w:trPr>
        <w:tc>
          <w:tcPr>
            <w:tcW w:w="1980" w:type="dxa"/>
            <w:tcBorders>
              <w:top w:val="nil"/>
              <w:left w:val="nil"/>
              <w:bottom w:val="nil"/>
              <w:right w:val="nil"/>
            </w:tcBorders>
            <w:shd w:val="clear" w:color="000000" w:fill="DCE6F1"/>
            <w:noWrap/>
            <w:vAlign w:val="center"/>
            <w:hideMark/>
          </w:tcPr>
          <w:p w14:paraId="75051CBA"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Kapitāls</w:t>
            </w:r>
          </w:p>
        </w:tc>
        <w:tc>
          <w:tcPr>
            <w:tcW w:w="860" w:type="dxa"/>
            <w:tcBorders>
              <w:top w:val="nil"/>
              <w:left w:val="nil"/>
              <w:bottom w:val="nil"/>
              <w:right w:val="nil"/>
            </w:tcBorders>
            <w:shd w:val="clear" w:color="000000" w:fill="DCE6F1"/>
            <w:noWrap/>
            <w:vAlign w:val="center"/>
            <w:hideMark/>
          </w:tcPr>
          <w:p w14:paraId="602C015B"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133CEE95"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23997A89" w14:textId="68110008"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0,9</w:t>
            </w:r>
          </w:p>
        </w:tc>
        <w:tc>
          <w:tcPr>
            <w:tcW w:w="1080" w:type="dxa"/>
            <w:tcBorders>
              <w:top w:val="nil"/>
              <w:left w:val="nil"/>
              <w:bottom w:val="nil"/>
              <w:right w:val="nil"/>
            </w:tcBorders>
            <w:shd w:val="clear" w:color="auto" w:fill="auto"/>
            <w:noWrap/>
            <w:vAlign w:val="center"/>
            <w:hideMark/>
          </w:tcPr>
          <w:p w14:paraId="51FE9A48" w14:textId="4AAC274C"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0,8</w:t>
            </w:r>
          </w:p>
        </w:tc>
        <w:tc>
          <w:tcPr>
            <w:tcW w:w="1080" w:type="dxa"/>
            <w:tcBorders>
              <w:top w:val="nil"/>
              <w:left w:val="nil"/>
              <w:bottom w:val="nil"/>
              <w:right w:val="nil"/>
            </w:tcBorders>
            <w:shd w:val="clear" w:color="000000" w:fill="F2F2F2"/>
            <w:noWrap/>
            <w:vAlign w:val="center"/>
            <w:hideMark/>
          </w:tcPr>
          <w:p w14:paraId="2F71A50F"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35D5EF51"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B4AB91C"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CAC5A57"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6B12761F" w14:textId="77777777" w:rsidR="00893C9C" w:rsidRPr="004E21A0" w:rsidRDefault="00893C9C" w:rsidP="00087737">
            <w:pPr>
              <w:spacing w:after="0" w:line="240" w:lineRule="auto"/>
              <w:ind w:firstLine="0"/>
              <w:jc w:val="left"/>
              <w:rPr>
                <w:rFonts w:eastAsia="Times New Roman" w:cs="Times New Roman"/>
                <w:sz w:val="20"/>
                <w:szCs w:val="20"/>
                <w:lang w:eastAsia="lv-LV"/>
              </w:rPr>
            </w:pPr>
          </w:p>
        </w:tc>
      </w:tr>
      <w:tr w:rsidR="00893C9C" w:rsidRPr="004E21A0" w14:paraId="6B0B3372" w14:textId="77777777" w:rsidTr="004D0587">
        <w:trPr>
          <w:trHeight w:val="315"/>
          <w:jc w:val="center"/>
        </w:trPr>
        <w:tc>
          <w:tcPr>
            <w:tcW w:w="2840" w:type="dxa"/>
            <w:gridSpan w:val="2"/>
            <w:tcBorders>
              <w:top w:val="nil"/>
              <w:left w:val="nil"/>
              <w:bottom w:val="nil"/>
              <w:right w:val="nil"/>
            </w:tcBorders>
            <w:shd w:val="clear" w:color="000000" w:fill="DCE6F1"/>
            <w:noWrap/>
            <w:vAlign w:val="center"/>
            <w:hideMark/>
          </w:tcPr>
          <w:p w14:paraId="4AD62716"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Kopējā faktoru produktivitāte</w:t>
            </w:r>
          </w:p>
        </w:tc>
        <w:tc>
          <w:tcPr>
            <w:tcW w:w="1080" w:type="dxa"/>
            <w:tcBorders>
              <w:top w:val="nil"/>
              <w:left w:val="nil"/>
              <w:bottom w:val="nil"/>
              <w:right w:val="nil"/>
            </w:tcBorders>
            <w:shd w:val="clear" w:color="000000" w:fill="F2F2F2"/>
            <w:noWrap/>
            <w:vAlign w:val="center"/>
            <w:hideMark/>
          </w:tcPr>
          <w:p w14:paraId="14A64213"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49418687" w14:textId="77FA0288"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1,4</w:t>
            </w:r>
          </w:p>
        </w:tc>
        <w:tc>
          <w:tcPr>
            <w:tcW w:w="1080" w:type="dxa"/>
            <w:tcBorders>
              <w:top w:val="nil"/>
              <w:left w:val="nil"/>
              <w:bottom w:val="nil"/>
              <w:right w:val="nil"/>
            </w:tcBorders>
            <w:shd w:val="clear" w:color="auto" w:fill="auto"/>
            <w:noWrap/>
            <w:vAlign w:val="center"/>
            <w:hideMark/>
          </w:tcPr>
          <w:p w14:paraId="71D2C8A6" w14:textId="5CC7EE4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1,4</w:t>
            </w:r>
          </w:p>
        </w:tc>
        <w:tc>
          <w:tcPr>
            <w:tcW w:w="1080" w:type="dxa"/>
            <w:tcBorders>
              <w:top w:val="nil"/>
              <w:left w:val="nil"/>
              <w:bottom w:val="nil"/>
              <w:right w:val="nil"/>
            </w:tcBorders>
            <w:shd w:val="clear" w:color="000000" w:fill="F2F2F2"/>
            <w:noWrap/>
            <w:hideMark/>
          </w:tcPr>
          <w:p w14:paraId="3E687FD1" w14:textId="5D18503F" w:rsidR="00893C9C" w:rsidRPr="004E21A0" w:rsidRDefault="00893C9C" w:rsidP="00087737">
            <w:pPr>
              <w:spacing w:after="0" w:line="240" w:lineRule="auto"/>
              <w:ind w:firstLine="0"/>
              <w:rPr>
                <w:rFonts w:eastAsia="Times New Roman" w:cs="Times New Roman"/>
                <w:color w:val="000000"/>
                <w:sz w:val="20"/>
                <w:szCs w:val="20"/>
                <w:lang w:eastAsia="lv-LV"/>
              </w:rPr>
            </w:pPr>
          </w:p>
        </w:tc>
        <w:tc>
          <w:tcPr>
            <w:tcW w:w="1080" w:type="dxa"/>
            <w:tcBorders>
              <w:top w:val="nil"/>
              <w:left w:val="nil"/>
              <w:bottom w:val="nil"/>
              <w:right w:val="nil"/>
            </w:tcBorders>
            <w:shd w:val="clear" w:color="000000" w:fill="F2F2F2"/>
            <w:noWrap/>
            <w:vAlign w:val="center"/>
            <w:hideMark/>
          </w:tcPr>
          <w:p w14:paraId="49FC43FA"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6DC8997F"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43B58882" w14:textId="77777777"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222" w:type="dxa"/>
            <w:vAlign w:val="center"/>
            <w:hideMark/>
          </w:tcPr>
          <w:p w14:paraId="2642C84F" w14:textId="77777777" w:rsidR="00893C9C" w:rsidRPr="004E21A0" w:rsidRDefault="00893C9C" w:rsidP="00087737">
            <w:pPr>
              <w:spacing w:after="0" w:line="240" w:lineRule="auto"/>
              <w:ind w:firstLine="0"/>
              <w:jc w:val="left"/>
              <w:rPr>
                <w:rFonts w:eastAsia="Times New Roman" w:cs="Times New Roman"/>
                <w:sz w:val="20"/>
                <w:szCs w:val="20"/>
                <w:lang w:eastAsia="lv-LV"/>
              </w:rPr>
            </w:pPr>
          </w:p>
        </w:tc>
      </w:tr>
      <w:tr w:rsidR="008A29F6" w:rsidRPr="004E21A0" w14:paraId="398C0DB9" w14:textId="77777777" w:rsidTr="00893C9C">
        <w:trPr>
          <w:trHeight w:val="510"/>
          <w:jc w:val="center"/>
        </w:trPr>
        <w:tc>
          <w:tcPr>
            <w:tcW w:w="1980" w:type="dxa"/>
            <w:tcBorders>
              <w:top w:val="nil"/>
              <w:left w:val="nil"/>
              <w:bottom w:val="nil"/>
              <w:right w:val="nil"/>
            </w:tcBorders>
            <w:shd w:val="clear" w:color="000000" w:fill="95B3D7"/>
            <w:noWrap/>
            <w:vAlign w:val="center"/>
            <w:hideMark/>
          </w:tcPr>
          <w:p w14:paraId="27C197D3" w14:textId="77777777" w:rsidR="008A29F6" w:rsidRPr="004E21A0" w:rsidRDefault="008A29F6" w:rsidP="00087737">
            <w:pPr>
              <w:spacing w:after="0" w:line="240" w:lineRule="auto"/>
              <w:ind w:firstLine="0"/>
              <w:jc w:val="left"/>
              <w:rPr>
                <w:rFonts w:eastAsia="Times New Roman" w:cs="Times New Roman"/>
                <w:b/>
                <w:bCs/>
                <w:color w:val="000000"/>
                <w:sz w:val="20"/>
                <w:szCs w:val="20"/>
                <w:lang w:eastAsia="lv-LV"/>
              </w:rPr>
            </w:pPr>
            <w:r w:rsidRPr="004E21A0">
              <w:rPr>
                <w:rFonts w:eastAsia="Times New Roman" w:cs="Times New Roman"/>
                <w:b/>
                <w:bCs/>
                <w:color w:val="000000"/>
                <w:sz w:val="20"/>
                <w:szCs w:val="20"/>
                <w:lang w:eastAsia="lv-LV"/>
              </w:rPr>
              <w:t> </w:t>
            </w:r>
          </w:p>
        </w:tc>
        <w:tc>
          <w:tcPr>
            <w:tcW w:w="860" w:type="dxa"/>
            <w:tcBorders>
              <w:top w:val="nil"/>
              <w:left w:val="nil"/>
              <w:bottom w:val="nil"/>
              <w:right w:val="nil"/>
            </w:tcBorders>
            <w:shd w:val="clear" w:color="000000" w:fill="95B3D7"/>
            <w:noWrap/>
            <w:vAlign w:val="center"/>
            <w:hideMark/>
          </w:tcPr>
          <w:p w14:paraId="48EA336C"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95B3D7"/>
            <w:noWrap/>
            <w:vAlign w:val="center"/>
            <w:hideMark/>
          </w:tcPr>
          <w:p w14:paraId="5BC391CC" w14:textId="77777777" w:rsidR="008A29F6" w:rsidRPr="004E21A0" w:rsidRDefault="008A29F6"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95B3D7"/>
            <w:vAlign w:val="center"/>
            <w:hideMark/>
          </w:tcPr>
          <w:p w14:paraId="78BD1799"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 no </w:t>
            </w:r>
            <w:proofErr w:type="spellStart"/>
            <w:r w:rsidRPr="004E21A0">
              <w:rPr>
                <w:rFonts w:eastAsia="Times New Roman" w:cs="Times New Roman"/>
                <w:color w:val="000000"/>
                <w:sz w:val="20"/>
                <w:szCs w:val="20"/>
                <w:lang w:eastAsia="lv-LV"/>
              </w:rPr>
              <w:t>pot</w:t>
            </w:r>
            <w:proofErr w:type="spellEnd"/>
            <w:r w:rsidRPr="004E21A0">
              <w:rPr>
                <w:rFonts w:eastAsia="Times New Roman" w:cs="Times New Roman"/>
                <w:color w:val="000000"/>
                <w:sz w:val="20"/>
                <w:szCs w:val="20"/>
                <w:lang w:eastAsia="lv-LV"/>
              </w:rPr>
              <w:t>. IKP</w:t>
            </w:r>
          </w:p>
        </w:tc>
        <w:tc>
          <w:tcPr>
            <w:tcW w:w="1080" w:type="dxa"/>
            <w:tcBorders>
              <w:top w:val="nil"/>
              <w:left w:val="nil"/>
              <w:bottom w:val="nil"/>
              <w:right w:val="nil"/>
            </w:tcBorders>
            <w:shd w:val="clear" w:color="000000" w:fill="95B3D7"/>
            <w:vAlign w:val="center"/>
            <w:hideMark/>
          </w:tcPr>
          <w:p w14:paraId="093F364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 no </w:t>
            </w:r>
            <w:proofErr w:type="spellStart"/>
            <w:r w:rsidRPr="004E21A0">
              <w:rPr>
                <w:rFonts w:eastAsia="Times New Roman" w:cs="Times New Roman"/>
                <w:color w:val="000000"/>
                <w:sz w:val="20"/>
                <w:szCs w:val="20"/>
                <w:lang w:eastAsia="lv-LV"/>
              </w:rPr>
              <w:t>pot</w:t>
            </w:r>
            <w:proofErr w:type="spellEnd"/>
            <w:r w:rsidRPr="004E21A0">
              <w:rPr>
                <w:rFonts w:eastAsia="Times New Roman" w:cs="Times New Roman"/>
                <w:color w:val="000000"/>
                <w:sz w:val="20"/>
                <w:szCs w:val="20"/>
                <w:lang w:eastAsia="lv-LV"/>
              </w:rPr>
              <w:t>. IKP</w:t>
            </w:r>
          </w:p>
        </w:tc>
        <w:tc>
          <w:tcPr>
            <w:tcW w:w="1080" w:type="dxa"/>
            <w:tcBorders>
              <w:top w:val="nil"/>
              <w:left w:val="nil"/>
              <w:bottom w:val="nil"/>
              <w:right w:val="nil"/>
            </w:tcBorders>
            <w:shd w:val="clear" w:color="000000" w:fill="95B3D7"/>
            <w:vAlign w:val="center"/>
            <w:hideMark/>
          </w:tcPr>
          <w:p w14:paraId="591218A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 no </w:t>
            </w:r>
            <w:proofErr w:type="spellStart"/>
            <w:r w:rsidRPr="004E21A0">
              <w:rPr>
                <w:rFonts w:eastAsia="Times New Roman" w:cs="Times New Roman"/>
                <w:color w:val="000000"/>
                <w:sz w:val="20"/>
                <w:szCs w:val="20"/>
                <w:lang w:eastAsia="lv-LV"/>
              </w:rPr>
              <w:t>pot</w:t>
            </w:r>
            <w:proofErr w:type="spellEnd"/>
            <w:r w:rsidRPr="004E21A0">
              <w:rPr>
                <w:rFonts w:eastAsia="Times New Roman" w:cs="Times New Roman"/>
                <w:color w:val="000000"/>
                <w:sz w:val="20"/>
                <w:szCs w:val="20"/>
                <w:lang w:eastAsia="lv-LV"/>
              </w:rPr>
              <w:t>. IKP</w:t>
            </w:r>
          </w:p>
        </w:tc>
        <w:tc>
          <w:tcPr>
            <w:tcW w:w="1080" w:type="dxa"/>
            <w:tcBorders>
              <w:top w:val="nil"/>
              <w:left w:val="nil"/>
              <w:bottom w:val="nil"/>
              <w:right w:val="nil"/>
            </w:tcBorders>
            <w:shd w:val="clear" w:color="000000" w:fill="95B3D7"/>
            <w:vAlign w:val="center"/>
            <w:hideMark/>
          </w:tcPr>
          <w:p w14:paraId="2647ECB3"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 no </w:t>
            </w:r>
            <w:proofErr w:type="spellStart"/>
            <w:r w:rsidRPr="004E21A0">
              <w:rPr>
                <w:rFonts w:eastAsia="Times New Roman" w:cs="Times New Roman"/>
                <w:color w:val="000000"/>
                <w:sz w:val="20"/>
                <w:szCs w:val="20"/>
                <w:lang w:eastAsia="lv-LV"/>
              </w:rPr>
              <w:t>pot</w:t>
            </w:r>
            <w:proofErr w:type="spellEnd"/>
            <w:r w:rsidRPr="004E21A0">
              <w:rPr>
                <w:rFonts w:eastAsia="Times New Roman" w:cs="Times New Roman"/>
                <w:color w:val="000000"/>
                <w:sz w:val="20"/>
                <w:szCs w:val="20"/>
                <w:lang w:eastAsia="lv-LV"/>
              </w:rPr>
              <w:t>. IKP</w:t>
            </w:r>
          </w:p>
        </w:tc>
        <w:tc>
          <w:tcPr>
            <w:tcW w:w="1080" w:type="dxa"/>
            <w:tcBorders>
              <w:top w:val="nil"/>
              <w:left w:val="nil"/>
              <w:bottom w:val="nil"/>
              <w:right w:val="nil"/>
            </w:tcBorders>
            <w:shd w:val="clear" w:color="000000" w:fill="95B3D7"/>
            <w:vAlign w:val="center"/>
            <w:hideMark/>
          </w:tcPr>
          <w:p w14:paraId="30504D72"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 no </w:t>
            </w:r>
            <w:proofErr w:type="spellStart"/>
            <w:r w:rsidRPr="004E21A0">
              <w:rPr>
                <w:rFonts w:eastAsia="Times New Roman" w:cs="Times New Roman"/>
                <w:color w:val="000000"/>
                <w:sz w:val="20"/>
                <w:szCs w:val="20"/>
                <w:lang w:eastAsia="lv-LV"/>
              </w:rPr>
              <w:t>pot</w:t>
            </w:r>
            <w:proofErr w:type="spellEnd"/>
            <w:r w:rsidRPr="004E21A0">
              <w:rPr>
                <w:rFonts w:eastAsia="Times New Roman" w:cs="Times New Roman"/>
                <w:color w:val="000000"/>
                <w:sz w:val="20"/>
                <w:szCs w:val="20"/>
                <w:lang w:eastAsia="lv-LV"/>
              </w:rPr>
              <w:t>. IKP</w:t>
            </w:r>
          </w:p>
        </w:tc>
        <w:tc>
          <w:tcPr>
            <w:tcW w:w="1080" w:type="dxa"/>
            <w:tcBorders>
              <w:top w:val="nil"/>
              <w:left w:val="nil"/>
              <w:bottom w:val="nil"/>
              <w:right w:val="nil"/>
            </w:tcBorders>
            <w:shd w:val="clear" w:color="000000" w:fill="95B3D7"/>
            <w:vAlign w:val="center"/>
            <w:hideMark/>
          </w:tcPr>
          <w:p w14:paraId="13B7CDA8" w14:textId="77777777" w:rsidR="008A29F6" w:rsidRPr="004E21A0" w:rsidRDefault="008A29F6" w:rsidP="00087737">
            <w:pPr>
              <w:spacing w:after="0" w:line="240" w:lineRule="auto"/>
              <w:ind w:firstLine="0"/>
              <w:jc w:val="center"/>
              <w:rPr>
                <w:rFonts w:eastAsia="Times New Roman" w:cs="Times New Roman"/>
                <w:color w:val="000000"/>
                <w:sz w:val="20"/>
                <w:szCs w:val="20"/>
                <w:lang w:eastAsia="lv-LV"/>
              </w:rPr>
            </w:pPr>
            <w:r w:rsidRPr="004E21A0">
              <w:rPr>
                <w:rFonts w:eastAsia="Times New Roman" w:cs="Times New Roman"/>
                <w:color w:val="000000"/>
                <w:sz w:val="20"/>
                <w:szCs w:val="20"/>
                <w:lang w:eastAsia="lv-LV"/>
              </w:rPr>
              <w:t xml:space="preserve">% no </w:t>
            </w:r>
            <w:proofErr w:type="spellStart"/>
            <w:r w:rsidRPr="004E21A0">
              <w:rPr>
                <w:rFonts w:eastAsia="Times New Roman" w:cs="Times New Roman"/>
                <w:color w:val="000000"/>
                <w:sz w:val="20"/>
                <w:szCs w:val="20"/>
                <w:lang w:eastAsia="lv-LV"/>
              </w:rPr>
              <w:t>pot</w:t>
            </w:r>
            <w:proofErr w:type="spellEnd"/>
            <w:r w:rsidRPr="004E21A0">
              <w:rPr>
                <w:rFonts w:eastAsia="Times New Roman" w:cs="Times New Roman"/>
                <w:color w:val="000000"/>
                <w:sz w:val="20"/>
                <w:szCs w:val="20"/>
                <w:lang w:eastAsia="lv-LV"/>
              </w:rPr>
              <w:t>. IKP</w:t>
            </w:r>
          </w:p>
        </w:tc>
        <w:tc>
          <w:tcPr>
            <w:tcW w:w="222" w:type="dxa"/>
            <w:vAlign w:val="center"/>
            <w:hideMark/>
          </w:tcPr>
          <w:p w14:paraId="0D596533" w14:textId="77777777" w:rsidR="008A29F6" w:rsidRPr="004E21A0" w:rsidRDefault="008A29F6" w:rsidP="00087737">
            <w:pPr>
              <w:spacing w:after="0" w:line="240" w:lineRule="auto"/>
              <w:ind w:firstLine="0"/>
              <w:jc w:val="left"/>
              <w:rPr>
                <w:rFonts w:eastAsia="Times New Roman" w:cs="Times New Roman"/>
                <w:sz w:val="20"/>
                <w:szCs w:val="20"/>
                <w:lang w:eastAsia="lv-LV"/>
              </w:rPr>
            </w:pPr>
          </w:p>
        </w:tc>
      </w:tr>
      <w:tr w:rsidR="00893C9C" w:rsidRPr="004E21A0" w14:paraId="5498BA43" w14:textId="77777777" w:rsidTr="00893C9C">
        <w:trPr>
          <w:trHeight w:val="315"/>
          <w:jc w:val="center"/>
        </w:trPr>
        <w:tc>
          <w:tcPr>
            <w:tcW w:w="1980" w:type="dxa"/>
            <w:tcBorders>
              <w:top w:val="nil"/>
              <w:left w:val="nil"/>
              <w:bottom w:val="nil"/>
              <w:right w:val="nil"/>
            </w:tcBorders>
            <w:shd w:val="clear" w:color="000000" w:fill="DCE6F1"/>
            <w:noWrap/>
            <w:vAlign w:val="center"/>
            <w:hideMark/>
          </w:tcPr>
          <w:p w14:paraId="4CF754E3"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Izlaides starpība</w:t>
            </w:r>
          </w:p>
        </w:tc>
        <w:tc>
          <w:tcPr>
            <w:tcW w:w="860" w:type="dxa"/>
            <w:tcBorders>
              <w:top w:val="nil"/>
              <w:left w:val="nil"/>
              <w:bottom w:val="nil"/>
              <w:right w:val="nil"/>
            </w:tcBorders>
            <w:shd w:val="clear" w:color="000000" w:fill="DCE6F1"/>
            <w:noWrap/>
            <w:vAlign w:val="center"/>
            <w:hideMark/>
          </w:tcPr>
          <w:p w14:paraId="47806AC5"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000000" w:fill="F2F2F2"/>
            <w:noWrap/>
            <w:vAlign w:val="center"/>
            <w:hideMark/>
          </w:tcPr>
          <w:p w14:paraId="248CED65" w14:textId="77777777" w:rsidR="00893C9C" w:rsidRPr="004E21A0" w:rsidRDefault="00893C9C" w:rsidP="00087737">
            <w:pPr>
              <w:spacing w:after="0" w:line="240" w:lineRule="auto"/>
              <w:ind w:firstLine="0"/>
              <w:jc w:val="left"/>
              <w:rPr>
                <w:rFonts w:eastAsia="Times New Roman" w:cs="Times New Roman"/>
                <w:color w:val="000000"/>
                <w:sz w:val="20"/>
                <w:szCs w:val="20"/>
                <w:lang w:eastAsia="lv-LV"/>
              </w:rPr>
            </w:pPr>
            <w:r w:rsidRPr="004E21A0">
              <w:rPr>
                <w:rFonts w:eastAsia="Times New Roman" w:cs="Times New Roman"/>
                <w:color w:val="000000"/>
                <w:sz w:val="20"/>
                <w:szCs w:val="20"/>
                <w:lang w:eastAsia="lv-LV"/>
              </w:rPr>
              <w:t> </w:t>
            </w:r>
          </w:p>
        </w:tc>
        <w:tc>
          <w:tcPr>
            <w:tcW w:w="1080" w:type="dxa"/>
            <w:tcBorders>
              <w:top w:val="nil"/>
              <w:left w:val="nil"/>
              <w:bottom w:val="nil"/>
              <w:right w:val="nil"/>
            </w:tcBorders>
            <w:shd w:val="clear" w:color="auto" w:fill="auto"/>
            <w:noWrap/>
            <w:vAlign w:val="center"/>
            <w:hideMark/>
          </w:tcPr>
          <w:p w14:paraId="4D7C0FC3" w14:textId="10E1062E"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-1,0</w:t>
            </w:r>
          </w:p>
        </w:tc>
        <w:tc>
          <w:tcPr>
            <w:tcW w:w="1080" w:type="dxa"/>
            <w:tcBorders>
              <w:top w:val="nil"/>
              <w:left w:val="nil"/>
              <w:bottom w:val="nil"/>
              <w:right w:val="nil"/>
            </w:tcBorders>
            <w:shd w:val="clear" w:color="auto" w:fill="auto"/>
            <w:noWrap/>
            <w:vAlign w:val="center"/>
            <w:hideMark/>
          </w:tcPr>
          <w:p w14:paraId="2B757E0A" w14:textId="39814735"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-1,8</w:t>
            </w:r>
          </w:p>
        </w:tc>
        <w:tc>
          <w:tcPr>
            <w:tcW w:w="1080" w:type="dxa"/>
            <w:tcBorders>
              <w:top w:val="nil"/>
              <w:left w:val="nil"/>
              <w:bottom w:val="nil"/>
              <w:right w:val="nil"/>
            </w:tcBorders>
            <w:shd w:val="clear" w:color="auto" w:fill="auto"/>
            <w:noWrap/>
            <w:vAlign w:val="center"/>
            <w:hideMark/>
          </w:tcPr>
          <w:p w14:paraId="55710313" w14:textId="19BA1C3D"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-1,0</w:t>
            </w:r>
          </w:p>
        </w:tc>
        <w:tc>
          <w:tcPr>
            <w:tcW w:w="1080" w:type="dxa"/>
            <w:tcBorders>
              <w:top w:val="nil"/>
              <w:left w:val="nil"/>
              <w:bottom w:val="nil"/>
              <w:right w:val="nil"/>
            </w:tcBorders>
            <w:shd w:val="clear" w:color="auto" w:fill="auto"/>
            <w:noWrap/>
            <w:vAlign w:val="center"/>
            <w:hideMark/>
          </w:tcPr>
          <w:p w14:paraId="6B8FC7A4" w14:textId="2D295D21"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-0,7</w:t>
            </w:r>
          </w:p>
        </w:tc>
        <w:tc>
          <w:tcPr>
            <w:tcW w:w="1080" w:type="dxa"/>
            <w:tcBorders>
              <w:top w:val="nil"/>
              <w:left w:val="nil"/>
              <w:bottom w:val="nil"/>
              <w:right w:val="nil"/>
            </w:tcBorders>
            <w:shd w:val="clear" w:color="auto" w:fill="auto"/>
            <w:noWrap/>
            <w:vAlign w:val="center"/>
            <w:hideMark/>
          </w:tcPr>
          <w:p w14:paraId="05EAD352" w14:textId="76EE1A6D"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-0,5</w:t>
            </w:r>
          </w:p>
        </w:tc>
        <w:tc>
          <w:tcPr>
            <w:tcW w:w="1080" w:type="dxa"/>
            <w:tcBorders>
              <w:top w:val="nil"/>
              <w:left w:val="nil"/>
              <w:bottom w:val="nil"/>
              <w:right w:val="nil"/>
            </w:tcBorders>
            <w:shd w:val="clear" w:color="auto" w:fill="auto"/>
            <w:noWrap/>
            <w:vAlign w:val="center"/>
            <w:hideMark/>
          </w:tcPr>
          <w:p w14:paraId="1CB9A444" w14:textId="5E486438" w:rsidR="00893C9C" w:rsidRPr="004E21A0" w:rsidRDefault="00893C9C" w:rsidP="00087737">
            <w:pPr>
              <w:spacing w:after="0" w:line="240" w:lineRule="auto"/>
              <w:ind w:firstLine="0"/>
              <w:jc w:val="center"/>
              <w:rPr>
                <w:rFonts w:eastAsia="Times New Roman" w:cs="Times New Roman"/>
                <w:color w:val="000000"/>
                <w:sz w:val="20"/>
                <w:szCs w:val="20"/>
                <w:lang w:eastAsia="lv-LV"/>
              </w:rPr>
            </w:pPr>
            <w:r w:rsidRPr="004E21A0">
              <w:rPr>
                <w:rFonts w:cs="Times New Roman"/>
                <w:sz w:val="20"/>
                <w:szCs w:val="20"/>
              </w:rPr>
              <w:t>-0,4</w:t>
            </w:r>
          </w:p>
        </w:tc>
        <w:tc>
          <w:tcPr>
            <w:tcW w:w="222" w:type="dxa"/>
            <w:vAlign w:val="center"/>
            <w:hideMark/>
          </w:tcPr>
          <w:p w14:paraId="18DF9661" w14:textId="77777777" w:rsidR="00893C9C" w:rsidRPr="004E21A0" w:rsidRDefault="00893C9C" w:rsidP="00087737">
            <w:pPr>
              <w:spacing w:after="0" w:line="240" w:lineRule="auto"/>
              <w:ind w:firstLine="0"/>
              <w:jc w:val="left"/>
              <w:rPr>
                <w:rFonts w:eastAsia="Times New Roman" w:cs="Times New Roman"/>
                <w:sz w:val="20"/>
                <w:szCs w:val="20"/>
                <w:lang w:eastAsia="lv-LV"/>
              </w:rPr>
            </w:pPr>
          </w:p>
        </w:tc>
      </w:tr>
    </w:tbl>
    <w:p w14:paraId="2A4CB772" w14:textId="77777777" w:rsidR="004965BC" w:rsidRPr="002869EC" w:rsidRDefault="004965BC" w:rsidP="006357B3">
      <w:pPr>
        <w:spacing w:line="240" w:lineRule="auto"/>
        <w:ind w:firstLine="0"/>
      </w:pPr>
    </w:p>
    <w:p w14:paraId="334CD196" w14:textId="77777777" w:rsidR="004965BC" w:rsidRPr="00566221" w:rsidRDefault="004965BC" w:rsidP="006357B3">
      <w:pPr>
        <w:spacing w:line="240" w:lineRule="auto"/>
        <w:jc w:val="right"/>
        <w:rPr>
          <w:rFonts w:cs="Times New Roman"/>
          <w:b/>
          <w:bCs/>
          <w:lang w:eastAsia="lv-LV"/>
        </w:rPr>
      </w:pPr>
      <w:r w:rsidRPr="00566221">
        <w:rPr>
          <w:rFonts w:cs="Times New Roman"/>
          <w:b/>
          <w:bCs/>
        </w:rPr>
        <w:t>3. tabula. Ārējie pieņēmumi</w:t>
      </w:r>
    </w:p>
    <w:tbl>
      <w:tblPr>
        <w:tblW w:w="10363" w:type="dxa"/>
        <w:jc w:val="center"/>
        <w:tblLook w:val="04A0" w:firstRow="1" w:lastRow="0" w:firstColumn="1" w:lastColumn="0" w:noHBand="0" w:noVBand="1"/>
      </w:tblPr>
      <w:tblGrid>
        <w:gridCol w:w="380"/>
        <w:gridCol w:w="3022"/>
        <w:gridCol w:w="1985"/>
        <w:gridCol w:w="930"/>
        <w:gridCol w:w="930"/>
        <w:gridCol w:w="960"/>
        <w:gridCol w:w="960"/>
        <w:gridCol w:w="960"/>
        <w:gridCol w:w="616"/>
      </w:tblGrid>
      <w:tr w:rsidR="004965BC" w:rsidRPr="002869EC" w14:paraId="1B32A032" w14:textId="77777777" w:rsidTr="009715D9">
        <w:trPr>
          <w:trHeight w:val="300"/>
          <w:jc w:val="center"/>
        </w:trPr>
        <w:tc>
          <w:tcPr>
            <w:tcW w:w="380" w:type="dxa"/>
            <w:tcBorders>
              <w:top w:val="nil"/>
              <w:left w:val="nil"/>
              <w:bottom w:val="nil"/>
              <w:right w:val="nil"/>
            </w:tcBorders>
            <w:shd w:val="clear" w:color="000000" w:fill="95B3D7"/>
            <w:noWrap/>
            <w:vAlign w:val="bottom"/>
            <w:hideMark/>
          </w:tcPr>
          <w:p w14:paraId="251134F8" w14:textId="77777777" w:rsidR="004965BC" w:rsidRPr="009715D9" w:rsidRDefault="004965BC" w:rsidP="006357B3">
            <w:pPr>
              <w:spacing w:line="240" w:lineRule="auto"/>
              <w:ind w:firstLine="0"/>
              <w:jc w:val="left"/>
              <w:rPr>
                <w:rFonts w:eastAsia="Times New Roman" w:cs="Times New Roman"/>
                <w:color w:val="000000"/>
                <w:sz w:val="20"/>
                <w:szCs w:val="20"/>
                <w:lang w:eastAsia="lv-LV"/>
              </w:rPr>
            </w:pPr>
            <w:r w:rsidRPr="009715D9">
              <w:rPr>
                <w:rFonts w:eastAsia="Times New Roman" w:cs="Times New Roman"/>
                <w:color w:val="000000"/>
                <w:sz w:val="20"/>
                <w:szCs w:val="20"/>
                <w:lang w:eastAsia="lv-LV"/>
              </w:rPr>
              <w:t> </w:t>
            </w:r>
          </w:p>
        </w:tc>
        <w:tc>
          <w:tcPr>
            <w:tcW w:w="3022" w:type="dxa"/>
            <w:tcBorders>
              <w:top w:val="nil"/>
              <w:left w:val="nil"/>
              <w:bottom w:val="nil"/>
              <w:right w:val="nil"/>
            </w:tcBorders>
            <w:shd w:val="clear" w:color="000000" w:fill="95B3D7"/>
            <w:noWrap/>
            <w:vAlign w:val="bottom"/>
            <w:hideMark/>
          </w:tcPr>
          <w:p w14:paraId="2029E0E4" w14:textId="77777777" w:rsidR="004965BC" w:rsidRPr="009715D9" w:rsidRDefault="004965BC" w:rsidP="006357B3">
            <w:pPr>
              <w:spacing w:line="240" w:lineRule="auto"/>
              <w:ind w:firstLine="0"/>
              <w:jc w:val="left"/>
              <w:rPr>
                <w:rFonts w:eastAsia="Times New Roman" w:cs="Times New Roman"/>
                <w:color w:val="000000"/>
                <w:sz w:val="20"/>
                <w:szCs w:val="20"/>
                <w:lang w:eastAsia="lv-LV"/>
              </w:rPr>
            </w:pPr>
            <w:r w:rsidRPr="009715D9">
              <w:rPr>
                <w:rFonts w:eastAsia="Times New Roman" w:cs="Times New Roman"/>
                <w:color w:val="000000"/>
                <w:sz w:val="20"/>
                <w:szCs w:val="20"/>
                <w:lang w:eastAsia="lv-LV"/>
              </w:rPr>
              <w:t> </w:t>
            </w:r>
          </w:p>
        </w:tc>
        <w:tc>
          <w:tcPr>
            <w:tcW w:w="1985" w:type="dxa"/>
            <w:tcBorders>
              <w:top w:val="nil"/>
              <w:left w:val="nil"/>
              <w:bottom w:val="nil"/>
              <w:right w:val="nil"/>
            </w:tcBorders>
            <w:shd w:val="clear" w:color="000000" w:fill="95B3D7"/>
            <w:vAlign w:val="bottom"/>
            <w:hideMark/>
          </w:tcPr>
          <w:p w14:paraId="01A559A8" w14:textId="77777777" w:rsidR="004965BC" w:rsidRPr="009715D9" w:rsidRDefault="004965BC" w:rsidP="006357B3">
            <w:pPr>
              <w:spacing w:line="240" w:lineRule="auto"/>
              <w:ind w:firstLine="0"/>
              <w:jc w:val="center"/>
              <w:rPr>
                <w:rFonts w:eastAsia="Times New Roman" w:cs="Times New Roman"/>
                <w:b/>
                <w:bCs/>
                <w:color w:val="FFFFFF"/>
                <w:sz w:val="20"/>
                <w:szCs w:val="20"/>
                <w:lang w:eastAsia="lv-LV"/>
              </w:rPr>
            </w:pPr>
            <w:r w:rsidRPr="009715D9">
              <w:rPr>
                <w:rFonts w:eastAsia="Times New Roman" w:cs="Times New Roman"/>
                <w:b/>
                <w:bCs/>
                <w:color w:val="FFFFFF"/>
                <w:sz w:val="20"/>
                <w:szCs w:val="20"/>
                <w:lang w:eastAsia="lv-LV"/>
              </w:rPr>
              <w:t> </w:t>
            </w:r>
          </w:p>
        </w:tc>
        <w:tc>
          <w:tcPr>
            <w:tcW w:w="930" w:type="dxa"/>
            <w:tcBorders>
              <w:top w:val="nil"/>
              <w:left w:val="nil"/>
              <w:bottom w:val="nil"/>
              <w:right w:val="nil"/>
            </w:tcBorders>
            <w:shd w:val="clear" w:color="000000" w:fill="95B3D7"/>
            <w:noWrap/>
            <w:vAlign w:val="center"/>
            <w:hideMark/>
          </w:tcPr>
          <w:p w14:paraId="3F6D38CE" w14:textId="77777777" w:rsidR="004965BC" w:rsidRPr="009715D9" w:rsidRDefault="004965BC" w:rsidP="006357B3">
            <w:pPr>
              <w:spacing w:line="240" w:lineRule="auto"/>
              <w:ind w:firstLine="0"/>
              <w:jc w:val="center"/>
              <w:rPr>
                <w:rFonts w:eastAsia="Times New Roman" w:cs="Times New Roman"/>
                <w:b/>
                <w:bCs/>
                <w:color w:val="000000"/>
                <w:sz w:val="20"/>
                <w:szCs w:val="20"/>
                <w:lang w:eastAsia="lv-LV"/>
              </w:rPr>
            </w:pPr>
            <w:r w:rsidRPr="009715D9">
              <w:rPr>
                <w:rFonts w:eastAsia="Times New Roman" w:cs="Times New Roman"/>
                <w:b/>
                <w:bCs/>
                <w:color w:val="000000"/>
                <w:sz w:val="20"/>
                <w:szCs w:val="20"/>
                <w:lang w:eastAsia="lv-LV"/>
              </w:rPr>
              <w:t>2023</w:t>
            </w:r>
          </w:p>
        </w:tc>
        <w:tc>
          <w:tcPr>
            <w:tcW w:w="930" w:type="dxa"/>
            <w:tcBorders>
              <w:top w:val="nil"/>
              <w:left w:val="nil"/>
              <w:bottom w:val="nil"/>
              <w:right w:val="nil"/>
            </w:tcBorders>
            <w:shd w:val="clear" w:color="000000" w:fill="95B3D7"/>
            <w:noWrap/>
            <w:vAlign w:val="center"/>
            <w:hideMark/>
          </w:tcPr>
          <w:p w14:paraId="5C290835" w14:textId="77777777" w:rsidR="004965BC" w:rsidRPr="009715D9" w:rsidRDefault="004965BC" w:rsidP="006357B3">
            <w:pPr>
              <w:spacing w:line="240" w:lineRule="auto"/>
              <w:ind w:firstLine="0"/>
              <w:jc w:val="center"/>
              <w:rPr>
                <w:rFonts w:eastAsia="Times New Roman" w:cs="Times New Roman"/>
                <w:b/>
                <w:bCs/>
                <w:color w:val="000000"/>
                <w:sz w:val="20"/>
                <w:szCs w:val="20"/>
                <w:lang w:eastAsia="lv-LV"/>
              </w:rPr>
            </w:pPr>
            <w:r w:rsidRPr="009715D9">
              <w:rPr>
                <w:rFonts w:eastAsia="Times New Roman" w:cs="Times New Roman"/>
                <w:b/>
                <w:bCs/>
                <w:color w:val="000000"/>
                <w:sz w:val="20"/>
                <w:szCs w:val="20"/>
                <w:lang w:eastAsia="lv-LV"/>
              </w:rPr>
              <w:t>2024</w:t>
            </w:r>
          </w:p>
        </w:tc>
        <w:tc>
          <w:tcPr>
            <w:tcW w:w="960" w:type="dxa"/>
            <w:tcBorders>
              <w:top w:val="nil"/>
              <w:left w:val="nil"/>
              <w:bottom w:val="nil"/>
              <w:right w:val="nil"/>
            </w:tcBorders>
            <w:shd w:val="clear" w:color="000000" w:fill="95B3D7"/>
            <w:noWrap/>
            <w:vAlign w:val="center"/>
            <w:hideMark/>
          </w:tcPr>
          <w:p w14:paraId="2D2CC899" w14:textId="77777777" w:rsidR="004965BC" w:rsidRPr="009715D9" w:rsidRDefault="004965BC" w:rsidP="006357B3">
            <w:pPr>
              <w:spacing w:line="240" w:lineRule="auto"/>
              <w:ind w:firstLine="0"/>
              <w:jc w:val="center"/>
              <w:rPr>
                <w:rFonts w:eastAsia="Times New Roman" w:cs="Times New Roman"/>
                <w:b/>
                <w:bCs/>
                <w:color w:val="000000"/>
                <w:sz w:val="20"/>
                <w:szCs w:val="20"/>
                <w:lang w:eastAsia="lv-LV"/>
              </w:rPr>
            </w:pPr>
            <w:r w:rsidRPr="009715D9">
              <w:rPr>
                <w:rFonts w:eastAsia="Times New Roman" w:cs="Times New Roman"/>
                <w:b/>
                <w:bCs/>
                <w:color w:val="000000"/>
                <w:sz w:val="20"/>
                <w:szCs w:val="20"/>
                <w:lang w:eastAsia="lv-LV"/>
              </w:rPr>
              <w:t>2025</w:t>
            </w:r>
          </w:p>
        </w:tc>
        <w:tc>
          <w:tcPr>
            <w:tcW w:w="960" w:type="dxa"/>
            <w:tcBorders>
              <w:top w:val="nil"/>
              <w:left w:val="nil"/>
              <w:bottom w:val="nil"/>
              <w:right w:val="nil"/>
            </w:tcBorders>
            <w:shd w:val="clear" w:color="000000" w:fill="95B3D7"/>
            <w:noWrap/>
            <w:vAlign w:val="center"/>
            <w:hideMark/>
          </w:tcPr>
          <w:p w14:paraId="2A186C47" w14:textId="77777777" w:rsidR="004965BC" w:rsidRPr="009715D9" w:rsidRDefault="004965BC" w:rsidP="006357B3">
            <w:pPr>
              <w:spacing w:line="240" w:lineRule="auto"/>
              <w:ind w:firstLine="0"/>
              <w:jc w:val="center"/>
              <w:rPr>
                <w:rFonts w:eastAsia="Times New Roman" w:cs="Times New Roman"/>
                <w:b/>
                <w:bCs/>
                <w:color w:val="000000"/>
                <w:sz w:val="20"/>
                <w:szCs w:val="20"/>
                <w:lang w:eastAsia="lv-LV"/>
              </w:rPr>
            </w:pPr>
            <w:r w:rsidRPr="009715D9">
              <w:rPr>
                <w:rFonts w:eastAsia="Times New Roman" w:cs="Times New Roman"/>
                <w:b/>
                <w:bCs/>
                <w:color w:val="000000"/>
                <w:sz w:val="20"/>
                <w:szCs w:val="20"/>
                <w:lang w:eastAsia="lv-LV"/>
              </w:rPr>
              <w:t>2026</w:t>
            </w:r>
          </w:p>
        </w:tc>
        <w:tc>
          <w:tcPr>
            <w:tcW w:w="960" w:type="dxa"/>
            <w:tcBorders>
              <w:top w:val="nil"/>
              <w:left w:val="nil"/>
              <w:bottom w:val="nil"/>
              <w:right w:val="nil"/>
            </w:tcBorders>
            <w:shd w:val="clear" w:color="000000" w:fill="95B3D7"/>
            <w:noWrap/>
            <w:vAlign w:val="center"/>
            <w:hideMark/>
          </w:tcPr>
          <w:p w14:paraId="05FE9957" w14:textId="77777777" w:rsidR="004965BC" w:rsidRPr="009715D9" w:rsidRDefault="004965BC" w:rsidP="006357B3">
            <w:pPr>
              <w:spacing w:line="240" w:lineRule="auto"/>
              <w:ind w:firstLine="0"/>
              <w:jc w:val="center"/>
              <w:rPr>
                <w:rFonts w:eastAsia="Times New Roman" w:cs="Times New Roman"/>
                <w:b/>
                <w:bCs/>
                <w:color w:val="000000"/>
                <w:sz w:val="20"/>
                <w:szCs w:val="20"/>
                <w:lang w:eastAsia="lv-LV"/>
              </w:rPr>
            </w:pPr>
            <w:r w:rsidRPr="009715D9">
              <w:rPr>
                <w:rFonts w:eastAsia="Times New Roman" w:cs="Times New Roman"/>
                <w:b/>
                <w:bCs/>
                <w:color w:val="000000"/>
                <w:sz w:val="20"/>
                <w:szCs w:val="20"/>
                <w:lang w:eastAsia="lv-LV"/>
              </w:rPr>
              <w:t>2027</w:t>
            </w:r>
          </w:p>
        </w:tc>
        <w:tc>
          <w:tcPr>
            <w:tcW w:w="236" w:type="dxa"/>
            <w:tcBorders>
              <w:top w:val="nil"/>
              <w:left w:val="nil"/>
              <w:bottom w:val="nil"/>
              <w:right w:val="nil"/>
            </w:tcBorders>
            <w:shd w:val="clear" w:color="000000" w:fill="95B3D7"/>
            <w:noWrap/>
            <w:vAlign w:val="center"/>
            <w:hideMark/>
          </w:tcPr>
          <w:p w14:paraId="134D6544" w14:textId="77777777" w:rsidR="004965BC" w:rsidRPr="009715D9" w:rsidRDefault="004965BC" w:rsidP="006357B3">
            <w:pPr>
              <w:spacing w:line="240" w:lineRule="auto"/>
              <w:ind w:firstLine="0"/>
              <w:jc w:val="center"/>
              <w:rPr>
                <w:rFonts w:eastAsia="Times New Roman" w:cs="Times New Roman"/>
                <w:b/>
                <w:bCs/>
                <w:color w:val="000000"/>
                <w:sz w:val="20"/>
                <w:szCs w:val="20"/>
                <w:lang w:eastAsia="lv-LV"/>
              </w:rPr>
            </w:pPr>
            <w:r w:rsidRPr="009715D9">
              <w:rPr>
                <w:rFonts w:eastAsia="Times New Roman" w:cs="Times New Roman"/>
                <w:b/>
                <w:bCs/>
                <w:color w:val="000000"/>
                <w:sz w:val="20"/>
                <w:szCs w:val="20"/>
                <w:lang w:eastAsia="lv-LV"/>
              </w:rPr>
              <w:t>2028</w:t>
            </w:r>
          </w:p>
        </w:tc>
      </w:tr>
      <w:tr w:rsidR="002C1574" w:rsidRPr="002869EC" w14:paraId="02ADBF1B" w14:textId="77777777" w:rsidTr="009715D9">
        <w:trPr>
          <w:trHeight w:val="300"/>
          <w:jc w:val="center"/>
        </w:trPr>
        <w:tc>
          <w:tcPr>
            <w:tcW w:w="380" w:type="dxa"/>
            <w:tcBorders>
              <w:top w:val="nil"/>
              <w:left w:val="nil"/>
              <w:bottom w:val="nil"/>
              <w:right w:val="nil"/>
            </w:tcBorders>
            <w:shd w:val="clear" w:color="000000" w:fill="95B3D7"/>
            <w:noWrap/>
            <w:vAlign w:val="center"/>
            <w:hideMark/>
          </w:tcPr>
          <w:p w14:paraId="00386460"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1</w:t>
            </w:r>
          </w:p>
        </w:tc>
        <w:tc>
          <w:tcPr>
            <w:tcW w:w="3022" w:type="dxa"/>
            <w:tcBorders>
              <w:top w:val="nil"/>
              <w:left w:val="nil"/>
              <w:bottom w:val="nil"/>
              <w:right w:val="nil"/>
            </w:tcBorders>
            <w:shd w:val="clear" w:color="000000" w:fill="DCE6F1"/>
            <w:vAlign w:val="center"/>
            <w:hideMark/>
          </w:tcPr>
          <w:p w14:paraId="0E6F71EC" w14:textId="77777777" w:rsidR="002C1574" w:rsidRPr="009715D9" w:rsidRDefault="002C1574" w:rsidP="006357B3">
            <w:pPr>
              <w:spacing w:line="240" w:lineRule="auto"/>
              <w:ind w:firstLine="0"/>
              <w:jc w:val="left"/>
              <w:rPr>
                <w:rFonts w:eastAsia="Times New Roman" w:cs="Times New Roman"/>
                <w:b/>
                <w:bCs/>
                <w:color w:val="000000"/>
                <w:sz w:val="20"/>
                <w:szCs w:val="20"/>
                <w:lang w:eastAsia="lv-LV"/>
              </w:rPr>
            </w:pPr>
            <w:r w:rsidRPr="009715D9">
              <w:rPr>
                <w:rFonts w:cs="Times New Roman"/>
                <w:sz w:val="20"/>
                <w:szCs w:val="20"/>
              </w:rPr>
              <w:t>Īstermiņa procentu likme</w:t>
            </w:r>
          </w:p>
        </w:tc>
        <w:tc>
          <w:tcPr>
            <w:tcW w:w="1985" w:type="dxa"/>
            <w:tcBorders>
              <w:top w:val="nil"/>
              <w:left w:val="nil"/>
              <w:bottom w:val="nil"/>
              <w:right w:val="nil"/>
            </w:tcBorders>
            <w:shd w:val="clear" w:color="000000" w:fill="DCE6F1"/>
            <w:noWrap/>
            <w:vAlign w:val="center"/>
            <w:hideMark/>
          </w:tcPr>
          <w:p w14:paraId="6472234E"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r w:rsidRPr="009715D9">
              <w:rPr>
                <w:rFonts w:cs="Times New Roman"/>
                <w:sz w:val="20"/>
                <w:szCs w:val="20"/>
              </w:rPr>
              <w:t>%, gada vidējā</w:t>
            </w:r>
          </w:p>
        </w:tc>
        <w:tc>
          <w:tcPr>
            <w:tcW w:w="930" w:type="dxa"/>
            <w:tcBorders>
              <w:top w:val="nil"/>
              <w:left w:val="nil"/>
              <w:bottom w:val="nil"/>
              <w:right w:val="nil"/>
            </w:tcBorders>
            <w:shd w:val="clear" w:color="auto" w:fill="auto"/>
            <w:noWrap/>
            <w:vAlign w:val="center"/>
            <w:hideMark/>
          </w:tcPr>
          <w:p w14:paraId="09C154DE" w14:textId="7DA629F6"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w:t>
            </w:r>
            <w:r w:rsidR="00725633">
              <w:rPr>
                <w:rFonts w:cs="Times New Roman"/>
                <w:sz w:val="20"/>
                <w:szCs w:val="20"/>
              </w:rPr>
              <w:t>8</w:t>
            </w:r>
          </w:p>
        </w:tc>
        <w:tc>
          <w:tcPr>
            <w:tcW w:w="930" w:type="dxa"/>
            <w:tcBorders>
              <w:top w:val="nil"/>
              <w:left w:val="nil"/>
              <w:bottom w:val="nil"/>
              <w:right w:val="nil"/>
            </w:tcBorders>
            <w:shd w:val="clear" w:color="auto" w:fill="auto"/>
            <w:noWrap/>
            <w:vAlign w:val="center"/>
            <w:hideMark/>
          </w:tcPr>
          <w:p w14:paraId="58E1730F" w14:textId="7A4C10AC"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3,5</w:t>
            </w:r>
          </w:p>
        </w:tc>
        <w:tc>
          <w:tcPr>
            <w:tcW w:w="960" w:type="dxa"/>
            <w:tcBorders>
              <w:top w:val="nil"/>
              <w:left w:val="nil"/>
              <w:bottom w:val="nil"/>
              <w:right w:val="nil"/>
            </w:tcBorders>
            <w:shd w:val="clear" w:color="auto" w:fill="auto"/>
            <w:noWrap/>
            <w:vAlign w:val="center"/>
            <w:hideMark/>
          </w:tcPr>
          <w:p w14:paraId="5C07D8F2" w14:textId="5680173D"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2,8</w:t>
            </w:r>
          </w:p>
        </w:tc>
        <w:tc>
          <w:tcPr>
            <w:tcW w:w="960" w:type="dxa"/>
            <w:tcBorders>
              <w:top w:val="nil"/>
              <w:left w:val="nil"/>
              <w:bottom w:val="nil"/>
              <w:right w:val="nil"/>
            </w:tcBorders>
            <w:shd w:val="clear" w:color="auto" w:fill="auto"/>
            <w:noWrap/>
            <w:vAlign w:val="center"/>
            <w:hideMark/>
          </w:tcPr>
          <w:p w14:paraId="341A953B" w14:textId="5C2B3113"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2,8</w:t>
            </w:r>
          </w:p>
        </w:tc>
        <w:tc>
          <w:tcPr>
            <w:tcW w:w="960" w:type="dxa"/>
            <w:tcBorders>
              <w:top w:val="nil"/>
              <w:left w:val="nil"/>
              <w:bottom w:val="nil"/>
              <w:right w:val="nil"/>
            </w:tcBorders>
            <w:shd w:val="clear" w:color="auto" w:fill="auto"/>
            <w:noWrap/>
            <w:vAlign w:val="center"/>
            <w:hideMark/>
          </w:tcPr>
          <w:p w14:paraId="7ADBBFB0" w14:textId="4DF632FC"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2,</w:t>
            </w:r>
            <w:r w:rsidR="00725633">
              <w:rPr>
                <w:rFonts w:cs="Times New Roman"/>
                <w:sz w:val="20"/>
                <w:szCs w:val="20"/>
              </w:rPr>
              <w:t>8</w:t>
            </w:r>
          </w:p>
        </w:tc>
        <w:tc>
          <w:tcPr>
            <w:tcW w:w="236" w:type="dxa"/>
            <w:tcBorders>
              <w:top w:val="nil"/>
              <w:left w:val="nil"/>
              <w:bottom w:val="nil"/>
              <w:right w:val="nil"/>
            </w:tcBorders>
            <w:shd w:val="clear" w:color="auto" w:fill="auto"/>
            <w:noWrap/>
            <w:vAlign w:val="center"/>
            <w:hideMark/>
          </w:tcPr>
          <w:p w14:paraId="5B55B92C" w14:textId="0C20F4D0"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2,</w:t>
            </w:r>
            <w:r w:rsidR="00725633">
              <w:rPr>
                <w:rFonts w:cs="Times New Roman"/>
                <w:sz w:val="20"/>
                <w:szCs w:val="20"/>
              </w:rPr>
              <w:t>8</w:t>
            </w:r>
          </w:p>
        </w:tc>
      </w:tr>
      <w:tr w:rsidR="002C1574" w:rsidRPr="002869EC" w14:paraId="4E4805C3" w14:textId="77777777" w:rsidTr="009715D9">
        <w:trPr>
          <w:trHeight w:val="300"/>
          <w:jc w:val="center"/>
        </w:trPr>
        <w:tc>
          <w:tcPr>
            <w:tcW w:w="380" w:type="dxa"/>
            <w:tcBorders>
              <w:top w:val="nil"/>
              <w:left w:val="nil"/>
              <w:bottom w:val="nil"/>
              <w:right w:val="nil"/>
            </w:tcBorders>
            <w:shd w:val="clear" w:color="000000" w:fill="95B3D7"/>
            <w:noWrap/>
            <w:vAlign w:val="center"/>
            <w:hideMark/>
          </w:tcPr>
          <w:p w14:paraId="5E89146C"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2</w:t>
            </w:r>
          </w:p>
        </w:tc>
        <w:tc>
          <w:tcPr>
            <w:tcW w:w="3022" w:type="dxa"/>
            <w:tcBorders>
              <w:top w:val="nil"/>
              <w:left w:val="nil"/>
              <w:bottom w:val="nil"/>
              <w:right w:val="nil"/>
            </w:tcBorders>
            <w:shd w:val="clear" w:color="000000" w:fill="DCE6F1"/>
            <w:vAlign w:val="center"/>
            <w:hideMark/>
          </w:tcPr>
          <w:p w14:paraId="4BE1541E" w14:textId="77777777" w:rsidR="002C1574" w:rsidRPr="009715D9" w:rsidRDefault="002C1574" w:rsidP="006357B3">
            <w:pPr>
              <w:spacing w:line="240" w:lineRule="auto"/>
              <w:ind w:firstLine="0"/>
              <w:jc w:val="left"/>
              <w:rPr>
                <w:rFonts w:eastAsia="Times New Roman" w:cs="Times New Roman"/>
                <w:b/>
                <w:bCs/>
                <w:color w:val="000000"/>
                <w:sz w:val="20"/>
                <w:szCs w:val="20"/>
                <w:lang w:eastAsia="lv-LV"/>
              </w:rPr>
            </w:pPr>
            <w:r w:rsidRPr="009715D9">
              <w:rPr>
                <w:rFonts w:cs="Times New Roman"/>
                <w:sz w:val="20"/>
                <w:szCs w:val="20"/>
              </w:rPr>
              <w:t>Ilgtermiņa procentu likme</w:t>
            </w:r>
          </w:p>
        </w:tc>
        <w:tc>
          <w:tcPr>
            <w:tcW w:w="1985" w:type="dxa"/>
            <w:tcBorders>
              <w:top w:val="nil"/>
              <w:left w:val="nil"/>
              <w:bottom w:val="nil"/>
              <w:right w:val="nil"/>
            </w:tcBorders>
            <w:shd w:val="clear" w:color="000000" w:fill="DCE6F1"/>
            <w:noWrap/>
            <w:vAlign w:val="center"/>
            <w:hideMark/>
          </w:tcPr>
          <w:p w14:paraId="1E64EE6C"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r w:rsidRPr="009715D9">
              <w:rPr>
                <w:rFonts w:cs="Times New Roman"/>
                <w:sz w:val="20"/>
                <w:szCs w:val="20"/>
              </w:rPr>
              <w:t>%, gada vidējā</w:t>
            </w:r>
          </w:p>
        </w:tc>
        <w:tc>
          <w:tcPr>
            <w:tcW w:w="930" w:type="dxa"/>
            <w:tcBorders>
              <w:top w:val="nil"/>
              <w:left w:val="nil"/>
              <w:bottom w:val="nil"/>
              <w:right w:val="nil"/>
            </w:tcBorders>
            <w:shd w:val="clear" w:color="auto" w:fill="auto"/>
            <w:noWrap/>
            <w:vAlign w:val="center"/>
            <w:hideMark/>
          </w:tcPr>
          <w:p w14:paraId="211B71D0" w14:textId="2C1D477B"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w:t>
            </w:r>
            <w:r w:rsidR="00725633">
              <w:rPr>
                <w:rFonts w:cs="Times New Roman"/>
                <w:sz w:val="20"/>
                <w:szCs w:val="20"/>
              </w:rPr>
              <w:t>9</w:t>
            </w:r>
          </w:p>
        </w:tc>
        <w:tc>
          <w:tcPr>
            <w:tcW w:w="930" w:type="dxa"/>
            <w:tcBorders>
              <w:top w:val="nil"/>
              <w:left w:val="nil"/>
              <w:bottom w:val="nil"/>
              <w:right w:val="nil"/>
            </w:tcBorders>
            <w:shd w:val="clear" w:color="auto" w:fill="auto"/>
            <w:noWrap/>
            <w:vAlign w:val="center"/>
            <w:hideMark/>
          </w:tcPr>
          <w:p w14:paraId="34EA0477" w14:textId="53289244"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3,5</w:t>
            </w:r>
          </w:p>
        </w:tc>
        <w:tc>
          <w:tcPr>
            <w:tcW w:w="960" w:type="dxa"/>
            <w:tcBorders>
              <w:top w:val="nil"/>
              <w:left w:val="nil"/>
              <w:bottom w:val="nil"/>
              <w:right w:val="nil"/>
            </w:tcBorders>
            <w:shd w:val="clear" w:color="auto" w:fill="auto"/>
            <w:noWrap/>
            <w:vAlign w:val="center"/>
            <w:hideMark/>
          </w:tcPr>
          <w:p w14:paraId="10BA2326" w14:textId="0B086584"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3,6</w:t>
            </w:r>
          </w:p>
        </w:tc>
        <w:tc>
          <w:tcPr>
            <w:tcW w:w="960" w:type="dxa"/>
            <w:tcBorders>
              <w:top w:val="nil"/>
              <w:left w:val="nil"/>
              <w:bottom w:val="nil"/>
              <w:right w:val="nil"/>
            </w:tcBorders>
            <w:shd w:val="clear" w:color="auto" w:fill="auto"/>
            <w:noWrap/>
            <w:vAlign w:val="center"/>
            <w:hideMark/>
          </w:tcPr>
          <w:p w14:paraId="4FE31B15" w14:textId="70E07652"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w:t>
            </w:r>
            <w:r w:rsidR="00725633">
              <w:rPr>
                <w:rFonts w:cs="Times New Roman"/>
                <w:sz w:val="20"/>
                <w:szCs w:val="20"/>
              </w:rPr>
              <w:t>7</w:t>
            </w:r>
          </w:p>
        </w:tc>
        <w:tc>
          <w:tcPr>
            <w:tcW w:w="960" w:type="dxa"/>
            <w:tcBorders>
              <w:top w:val="nil"/>
              <w:left w:val="nil"/>
              <w:bottom w:val="nil"/>
              <w:right w:val="nil"/>
            </w:tcBorders>
            <w:shd w:val="clear" w:color="auto" w:fill="auto"/>
            <w:noWrap/>
            <w:vAlign w:val="center"/>
            <w:hideMark/>
          </w:tcPr>
          <w:p w14:paraId="5692C9E5" w14:textId="790ED7CB"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3,7</w:t>
            </w:r>
          </w:p>
        </w:tc>
        <w:tc>
          <w:tcPr>
            <w:tcW w:w="236" w:type="dxa"/>
            <w:tcBorders>
              <w:top w:val="nil"/>
              <w:left w:val="nil"/>
              <w:bottom w:val="nil"/>
              <w:right w:val="nil"/>
            </w:tcBorders>
            <w:shd w:val="clear" w:color="auto" w:fill="auto"/>
            <w:noWrap/>
            <w:vAlign w:val="center"/>
            <w:hideMark/>
          </w:tcPr>
          <w:p w14:paraId="58584B27" w14:textId="4C152A1C"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w:t>
            </w:r>
            <w:r w:rsidR="00725633">
              <w:rPr>
                <w:rFonts w:cs="Times New Roman"/>
                <w:sz w:val="20"/>
                <w:szCs w:val="20"/>
              </w:rPr>
              <w:t>8</w:t>
            </w:r>
          </w:p>
        </w:tc>
      </w:tr>
      <w:tr w:rsidR="002C1574" w:rsidRPr="002869EC" w14:paraId="3A4A30BA" w14:textId="77777777" w:rsidTr="009715D9">
        <w:trPr>
          <w:trHeight w:val="300"/>
          <w:jc w:val="center"/>
        </w:trPr>
        <w:tc>
          <w:tcPr>
            <w:tcW w:w="380" w:type="dxa"/>
            <w:tcBorders>
              <w:top w:val="nil"/>
              <w:left w:val="nil"/>
              <w:bottom w:val="nil"/>
              <w:right w:val="nil"/>
            </w:tcBorders>
            <w:shd w:val="clear" w:color="000000" w:fill="95B3D7"/>
            <w:noWrap/>
            <w:vAlign w:val="center"/>
            <w:hideMark/>
          </w:tcPr>
          <w:p w14:paraId="3C11E793"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3</w:t>
            </w:r>
          </w:p>
        </w:tc>
        <w:tc>
          <w:tcPr>
            <w:tcW w:w="3022" w:type="dxa"/>
            <w:tcBorders>
              <w:top w:val="nil"/>
              <w:left w:val="nil"/>
              <w:bottom w:val="nil"/>
              <w:right w:val="nil"/>
            </w:tcBorders>
            <w:shd w:val="clear" w:color="000000" w:fill="DCE6F1"/>
            <w:vAlign w:val="center"/>
            <w:hideMark/>
          </w:tcPr>
          <w:p w14:paraId="15EDD529" w14:textId="77777777" w:rsidR="002C1574" w:rsidRPr="009715D9" w:rsidRDefault="002C1574" w:rsidP="006357B3">
            <w:pPr>
              <w:spacing w:line="240" w:lineRule="auto"/>
              <w:ind w:firstLine="0"/>
              <w:jc w:val="left"/>
              <w:rPr>
                <w:rFonts w:eastAsia="Times New Roman" w:cs="Times New Roman"/>
                <w:b/>
                <w:bCs/>
                <w:color w:val="000000"/>
                <w:sz w:val="20"/>
                <w:szCs w:val="20"/>
                <w:lang w:eastAsia="lv-LV"/>
              </w:rPr>
            </w:pPr>
            <w:r w:rsidRPr="009715D9">
              <w:rPr>
                <w:rFonts w:cs="Times New Roman"/>
                <w:sz w:val="20"/>
                <w:szCs w:val="20"/>
              </w:rPr>
              <w:t>USD/EUR valūtas kurss</w:t>
            </w:r>
          </w:p>
        </w:tc>
        <w:tc>
          <w:tcPr>
            <w:tcW w:w="1985" w:type="dxa"/>
            <w:tcBorders>
              <w:top w:val="nil"/>
              <w:left w:val="nil"/>
              <w:bottom w:val="nil"/>
              <w:right w:val="nil"/>
            </w:tcBorders>
            <w:shd w:val="clear" w:color="000000" w:fill="DCE6F1"/>
            <w:noWrap/>
            <w:vAlign w:val="center"/>
            <w:hideMark/>
          </w:tcPr>
          <w:p w14:paraId="601748CE"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r w:rsidRPr="009715D9">
              <w:rPr>
                <w:rFonts w:cs="Times New Roman"/>
                <w:sz w:val="20"/>
                <w:szCs w:val="20"/>
              </w:rPr>
              <w:t>gada vidējais</w:t>
            </w:r>
          </w:p>
        </w:tc>
        <w:tc>
          <w:tcPr>
            <w:tcW w:w="930" w:type="dxa"/>
            <w:tcBorders>
              <w:top w:val="nil"/>
              <w:left w:val="nil"/>
              <w:bottom w:val="nil"/>
              <w:right w:val="nil"/>
            </w:tcBorders>
            <w:shd w:val="clear" w:color="auto" w:fill="auto"/>
            <w:noWrap/>
            <w:vAlign w:val="center"/>
            <w:hideMark/>
          </w:tcPr>
          <w:p w14:paraId="7850E88A" w14:textId="4C83AC43"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1,1</w:t>
            </w:r>
          </w:p>
        </w:tc>
        <w:tc>
          <w:tcPr>
            <w:tcW w:w="930" w:type="dxa"/>
            <w:tcBorders>
              <w:top w:val="nil"/>
              <w:left w:val="nil"/>
              <w:bottom w:val="nil"/>
              <w:right w:val="nil"/>
            </w:tcBorders>
            <w:shd w:val="clear" w:color="auto" w:fill="auto"/>
            <w:noWrap/>
            <w:vAlign w:val="center"/>
            <w:hideMark/>
          </w:tcPr>
          <w:p w14:paraId="52F5F0F1" w14:textId="72745D54"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1,1</w:t>
            </w:r>
          </w:p>
        </w:tc>
        <w:tc>
          <w:tcPr>
            <w:tcW w:w="960" w:type="dxa"/>
            <w:tcBorders>
              <w:top w:val="nil"/>
              <w:left w:val="nil"/>
              <w:bottom w:val="nil"/>
              <w:right w:val="nil"/>
            </w:tcBorders>
            <w:shd w:val="clear" w:color="000000" w:fill="F2F2F2"/>
            <w:noWrap/>
            <w:vAlign w:val="center"/>
          </w:tcPr>
          <w:p w14:paraId="40291C4D" w14:textId="0D631FBB"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042F8C25" w14:textId="49103236"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2F201693" w14:textId="52BA1DA5"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236" w:type="dxa"/>
            <w:tcBorders>
              <w:top w:val="nil"/>
              <w:left w:val="nil"/>
              <w:bottom w:val="nil"/>
              <w:right w:val="nil"/>
            </w:tcBorders>
            <w:shd w:val="clear" w:color="000000" w:fill="F2F2F2"/>
            <w:noWrap/>
            <w:vAlign w:val="center"/>
          </w:tcPr>
          <w:p w14:paraId="7D0EC28A" w14:textId="001F7AE4" w:rsidR="002C1574" w:rsidRPr="009715D9" w:rsidRDefault="002C1574" w:rsidP="006357B3">
            <w:pPr>
              <w:spacing w:line="240" w:lineRule="auto"/>
              <w:ind w:firstLine="0"/>
              <w:jc w:val="center"/>
              <w:rPr>
                <w:rFonts w:eastAsia="Times New Roman" w:cs="Times New Roman"/>
                <w:color w:val="000000"/>
                <w:sz w:val="20"/>
                <w:szCs w:val="20"/>
                <w:lang w:eastAsia="lv-LV"/>
              </w:rPr>
            </w:pPr>
          </w:p>
        </w:tc>
      </w:tr>
      <w:tr w:rsidR="002C1574" w:rsidRPr="002869EC" w14:paraId="5F85A419" w14:textId="77777777" w:rsidTr="009715D9">
        <w:trPr>
          <w:trHeight w:val="300"/>
          <w:jc w:val="center"/>
        </w:trPr>
        <w:tc>
          <w:tcPr>
            <w:tcW w:w="380" w:type="dxa"/>
            <w:tcBorders>
              <w:top w:val="nil"/>
              <w:left w:val="nil"/>
              <w:bottom w:val="nil"/>
              <w:right w:val="nil"/>
            </w:tcBorders>
            <w:shd w:val="clear" w:color="000000" w:fill="95B3D7"/>
            <w:noWrap/>
            <w:vAlign w:val="center"/>
            <w:hideMark/>
          </w:tcPr>
          <w:p w14:paraId="4B3C2E81"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4</w:t>
            </w:r>
          </w:p>
          <w:p w14:paraId="5ED0EA05"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p>
          <w:p w14:paraId="0FAEB5E2"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3022" w:type="dxa"/>
            <w:tcBorders>
              <w:top w:val="nil"/>
              <w:left w:val="nil"/>
              <w:bottom w:val="nil"/>
              <w:right w:val="nil"/>
            </w:tcBorders>
            <w:shd w:val="clear" w:color="000000" w:fill="DCE6F1"/>
            <w:vAlign w:val="center"/>
            <w:hideMark/>
          </w:tcPr>
          <w:p w14:paraId="3C846071" w14:textId="77777777" w:rsidR="002C1574" w:rsidRPr="009715D9" w:rsidRDefault="002C1574" w:rsidP="006357B3">
            <w:pPr>
              <w:spacing w:line="240" w:lineRule="auto"/>
              <w:ind w:firstLine="0"/>
              <w:jc w:val="left"/>
              <w:rPr>
                <w:rFonts w:eastAsia="Times New Roman" w:cs="Times New Roman"/>
                <w:b/>
                <w:bCs/>
                <w:color w:val="000000"/>
                <w:sz w:val="20"/>
                <w:szCs w:val="20"/>
                <w:lang w:eastAsia="lv-LV"/>
              </w:rPr>
            </w:pPr>
            <w:r w:rsidRPr="009715D9">
              <w:rPr>
                <w:rFonts w:cs="Times New Roman"/>
                <w:sz w:val="20"/>
                <w:szCs w:val="20"/>
              </w:rPr>
              <w:t xml:space="preserve">NAC/EUR valūtas kurss (tikai dalībvalstīm, kuras nav </w:t>
            </w:r>
            <w:proofErr w:type="spellStart"/>
            <w:r w:rsidRPr="009715D9">
              <w:rPr>
                <w:rFonts w:cs="Times New Roman"/>
                <w:i/>
                <w:iCs/>
                <w:sz w:val="20"/>
                <w:szCs w:val="20"/>
              </w:rPr>
              <w:t>euro</w:t>
            </w:r>
            <w:proofErr w:type="spellEnd"/>
            <w:r w:rsidRPr="009715D9">
              <w:rPr>
                <w:rFonts w:cs="Times New Roman"/>
                <w:sz w:val="20"/>
                <w:szCs w:val="20"/>
              </w:rPr>
              <w:t xml:space="preserve"> zonas dalībnieces)</w:t>
            </w:r>
          </w:p>
        </w:tc>
        <w:tc>
          <w:tcPr>
            <w:tcW w:w="1985" w:type="dxa"/>
            <w:tcBorders>
              <w:top w:val="nil"/>
              <w:left w:val="nil"/>
              <w:bottom w:val="nil"/>
              <w:right w:val="nil"/>
            </w:tcBorders>
            <w:shd w:val="clear" w:color="000000" w:fill="DCE6F1"/>
            <w:noWrap/>
            <w:vAlign w:val="center"/>
            <w:hideMark/>
          </w:tcPr>
          <w:p w14:paraId="3D749183"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r w:rsidRPr="009715D9">
              <w:rPr>
                <w:rFonts w:cs="Times New Roman"/>
                <w:sz w:val="20"/>
                <w:szCs w:val="20"/>
              </w:rPr>
              <w:t>gada vidējais</w:t>
            </w:r>
          </w:p>
        </w:tc>
        <w:tc>
          <w:tcPr>
            <w:tcW w:w="930" w:type="dxa"/>
            <w:tcBorders>
              <w:top w:val="nil"/>
              <w:left w:val="nil"/>
              <w:bottom w:val="nil"/>
              <w:right w:val="nil"/>
            </w:tcBorders>
            <w:shd w:val="clear" w:color="auto" w:fill="auto"/>
            <w:noWrap/>
            <w:vAlign w:val="center"/>
            <w:hideMark/>
          </w:tcPr>
          <w:p w14:paraId="3BFF2CDA" w14:textId="752D5B4B"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30" w:type="dxa"/>
            <w:tcBorders>
              <w:top w:val="nil"/>
              <w:left w:val="nil"/>
              <w:bottom w:val="nil"/>
              <w:right w:val="nil"/>
            </w:tcBorders>
            <w:shd w:val="clear" w:color="auto" w:fill="auto"/>
            <w:noWrap/>
            <w:vAlign w:val="center"/>
            <w:hideMark/>
          </w:tcPr>
          <w:p w14:paraId="47686E01" w14:textId="68144F25"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0C50E8CB" w14:textId="0939C041"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16FF71B7" w14:textId="5FFD0871"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60BA3546" w14:textId="56E31081"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236" w:type="dxa"/>
            <w:tcBorders>
              <w:top w:val="nil"/>
              <w:left w:val="nil"/>
              <w:bottom w:val="nil"/>
              <w:right w:val="nil"/>
            </w:tcBorders>
            <w:shd w:val="clear" w:color="000000" w:fill="F2F2F2"/>
            <w:noWrap/>
            <w:vAlign w:val="center"/>
          </w:tcPr>
          <w:p w14:paraId="629A9652" w14:textId="2EC501CE" w:rsidR="002C1574" w:rsidRPr="009715D9" w:rsidRDefault="002C1574" w:rsidP="006357B3">
            <w:pPr>
              <w:spacing w:line="240" w:lineRule="auto"/>
              <w:ind w:firstLine="0"/>
              <w:jc w:val="center"/>
              <w:rPr>
                <w:rFonts w:eastAsia="Times New Roman" w:cs="Times New Roman"/>
                <w:color w:val="000000"/>
                <w:sz w:val="20"/>
                <w:szCs w:val="20"/>
                <w:lang w:eastAsia="lv-LV"/>
              </w:rPr>
            </w:pPr>
          </w:p>
        </w:tc>
      </w:tr>
      <w:tr w:rsidR="002C1574" w:rsidRPr="002869EC" w14:paraId="237DA1F2" w14:textId="77777777" w:rsidTr="009715D9">
        <w:trPr>
          <w:trHeight w:val="300"/>
          <w:jc w:val="center"/>
        </w:trPr>
        <w:tc>
          <w:tcPr>
            <w:tcW w:w="380" w:type="dxa"/>
            <w:tcBorders>
              <w:top w:val="nil"/>
              <w:left w:val="nil"/>
              <w:bottom w:val="nil"/>
              <w:right w:val="nil"/>
            </w:tcBorders>
            <w:shd w:val="clear" w:color="000000" w:fill="95B3D7"/>
            <w:noWrap/>
            <w:vAlign w:val="center"/>
            <w:hideMark/>
          </w:tcPr>
          <w:p w14:paraId="24F54AE5" w14:textId="23A0D839"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5</w:t>
            </w:r>
          </w:p>
          <w:p w14:paraId="7146F7AC"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3022" w:type="dxa"/>
            <w:tcBorders>
              <w:top w:val="nil"/>
              <w:left w:val="nil"/>
              <w:bottom w:val="nil"/>
              <w:right w:val="nil"/>
            </w:tcBorders>
            <w:shd w:val="clear" w:color="000000" w:fill="DCE6F1"/>
            <w:vAlign w:val="center"/>
            <w:hideMark/>
          </w:tcPr>
          <w:p w14:paraId="4A988270" w14:textId="77777777" w:rsidR="002C1574" w:rsidRPr="009715D9" w:rsidRDefault="002C1574" w:rsidP="006357B3">
            <w:pPr>
              <w:spacing w:line="240" w:lineRule="auto"/>
              <w:ind w:firstLine="0"/>
              <w:jc w:val="left"/>
              <w:rPr>
                <w:rFonts w:eastAsia="Times New Roman" w:cs="Times New Roman"/>
                <w:b/>
                <w:bCs/>
                <w:color w:val="000000"/>
                <w:sz w:val="20"/>
                <w:szCs w:val="20"/>
                <w:lang w:eastAsia="lv-LV"/>
              </w:rPr>
            </w:pPr>
            <w:r w:rsidRPr="009715D9">
              <w:rPr>
                <w:rFonts w:cs="Times New Roman"/>
                <w:sz w:val="20"/>
                <w:szCs w:val="20"/>
              </w:rPr>
              <w:t>Pasaules reālais IKP (izņemot ES)</w:t>
            </w:r>
          </w:p>
        </w:tc>
        <w:tc>
          <w:tcPr>
            <w:tcW w:w="1985" w:type="dxa"/>
            <w:tcBorders>
              <w:top w:val="nil"/>
              <w:left w:val="nil"/>
              <w:bottom w:val="nil"/>
              <w:right w:val="nil"/>
            </w:tcBorders>
            <w:shd w:val="clear" w:color="000000" w:fill="DCE6F1"/>
            <w:noWrap/>
            <w:vAlign w:val="center"/>
            <w:hideMark/>
          </w:tcPr>
          <w:p w14:paraId="57D0CD64"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r w:rsidRPr="009715D9">
              <w:rPr>
                <w:rFonts w:cs="Times New Roman"/>
                <w:sz w:val="20"/>
                <w:szCs w:val="20"/>
              </w:rPr>
              <w:t>pieauguma temps</w:t>
            </w:r>
          </w:p>
        </w:tc>
        <w:tc>
          <w:tcPr>
            <w:tcW w:w="930" w:type="dxa"/>
            <w:tcBorders>
              <w:top w:val="nil"/>
              <w:left w:val="nil"/>
              <w:bottom w:val="nil"/>
              <w:right w:val="nil"/>
            </w:tcBorders>
            <w:shd w:val="clear" w:color="auto" w:fill="auto"/>
            <w:noWrap/>
            <w:vAlign w:val="center"/>
            <w:hideMark/>
          </w:tcPr>
          <w:p w14:paraId="006452D8" w14:textId="6E2D24DE"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3,5</w:t>
            </w:r>
          </w:p>
        </w:tc>
        <w:tc>
          <w:tcPr>
            <w:tcW w:w="930" w:type="dxa"/>
            <w:tcBorders>
              <w:top w:val="nil"/>
              <w:left w:val="nil"/>
              <w:bottom w:val="nil"/>
              <w:right w:val="nil"/>
            </w:tcBorders>
            <w:shd w:val="clear" w:color="auto" w:fill="auto"/>
            <w:noWrap/>
            <w:vAlign w:val="center"/>
            <w:hideMark/>
          </w:tcPr>
          <w:p w14:paraId="23CACFF5" w14:textId="54EC3E1A"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3,5</w:t>
            </w:r>
          </w:p>
        </w:tc>
        <w:tc>
          <w:tcPr>
            <w:tcW w:w="960" w:type="dxa"/>
            <w:tcBorders>
              <w:top w:val="nil"/>
              <w:left w:val="nil"/>
              <w:bottom w:val="nil"/>
              <w:right w:val="nil"/>
            </w:tcBorders>
            <w:shd w:val="clear" w:color="000000" w:fill="F2F2F2"/>
            <w:noWrap/>
            <w:vAlign w:val="center"/>
          </w:tcPr>
          <w:p w14:paraId="3698B948" w14:textId="1BE5EB7C"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1C08C7C4" w14:textId="3688099F"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17E45E0E" w14:textId="68378F79"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236" w:type="dxa"/>
            <w:tcBorders>
              <w:top w:val="nil"/>
              <w:left w:val="nil"/>
              <w:bottom w:val="nil"/>
              <w:right w:val="nil"/>
            </w:tcBorders>
            <w:shd w:val="clear" w:color="000000" w:fill="F2F2F2"/>
            <w:noWrap/>
            <w:vAlign w:val="center"/>
          </w:tcPr>
          <w:p w14:paraId="2EF90D3D" w14:textId="079131FE" w:rsidR="002C1574" w:rsidRPr="009715D9" w:rsidRDefault="002C1574" w:rsidP="006357B3">
            <w:pPr>
              <w:spacing w:line="240" w:lineRule="auto"/>
              <w:ind w:firstLine="0"/>
              <w:jc w:val="center"/>
              <w:rPr>
                <w:rFonts w:eastAsia="Times New Roman" w:cs="Times New Roman"/>
                <w:color w:val="000000"/>
                <w:sz w:val="20"/>
                <w:szCs w:val="20"/>
                <w:lang w:eastAsia="lv-LV"/>
              </w:rPr>
            </w:pPr>
          </w:p>
        </w:tc>
      </w:tr>
      <w:tr w:rsidR="002C1574" w:rsidRPr="002869EC" w14:paraId="74A8929B" w14:textId="77777777" w:rsidTr="009715D9">
        <w:trPr>
          <w:trHeight w:val="300"/>
          <w:jc w:val="center"/>
        </w:trPr>
        <w:tc>
          <w:tcPr>
            <w:tcW w:w="380" w:type="dxa"/>
            <w:tcBorders>
              <w:top w:val="nil"/>
              <w:left w:val="nil"/>
              <w:bottom w:val="nil"/>
              <w:right w:val="nil"/>
            </w:tcBorders>
            <w:shd w:val="clear" w:color="000000" w:fill="95B3D7"/>
            <w:noWrap/>
            <w:vAlign w:val="center"/>
            <w:hideMark/>
          </w:tcPr>
          <w:p w14:paraId="25BA9104"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6</w:t>
            </w:r>
          </w:p>
        </w:tc>
        <w:tc>
          <w:tcPr>
            <w:tcW w:w="3022" w:type="dxa"/>
            <w:tcBorders>
              <w:top w:val="nil"/>
              <w:left w:val="nil"/>
              <w:bottom w:val="nil"/>
              <w:right w:val="nil"/>
            </w:tcBorders>
            <w:shd w:val="clear" w:color="000000" w:fill="DCE6F1"/>
            <w:vAlign w:val="center"/>
            <w:hideMark/>
          </w:tcPr>
          <w:p w14:paraId="015A009A" w14:textId="77777777" w:rsidR="002C1574" w:rsidRPr="009715D9" w:rsidRDefault="002C1574" w:rsidP="006357B3">
            <w:pPr>
              <w:spacing w:line="240" w:lineRule="auto"/>
              <w:ind w:firstLine="0"/>
              <w:jc w:val="left"/>
              <w:rPr>
                <w:rFonts w:eastAsia="Times New Roman" w:cs="Times New Roman"/>
                <w:b/>
                <w:bCs/>
                <w:color w:val="000000"/>
                <w:sz w:val="20"/>
                <w:szCs w:val="20"/>
                <w:lang w:eastAsia="lv-LV"/>
              </w:rPr>
            </w:pPr>
            <w:r w:rsidRPr="009715D9">
              <w:rPr>
                <w:rFonts w:cs="Times New Roman"/>
                <w:sz w:val="20"/>
                <w:szCs w:val="20"/>
              </w:rPr>
              <w:t>ES reālais IKP</w:t>
            </w:r>
          </w:p>
        </w:tc>
        <w:tc>
          <w:tcPr>
            <w:tcW w:w="1985" w:type="dxa"/>
            <w:tcBorders>
              <w:top w:val="nil"/>
              <w:left w:val="nil"/>
              <w:bottom w:val="nil"/>
              <w:right w:val="nil"/>
            </w:tcBorders>
            <w:shd w:val="clear" w:color="000000" w:fill="DCE6F1"/>
            <w:noWrap/>
            <w:vAlign w:val="center"/>
            <w:hideMark/>
          </w:tcPr>
          <w:p w14:paraId="74D5C59F"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r w:rsidRPr="009715D9">
              <w:rPr>
                <w:rFonts w:cs="Times New Roman"/>
                <w:sz w:val="20"/>
                <w:szCs w:val="20"/>
              </w:rPr>
              <w:t>pieauguma temps</w:t>
            </w:r>
          </w:p>
        </w:tc>
        <w:tc>
          <w:tcPr>
            <w:tcW w:w="930" w:type="dxa"/>
            <w:tcBorders>
              <w:top w:val="nil"/>
              <w:left w:val="nil"/>
              <w:bottom w:val="nil"/>
              <w:right w:val="nil"/>
            </w:tcBorders>
            <w:shd w:val="clear" w:color="auto" w:fill="auto"/>
            <w:noWrap/>
            <w:vAlign w:val="center"/>
            <w:hideMark/>
          </w:tcPr>
          <w:p w14:paraId="480B4F03" w14:textId="64DEAC62" w:rsidR="002C1574" w:rsidRPr="009715D9" w:rsidRDefault="00882A4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0,4</w:t>
            </w:r>
          </w:p>
        </w:tc>
        <w:tc>
          <w:tcPr>
            <w:tcW w:w="930" w:type="dxa"/>
            <w:tcBorders>
              <w:top w:val="nil"/>
              <w:left w:val="nil"/>
              <w:bottom w:val="nil"/>
              <w:right w:val="nil"/>
            </w:tcBorders>
            <w:shd w:val="clear" w:color="auto" w:fill="auto"/>
            <w:noWrap/>
            <w:vAlign w:val="center"/>
            <w:hideMark/>
          </w:tcPr>
          <w:p w14:paraId="74E2FAD5" w14:textId="457956D0"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1,0</w:t>
            </w:r>
          </w:p>
        </w:tc>
        <w:tc>
          <w:tcPr>
            <w:tcW w:w="960" w:type="dxa"/>
            <w:tcBorders>
              <w:top w:val="nil"/>
              <w:left w:val="nil"/>
              <w:bottom w:val="nil"/>
              <w:right w:val="nil"/>
            </w:tcBorders>
            <w:shd w:val="clear" w:color="000000" w:fill="F2F2F2"/>
            <w:noWrap/>
            <w:vAlign w:val="center"/>
          </w:tcPr>
          <w:p w14:paraId="42BDA7ED" w14:textId="063B6860"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00E01454" w14:textId="7ACF8558"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2F789D34" w14:textId="18406E2D"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236" w:type="dxa"/>
            <w:tcBorders>
              <w:top w:val="nil"/>
              <w:left w:val="nil"/>
              <w:bottom w:val="nil"/>
              <w:right w:val="nil"/>
            </w:tcBorders>
            <w:shd w:val="clear" w:color="000000" w:fill="F2F2F2"/>
            <w:noWrap/>
            <w:vAlign w:val="center"/>
          </w:tcPr>
          <w:p w14:paraId="4133A0B2" w14:textId="5E87BBE7" w:rsidR="002C1574" w:rsidRPr="009715D9" w:rsidRDefault="002C1574" w:rsidP="006357B3">
            <w:pPr>
              <w:spacing w:line="240" w:lineRule="auto"/>
              <w:ind w:firstLine="0"/>
              <w:jc w:val="center"/>
              <w:rPr>
                <w:rFonts w:eastAsia="Times New Roman" w:cs="Times New Roman"/>
                <w:color w:val="000000"/>
                <w:sz w:val="20"/>
                <w:szCs w:val="20"/>
                <w:lang w:eastAsia="lv-LV"/>
              </w:rPr>
            </w:pPr>
          </w:p>
        </w:tc>
      </w:tr>
      <w:tr w:rsidR="002C1574" w:rsidRPr="002869EC" w14:paraId="29A07D41" w14:textId="77777777" w:rsidTr="009715D9">
        <w:trPr>
          <w:trHeight w:val="394"/>
          <w:jc w:val="center"/>
        </w:trPr>
        <w:tc>
          <w:tcPr>
            <w:tcW w:w="380" w:type="dxa"/>
            <w:tcBorders>
              <w:top w:val="nil"/>
              <w:left w:val="nil"/>
              <w:bottom w:val="nil"/>
              <w:right w:val="nil"/>
            </w:tcBorders>
            <w:shd w:val="clear" w:color="000000" w:fill="95B3D7"/>
            <w:noWrap/>
            <w:vAlign w:val="center"/>
            <w:hideMark/>
          </w:tcPr>
          <w:p w14:paraId="020D46D6"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7</w:t>
            </w:r>
          </w:p>
          <w:p w14:paraId="52634367"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3022" w:type="dxa"/>
            <w:tcBorders>
              <w:top w:val="nil"/>
              <w:left w:val="nil"/>
              <w:bottom w:val="nil"/>
              <w:right w:val="nil"/>
            </w:tcBorders>
            <w:shd w:val="clear" w:color="000000" w:fill="DCE6F1"/>
            <w:vAlign w:val="center"/>
            <w:hideMark/>
          </w:tcPr>
          <w:p w14:paraId="451DA115" w14:textId="77777777" w:rsidR="002C1574" w:rsidRPr="009715D9" w:rsidRDefault="002C1574" w:rsidP="006357B3">
            <w:pPr>
              <w:spacing w:line="240" w:lineRule="auto"/>
              <w:ind w:firstLine="0"/>
              <w:jc w:val="left"/>
              <w:rPr>
                <w:rFonts w:eastAsia="Times New Roman" w:cs="Times New Roman"/>
                <w:b/>
                <w:bCs/>
                <w:color w:val="000000"/>
                <w:sz w:val="20"/>
                <w:szCs w:val="20"/>
                <w:lang w:eastAsia="lv-LV"/>
              </w:rPr>
            </w:pPr>
            <w:r w:rsidRPr="009715D9">
              <w:rPr>
                <w:rFonts w:cs="Times New Roman"/>
                <w:sz w:val="20"/>
                <w:szCs w:val="20"/>
              </w:rPr>
              <w:t>Pasaules importa apjoms, izņemot ES</w:t>
            </w:r>
          </w:p>
        </w:tc>
        <w:tc>
          <w:tcPr>
            <w:tcW w:w="1985" w:type="dxa"/>
            <w:tcBorders>
              <w:top w:val="nil"/>
              <w:left w:val="nil"/>
              <w:bottom w:val="nil"/>
              <w:right w:val="nil"/>
            </w:tcBorders>
            <w:shd w:val="clear" w:color="000000" w:fill="DCE6F1"/>
            <w:noWrap/>
            <w:vAlign w:val="center"/>
            <w:hideMark/>
          </w:tcPr>
          <w:p w14:paraId="1CB98B3B"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r w:rsidRPr="009715D9">
              <w:rPr>
                <w:rFonts w:cs="Times New Roman"/>
                <w:sz w:val="20"/>
                <w:szCs w:val="20"/>
              </w:rPr>
              <w:t>pieauguma temps</w:t>
            </w:r>
          </w:p>
        </w:tc>
        <w:tc>
          <w:tcPr>
            <w:tcW w:w="930" w:type="dxa"/>
            <w:tcBorders>
              <w:top w:val="nil"/>
              <w:left w:val="nil"/>
              <w:bottom w:val="nil"/>
              <w:right w:val="nil"/>
            </w:tcBorders>
            <w:shd w:val="clear" w:color="auto" w:fill="auto"/>
            <w:noWrap/>
            <w:vAlign w:val="center"/>
            <w:hideMark/>
          </w:tcPr>
          <w:p w14:paraId="151F1FCB" w14:textId="4EF37BF7" w:rsidR="002C1574" w:rsidRPr="009715D9" w:rsidRDefault="00882A4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0,9</w:t>
            </w:r>
          </w:p>
        </w:tc>
        <w:tc>
          <w:tcPr>
            <w:tcW w:w="930" w:type="dxa"/>
            <w:tcBorders>
              <w:top w:val="nil"/>
              <w:left w:val="nil"/>
              <w:bottom w:val="nil"/>
              <w:right w:val="nil"/>
            </w:tcBorders>
            <w:shd w:val="clear" w:color="auto" w:fill="auto"/>
            <w:noWrap/>
            <w:vAlign w:val="center"/>
            <w:hideMark/>
          </w:tcPr>
          <w:p w14:paraId="66135B8D" w14:textId="4D94D859"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3,3</w:t>
            </w:r>
          </w:p>
        </w:tc>
        <w:tc>
          <w:tcPr>
            <w:tcW w:w="960" w:type="dxa"/>
            <w:tcBorders>
              <w:top w:val="nil"/>
              <w:left w:val="nil"/>
              <w:bottom w:val="nil"/>
              <w:right w:val="nil"/>
            </w:tcBorders>
            <w:shd w:val="clear" w:color="000000" w:fill="F2F2F2"/>
            <w:noWrap/>
            <w:vAlign w:val="center"/>
          </w:tcPr>
          <w:p w14:paraId="0FAC21E4" w14:textId="716B007B"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599CF05C" w14:textId="35D96E58"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74BDCCAA" w14:textId="4FB38A9C"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236" w:type="dxa"/>
            <w:tcBorders>
              <w:top w:val="nil"/>
              <w:left w:val="nil"/>
              <w:bottom w:val="nil"/>
              <w:right w:val="nil"/>
            </w:tcBorders>
            <w:shd w:val="clear" w:color="000000" w:fill="F2F2F2"/>
            <w:noWrap/>
            <w:vAlign w:val="center"/>
          </w:tcPr>
          <w:p w14:paraId="30618E65" w14:textId="301FD177" w:rsidR="002C1574" w:rsidRPr="009715D9" w:rsidRDefault="002C1574" w:rsidP="006357B3">
            <w:pPr>
              <w:spacing w:line="240" w:lineRule="auto"/>
              <w:ind w:firstLine="0"/>
              <w:jc w:val="center"/>
              <w:rPr>
                <w:rFonts w:eastAsia="Times New Roman" w:cs="Times New Roman"/>
                <w:color w:val="000000"/>
                <w:sz w:val="20"/>
                <w:szCs w:val="20"/>
                <w:lang w:eastAsia="lv-LV"/>
              </w:rPr>
            </w:pPr>
          </w:p>
        </w:tc>
      </w:tr>
      <w:tr w:rsidR="002C1574" w:rsidRPr="002869EC" w14:paraId="165FBF07" w14:textId="77777777" w:rsidTr="009715D9">
        <w:trPr>
          <w:trHeight w:val="300"/>
          <w:jc w:val="center"/>
        </w:trPr>
        <w:tc>
          <w:tcPr>
            <w:tcW w:w="380" w:type="dxa"/>
            <w:tcBorders>
              <w:top w:val="nil"/>
              <w:left w:val="nil"/>
              <w:bottom w:val="nil"/>
              <w:right w:val="nil"/>
            </w:tcBorders>
            <w:shd w:val="clear" w:color="000000" w:fill="95B3D7"/>
            <w:noWrap/>
            <w:vAlign w:val="center"/>
            <w:hideMark/>
          </w:tcPr>
          <w:p w14:paraId="0CF1E1CF" w14:textId="77777777"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eastAsia="Times New Roman" w:cs="Times New Roman"/>
                <w:color w:val="000000"/>
                <w:sz w:val="20"/>
                <w:szCs w:val="20"/>
                <w:lang w:eastAsia="lv-LV"/>
              </w:rPr>
              <w:t>8</w:t>
            </w:r>
          </w:p>
        </w:tc>
        <w:tc>
          <w:tcPr>
            <w:tcW w:w="3022" w:type="dxa"/>
            <w:tcBorders>
              <w:top w:val="nil"/>
              <w:left w:val="nil"/>
              <w:bottom w:val="nil"/>
              <w:right w:val="nil"/>
            </w:tcBorders>
            <w:shd w:val="clear" w:color="000000" w:fill="DCE6F1"/>
            <w:vAlign w:val="center"/>
            <w:hideMark/>
          </w:tcPr>
          <w:p w14:paraId="367088B5" w14:textId="77777777" w:rsidR="002C1574" w:rsidRPr="009715D9" w:rsidRDefault="002C1574" w:rsidP="006357B3">
            <w:pPr>
              <w:spacing w:line="240" w:lineRule="auto"/>
              <w:ind w:firstLine="0"/>
              <w:jc w:val="left"/>
              <w:rPr>
                <w:rFonts w:eastAsia="Times New Roman" w:cs="Times New Roman"/>
                <w:b/>
                <w:bCs/>
                <w:sz w:val="20"/>
                <w:szCs w:val="20"/>
                <w:lang w:eastAsia="lv-LV"/>
              </w:rPr>
            </w:pPr>
            <w:r w:rsidRPr="009715D9">
              <w:rPr>
                <w:rFonts w:cs="Times New Roman"/>
                <w:sz w:val="20"/>
                <w:szCs w:val="20"/>
              </w:rPr>
              <w:t>Naftas cena</w:t>
            </w:r>
          </w:p>
        </w:tc>
        <w:tc>
          <w:tcPr>
            <w:tcW w:w="1985" w:type="dxa"/>
            <w:tcBorders>
              <w:top w:val="nil"/>
              <w:left w:val="nil"/>
              <w:bottom w:val="nil"/>
              <w:right w:val="nil"/>
            </w:tcBorders>
            <w:shd w:val="clear" w:color="000000" w:fill="DCE6F1"/>
            <w:noWrap/>
            <w:vAlign w:val="center"/>
            <w:hideMark/>
          </w:tcPr>
          <w:p w14:paraId="16395EAC" w14:textId="77777777" w:rsidR="002C1574" w:rsidRPr="009715D9" w:rsidRDefault="002C1574" w:rsidP="006357B3">
            <w:pPr>
              <w:spacing w:line="240" w:lineRule="auto"/>
              <w:ind w:firstLine="0"/>
              <w:jc w:val="left"/>
              <w:rPr>
                <w:rFonts w:eastAsia="Times New Roman" w:cs="Times New Roman"/>
                <w:color w:val="000000"/>
                <w:sz w:val="20"/>
                <w:szCs w:val="20"/>
                <w:lang w:eastAsia="lv-LV"/>
              </w:rPr>
            </w:pPr>
            <w:proofErr w:type="spellStart"/>
            <w:r w:rsidRPr="009715D9">
              <w:rPr>
                <w:rFonts w:cs="Times New Roman"/>
                <w:sz w:val="20"/>
                <w:szCs w:val="20"/>
              </w:rPr>
              <w:t>Brent,USD</w:t>
            </w:r>
            <w:proofErr w:type="spellEnd"/>
            <w:r w:rsidRPr="009715D9">
              <w:rPr>
                <w:rFonts w:cs="Times New Roman"/>
                <w:sz w:val="20"/>
                <w:szCs w:val="20"/>
              </w:rPr>
              <w:t>/barels</w:t>
            </w:r>
          </w:p>
        </w:tc>
        <w:tc>
          <w:tcPr>
            <w:tcW w:w="930" w:type="dxa"/>
            <w:tcBorders>
              <w:top w:val="nil"/>
              <w:left w:val="nil"/>
              <w:bottom w:val="nil"/>
              <w:right w:val="nil"/>
            </w:tcBorders>
            <w:shd w:val="clear" w:color="auto" w:fill="auto"/>
            <w:noWrap/>
            <w:vAlign w:val="center"/>
            <w:hideMark/>
          </w:tcPr>
          <w:p w14:paraId="31F1BAEF" w14:textId="623CAFF6"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82,5</w:t>
            </w:r>
          </w:p>
        </w:tc>
        <w:tc>
          <w:tcPr>
            <w:tcW w:w="930" w:type="dxa"/>
            <w:tcBorders>
              <w:top w:val="nil"/>
              <w:left w:val="nil"/>
              <w:bottom w:val="nil"/>
              <w:right w:val="nil"/>
            </w:tcBorders>
            <w:shd w:val="clear" w:color="auto" w:fill="auto"/>
            <w:noWrap/>
            <w:vAlign w:val="center"/>
            <w:hideMark/>
          </w:tcPr>
          <w:p w14:paraId="219D437C" w14:textId="4D376435" w:rsidR="002C1574" w:rsidRPr="009715D9" w:rsidRDefault="002C1574" w:rsidP="006357B3">
            <w:pPr>
              <w:spacing w:line="240" w:lineRule="auto"/>
              <w:ind w:firstLine="0"/>
              <w:jc w:val="center"/>
              <w:rPr>
                <w:rFonts w:eastAsia="Times New Roman" w:cs="Times New Roman"/>
                <w:color w:val="000000"/>
                <w:sz w:val="20"/>
                <w:szCs w:val="20"/>
                <w:lang w:eastAsia="lv-LV"/>
              </w:rPr>
            </w:pPr>
            <w:r w:rsidRPr="009715D9">
              <w:rPr>
                <w:rFonts w:cs="Times New Roman"/>
                <w:sz w:val="20"/>
                <w:szCs w:val="20"/>
              </w:rPr>
              <w:t>85,4</w:t>
            </w:r>
          </w:p>
        </w:tc>
        <w:tc>
          <w:tcPr>
            <w:tcW w:w="960" w:type="dxa"/>
            <w:tcBorders>
              <w:top w:val="nil"/>
              <w:left w:val="nil"/>
              <w:bottom w:val="nil"/>
              <w:right w:val="nil"/>
            </w:tcBorders>
            <w:shd w:val="clear" w:color="000000" w:fill="F2F2F2"/>
            <w:noWrap/>
            <w:vAlign w:val="center"/>
          </w:tcPr>
          <w:p w14:paraId="2932ABAA" w14:textId="38E96BE8"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17F05467" w14:textId="4E6CA457"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960" w:type="dxa"/>
            <w:tcBorders>
              <w:top w:val="nil"/>
              <w:left w:val="nil"/>
              <w:bottom w:val="nil"/>
              <w:right w:val="nil"/>
            </w:tcBorders>
            <w:shd w:val="clear" w:color="000000" w:fill="F2F2F2"/>
            <w:noWrap/>
            <w:vAlign w:val="center"/>
          </w:tcPr>
          <w:p w14:paraId="79E2BD5E" w14:textId="289DF27E" w:rsidR="002C1574" w:rsidRPr="009715D9" w:rsidRDefault="002C1574" w:rsidP="006357B3">
            <w:pPr>
              <w:spacing w:line="240" w:lineRule="auto"/>
              <w:ind w:firstLine="0"/>
              <w:jc w:val="center"/>
              <w:rPr>
                <w:rFonts w:eastAsia="Times New Roman" w:cs="Times New Roman"/>
                <w:color w:val="000000"/>
                <w:sz w:val="20"/>
                <w:szCs w:val="20"/>
                <w:lang w:eastAsia="lv-LV"/>
              </w:rPr>
            </w:pPr>
          </w:p>
        </w:tc>
        <w:tc>
          <w:tcPr>
            <w:tcW w:w="236" w:type="dxa"/>
            <w:tcBorders>
              <w:top w:val="nil"/>
              <w:left w:val="nil"/>
              <w:bottom w:val="nil"/>
              <w:right w:val="nil"/>
            </w:tcBorders>
            <w:shd w:val="clear" w:color="000000" w:fill="F2F2F2"/>
            <w:noWrap/>
            <w:vAlign w:val="center"/>
          </w:tcPr>
          <w:p w14:paraId="0A87CA12" w14:textId="30FE58B5" w:rsidR="002C1574" w:rsidRPr="009715D9" w:rsidRDefault="002C1574" w:rsidP="006357B3">
            <w:pPr>
              <w:spacing w:line="240" w:lineRule="auto"/>
              <w:ind w:firstLine="0"/>
              <w:jc w:val="center"/>
              <w:rPr>
                <w:rFonts w:eastAsia="Times New Roman" w:cs="Times New Roman"/>
                <w:color w:val="000000"/>
                <w:sz w:val="20"/>
                <w:szCs w:val="20"/>
                <w:lang w:eastAsia="lv-LV"/>
              </w:rPr>
            </w:pPr>
          </w:p>
        </w:tc>
      </w:tr>
    </w:tbl>
    <w:p w14:paraId="1C4D9696" w14:textId="77777777" w:rsidR="004965BC" w:rsidRPr="00566221" w:rsidRDefault="004965BC" w:rsidP="006357B3">
      <w:pPr>
        <w:spacing w:line="240" w:lineRule="auto"/>
        <w:rPr>
          <w:b/>
          <w:bCs/>
        </w:rPr>
      </w:pPr>
    </w:p>
    <w:p w14:paraId="1EC44780" w14:textId="77777777" w:rsidR="00091136" w:rsidRDefault="00091136" w:rsidP="008E63A3">
      <w:pPr>
        <w:spacing w:line="240" w:lineRule="auto"/>
        <w:jc w:val="center"/>
        <w:rPr>
          <w:rFonts w:cs="Times New Roman"/>
          <w:b/>
          <w:bCs/>
          <w:lang w:eastAsia="lv-LV"/>
        </w:rPr>
      </w:pPr>
    </w:p>
    <w:p w14:paraId="3BAAB666" w14:textId="14B15A34" w:rsidR="0059326F" w:rsidRDefault="004965BC" w:rsidP="008E63A3">
      <w:pPr>
        <w:spacing w:line="240" w:lineRule="auto"/>
        <w:jc w:val="right"/>
        <w:rPr>
          <w:rFonts w:cs="Times New Roman"/>
          <w:b/>
          <w:bCs/>
          <w:lang w:eastAsia="lv-LV"/>
        </w:rPr>
      </w:pPr>
      <w:r w:rsidRPr="00566221">
        <w:rPr>
          <w:rFonts w:cs="Times New Roman"/>
          <w:b/>
          <w:bCs/>
          <w:lang w:eastAsia="lv-LV"/>
        </w:rPr>
        <w:t>4. tabula. Budžeta prognozes</w:t>
      </w:r>
    </w:p>
    <w:tbl>
      <w:tblPr>
        <w:tblW w:w="10915" w:type="dxa"/>
        <w:jc w:val="center"/>
        <w:tblLayout w:type="fixed"/>
        <w:tblLook w:val="04A0" w:firstRow="1" w:lastRow="0" w:firstColumn="1" w:lastColumn="0" w:noHBand="0" w:noVBand="1"/>
      </w:tblPr>
      <w:tblGrid>
        <w:gridCol w:w="540"/>
        <w:gridCol w:w="3478"/>
        <w:gridCol w:w="1227"/>
        <w:gridCol w:w="1088"/>
        <w:gridCol w:w="800"/>
        <w:gridCol w:w="800"/>
        <w:gridCol w:w="800"/>
        <w:gridCol w:w="800"/>
        <w:gridCol w:w="673"/>
        <w:gridCol w:w="709"/>
      </w:tblGrid>
      <w:tr w:rsidR="000B10A3" w:rsidRPr="000B10A3" w14:paraId="0636EED7" w14:textId="77777777" w:rsidTr="008403D0">
        <w:trPr>
          <w:trHeight w:val="480"/>
          <w:tblHeader/>
          <w:jc w:val="center"/>
        </w:trPr>
        <w:tc>
          <w:tcPr>
            <w:tcW w:w="540" w:type="dxa"/>
            <w:tcBorders>
              <w:top w:val="nil"/>
              <w:left w:val="nil"/>
              <w:bottom w:val="nil"/>
              <w:right w:val="nil"/>
            </w:tcBorders>
            <w:shd w:val="clear" w:color="000000" w:fill="BDD6EE"/>
            <w:noWrap/>
            <w:vAlign w:val="bottom"/>
            <w:hideMark/>
          </w:tcPr>
          <w:p w14:paraId="391C942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3478" w:type="dxa"/>
            <w:tcBorders>
              <w:top w:val="nil"/>
              <w:left w:val="nil"/>
              <w:bottom w:val="nil"/>
              <w:right w:val="nil"/>
            </w:tcBorders>
            <w:shd w:val="clear" w:color="000000" w:fill="BDD6EE"/>
            <w:noWrap/>
            <w:vAlign w:val="bottom"/>
            <w:hideMark/>
          </w:tcPr>
          <w:p w14:paraId="186D56F2"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227" w:type="dxa"/>
            <w:tcBorders>
              <w:top w:val="nil"/>
              <w:left w:val="nil"/>
              <w:bottom w:val="nil"/>
              <w:right w:val="nil"/>
            </w:tcBorders>
            <w:shd w:val="clear" w:color="000000" w:fill="BDD6EE"/>
            <w:vAlign w:val="center"/>
            <w:hideMark/>
          </w:tcPr>
          <w:p w14:paraId="35AD382A"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EKS kods</w:t>
            </w:r>
          </w:p>
        </w:tc>
        <w:tc>
          <w:tcPr>
            <w:tcW w:w="1088" w:type="dxa"/>
            <w:tcBorders>
              <w:top w:val="nil"/>
              <w:left w:val="nil"/>
              <w:bottom w:val="nil"/>
              <w:right w:val="nil"/>
            </w:tcBorders>
            <w:shd w:val="clear" w:color="000000" w:fill="BDD6EE"/>
            <w:noWrap/>
            <w:vAlign w:val="center"/>
            <w:hideMark/>
          </w:tcPr>
          <w:p w14:paraId="51506A37"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2023</w:t>
            </w:r>
          </w:p>
        </w:tc>
        <w:tc>
          <w:tcPr>
            <w:tcW w:w="800" w:type="dxa"/>
            <w:tcBorders>
              <w:top w:val="nil"/>
              <w:left w:val="nil"/>
              <w:bottom w:val="nil"/>
              <w:right w:val="nil"/>
            </w:tcBorders>
            <w:shd w:val="clear" w:color="000000" w:fill="BDD6EE"/>
            <w:noWrap/>
            <w:vAlign w:val="center"/>
            <w:hideMark/>
          </w:tcPr>
          <w:p w14:paraId="15079A59"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2023</w:t>
            </w:r>
          </w:p>
        </w:tc>
        <w:tc>
          <w:tcPr>
            <w:tcW w:w="800" w:type="dxa"/>
            <w:tcBorders>
              <w:top w:val="nil"/>
              <w:left w:val="nil"/>
              <w:bottom w:val="nil"/>
              <w:right w:val="nil"/>
            </w:tcBorders>
            <w:shd w:val="clear" w:color="000000" w:fill="BDD6EE"/>
            <w:noWrap/>
            <w:vAlign w:val="center"/>
            <w:hideMark/>
          </w:tcPr>
          <w:p w14:paraId="5FB8FE0E"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2024</w:t>
            </w:r>
          </w:p>
        </w:tc>
        <w:tc>
          <w:tcPr>
            <w:tcW w:w="800" w:type="dxa"/>
            <w:tcBorders>
              <w:top w:val="nil"/>
              <w:left w:val="nil"/>
              <w:bottom w:val="nil"/>
              <w:right w:val="nil"/>
            </w:tcBorders>
            <w:shd w:val="clear" w:color="000000" w:fill="BDD6EE"/>
            <w:noWrap/>
            <w:vAlign w:val="center"/>
            <w:hideMark/>
          </w:tcPr>
          <w:p w14:paraId="56F741FD"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2025</w:t>
            </w:r>
          </w:p>
        </w:tc>
        <w:tc>
          <w:tcPr>
            <w:tcW w:w="800" w:type="dxa"/>
            <w:tcBorders>
              <w:top w:val="nil"/>
              <w:left w:val="nil"/>
              <w:bottom w:val="nil"/>
              <w:right w:val="nil"/>
            </w:tcBorders>
            <w:shd w:val="clear" w:color="000000" w:fill="BDD6EE"/>
            <w:noWrap/>
            <w:vAlign w:val="center"/>
            <w:hideMark/>
          </w:tcPr>
          <w:p w14:paraId="66AB7E1E"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2026</w:t>
            </w:r>
          </w:p>
        </w:tc>
        <w:tc>
          <w:tcPr>
            <w:tcW w:w="673" w:type="dxa"/>
            <w:tcBorders>
              <w:top w:val="nil"/>
              <w:left w:val="nil"/>
              <w:bottom w:val="nil"/>
              <w:right w:val="nil"/>
            </w:tcBorders>
            <w:shd w:val="clear" w:color="000000" w:fill="BDD6EE"/>
            <w:noWrap/>
            <w:vAlign w:val="center"/>
            <w:hideMark/>
          </w:tcPr>
          <w:p w14:paraId="5C1244BA"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2027</w:t>
            </w:r>
          </w:p>
        </w:tc>
        <w:tc>
          <w:tcPr>
            <w:tcW w:w="709" w:type="dxa"/>
            <w:tcBorders>
              <w:top w:val="nil"/>
              <w:left w:val="nil"/>
              <w:bottom w:val="nil"/>
              <w:right w:val="nil"/>
            </w:tcBorders>
            <w:shd w:val="clear" w:color="000000" w:fill="BDD6EE"/>
            <w:noWrap/>
            <w:vAlign w:val="center"/>
            <w:hideMark/>
          </w:tcPr>
          <w:p w14:paraId="43E368C4" w14:textId="77777777" w:rsidR="000B10A3" w:rsidRPr="000B10A3" w:rsidRDefault="000B10A3" w:rsidP="000B10A3">
            <w:pPr>
              <w:spacing w:after="0" w:line="240" w:lineRule="auto"/>
              <w:ind w:firstLine="0"/>
              <w:jc w:val="center"/>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2028</w:t>
            </w:r>
          </w:p>
        </w:tc>
      </w:tr>
      <w:tr w:rsidR="000B10A3" w:rsidRPr="000B10A3" w14:paraId="03127B0D"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04755419"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 </w:t>
            </w:r>
          </w:p>
        </w:tc>
        <w:tc>
          <w:tcPr>
            <w:tcW w:w="3478" w:type="dxa"/>
            <w:tcBorders>
              <w:top w:val="nil"/>
              <w:left w:val="nil"/>
              <w:bottom w:val="nil"/>
              <w:right w:val="nil"/>
            </w:tcBorders>
            <w:shd w:val="clear" w:color="000000" w:fill="95B3D7"/>
            <w:vAlign w:val="center"/>
            <w:hideMark/>
          </w:tcPr>
          <w:p w14:paraId="2427FA15"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sz w:val="18"/>
                <w:szCs w:val="18"/>
                <w:lang w:eastAsia="lv-LV"/>
              </w:rPr>
              <w:t>Ieņēmumi</w:t>
            </w:r>
          </w:p>
        </w:tc>
        <w:tc>
          <w:tcPr>
            <w:tcW w:w="1227" w:type="dxa"/>
            <w:tcBorders>
              <w:top w:val="nil"/>
              <w:left w:val="nil"/>
              <w:bottom w:val="nil"/>
              <w:right w:val="nil"/>
            </w:tcBorders>
            <w:shd w:val="clear" w:color="000000" w:fill="95B3D7"/>
            <w:vAlign w:val="center"/>
            <w:hideMark/>
          </w:tcPr>
          <w:p w14:paraId="2CB1B78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95B3D7"/>
            <w:vAlign w:val="center"/>
            <w:hideMark/>
          </w:tcPr>
          <w:p w14:paraId="38DB270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VV mljrd.</w:t>
            </w:r>
          </w:p>
        </w:tc>
        <w:tc>
          <w:tcPr>
            <w:tcW w:w="800" w:type="dxa"/>
            <w:tcBorders>
              <w:top w:val="nil"/>
              <w:left w:val="nil"/>
              <w:bottom w:val="nil"/>
              <w:right w:val="nil"/>
            </w:tcBorders>
            <w:shd w:val="clear" w:color="000000" w:fill="95B3D7"/>
            <w:vAlign w:val="center"/>
            <w:hideMark/>
          </w:tcPr>
          <w:p w14:paraId="4A747DE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720FACC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5E6483F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5128938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673" w:type="dxa"/>
            <w:tcBorders>
              <w:top w:val="nil"/>
              <w:left w:val="nil"/>
              <w:bottom w:val="nil"/>
              <w:right w:val="nil"/>
            </w:tcBorders>
            <w:shd w:val="clear" w:color="000000" w:fill="95B3D7"/>
            <w:vAlign w:val="center"/>
            <w:hideMark/>
          </w:tcPr>
          <w:p w14:paraId="1CB1276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709" w:type="dxa"/>
            <w:tcBorders>
              <w:top w:val="nil"/>
              <w:left w:val="nil"/>
              <w:bottom w:val="nil"/>
              <w:right w:val="nil"/>
            </w:tcBorders>
            <w:shd w:val="clear" w:color="000000" w:fill="95B3D7"/>
            <w:vAlign w:val="center"/>
            <w:hideMark/>
          </w:tcPr>
          <w:p w14:paraId="534116B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r>
      <w:tr w:rsidR="000B10A3" w:rsidRPr="000B10A3" w14:paraId="40EC96B9"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7707572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w:t>
            </w:r>
          </w:p>
        </w:tc>
        <w:tc>
          <w:tcPr>
            <w:tcW w:w="3478" w:type="dxa"/>
            <w:tcBorders>
              <w:top w:val="nil"/>
              <w:left w:val="nil"/>
              <w:bottom w:val="nil"/>
              <w:right w:val="nil"/>
            </w:tcBorders>
            <w:shd w:val="clear" w:color="000000" w:fill="DCE6F1"/>
            <w:vAlign w:val="center"/>
            <w:hideMark/>
          </w:tcPr>
          <w:p w14:paraId="6FA713D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Ražošanas un importa nodokļi</w:t>
            </w:r>
          </w:p>
        </w:tc>
        <w:tc>
          <w:tcPr>
            <w:tcW w:w="1227" w:type="dxa"/>
            <w:tcBorders>
              <w:top w:val="nil"/>
              <w:left w:val="nil"/>
              <w:bottom w:val="nil"/>
              <w:right w:val="nil"/>
            </w:tcBorders>
            <w:shd w:val="clear" w:color="000000" w:fill="DCE6F1"/>
            <w:vAlign w:val="center"/>
            <w:hideMark/>
          </w:tcPr>
          <w:p w14:paraId="77B0F12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D.2</w:t>
            </w:r>
          </w:p>
        </w:tc>
        <w:tc>
          <w:tcPr>
            <w:tcW w:w="1088" w:type="dxa"/>
            <w:tcBorders>
              <w:top w:val="nil"/>
              <w:left w:val="nil"/>
              <w:bottom w:val="nil"/>
              <w:right w:val="nil"/>
            </w:tcBorders>
            <w:shd w:val="clear" w:color="auto" w:fill="auto"/>
            <w:noWrap/>
            <w:vAlign w:val="center"/>
            <w:hideMark/>
          </w:tcPr>
          <w:p w14:paraId="5A203B1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5,5</w:t>
            </w:r>
          </w:p>
        </w:tc>
        <w:tc>
          <w:tcPr>
            <w:tcW w:w="800" w:type="dxa"/>
            <w:tcBorders>
              <w:top w:val="nil"/>
              <w:left w:val="nil"/>
              <w:bottom w:val="nil"/>
              <w:right w:val="nil"/>
            </w:tcBorders>
            <w:shd w:val="clear" w:color="auto" w:fill="auto"/>
            <w:noWrap/>
            <w:vAlign w:val="center"/>
            <w:hideMark/>
          </w:tcPr>
          <w:p w14:paraId="2188883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13,8</w:t>
            </w:r>
          </w:p>
        </w:tc>
        <w:tc>
          <w:tcPr>
            <w:tcW w:w="800" w:type="dxa"/>
            <w:tcBorders>
              <w:top w:val="nil"/>
              <w:left w:val="nil"/>
              <w:bottom w:val="nil"/>
              <w:right w:val="nil"/>
            </w:tcBorders>
            <w:shd w:val="clear" w:color="auto" w:fill="auto"/>
            <w:noWrap/>
            <w:vAlign w:val="center"/>
            <w:hideMark/>
          </w:tcPr>
          <w:p w14:paraId="0DDDDD0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14,3</w:t>
            </w:r>
          </w:p>
        </w:tc>
        <w:tc>
          <w:tcPr>
            <w:tcW w:w="800" w:type="dxa"/>
            <w:tcBorders>
              <w:top w:val="nil"/>
              <w:left w:val="nil"/>
              <w:bottom w:val="nil"/>
              <w:right w:val="nil"/>
            </w:tcBorders>
            <w:shd w:val="clear" w:color="000000" w:fill="F2F2F2"/>
            <w:noWrap/>
            <w:vAlign w:val="center"/>
            <w:hideMark/>
          </w:tcPr>
          <w:p w14:paraId="137425F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69E21E5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22B3021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48640A5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1D3DAE2B"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4F5F141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w:t>
            </w:r>
          </w:p>
        </w:tc>
        <w:tc>
          <w:tcPr>
            <w:tcW w:w="3478" w:type="dxa"/>
            <w:tcBorders>
              <w:top w:val="nil"/>
              <w:left w:val="nil"/>
              <w:bottom w:val="nil"/>
              <w:right w:val="nil"/>
            </w:tcBorders>
            <w:shd w:val="clear" w:color="000000" w:fill="DCE6F1"/>
            <w:vAlign w:val="center"/>
            <w:hideMark/>
          </w:tcPr>
          <w:p w14:paraId="0D93A5B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Kārtējie ienākuma nodokļi, mantas nodokļi u.tml.</w:t>
            </w:r>
          </w:p>
        </w:tc>
        <w:tc>
          <w:tcPr>
            <w:tcW w:w="1227" w:type="dxa"/>
            <w:tcBorders>
              <w:top w:val="nil"/>
              <w:left w:val="nil"/>
              <w:bottom w:val="nil"/>
              <w:right w:val="nil"/>
            </w:tcBorders>
            <w:shd w:val="clear" w:color="000000" w:fill="DCE6F1"/>
            <w:vAlign w:val="center"/>
            <w:hideMark/>
          </w:tcPr>
          <w:p w14:paraId="7449C0C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D.5</w:t>
            </w:r>
          </w:p>
        </w:tc>
        <w:tc>
          <w:tcPr>
            <w:tcW w:w="1088" w:type="dxa"/>
            <w:tcBorders>
              <w:top w:val="nil"/>
              <w:left w:val="nil"/>
              <w:bottom w:val="nil"/>
              <w:right w:val="nil"/>
            </w:tcBorders>
            <w:shd w:val="clear" w:color="auto" w:fill="auto"/>
            <w:noWrap/>
            <w:vAlign w:val="center"/>
            <w:hideMark/>
          </w:tcPr>
          <w:p w14:paraId="4C76C92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3,1</w:t>
            </w:r>
          </w:p>
        </w:tc>
        <w:tc>
          <w:tcPr>
            <w:tcW w:w="800" w:type="dxa"/>
            <w:tcBorders>
              <w:top w:val="nil"/>
              <w:left w:val="nil"/>
              <w:bottom w:val="nil"/>
              <w:right w:val="nil"/>
            </w:tcBorders>
            <w:shd w:val="clear" w:color="auto" w:fill="auto"/>
            <w:noWrap/>
            <w:vAlign w:val="center"/>
            <w:hideMark/>
          </w:tcPr>
          <w:p w14:paraId="040F8BB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7,8</w:t>
            </w:r>
          </w:p>
        </w:tc>
        <w:tc>
          <w:tcPr>
            <w:tcW w:w="800" w:type="dxa"/>
            <w:tcBorders>
              <w:top w:val="nil"/>
              <w:left w:val="nil"/>
              <w:bottom w:val="nil"/>
              <w:right w:val="nil"/>
            </w:tcBorders>
            <w:shd w:val="clear" w:color="auto" w:fill="auto"/>
            <w:noWrap/>
            <w:vAlign w:val="center"/>
            <w:hideMark/>
          </w:tcPr>
          <w:p w14:paraId="636F242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8,6</w:t>
            </w:r>
          </w:p>
        </w:tc>
        <w:tc>
          <w:tcPr>
            <w:tcW w:w="800" w:type="dxa"/>
            <w:tcBorders>
              <w:top w:val="nil"/>
              <w:left w:val="nil"/>
              <w:bottom w:val="nil"/>
              <w:right w:val="nil"/>
            </w:tcBorders>
            <w:shd w:val="clear" w:color="000000" w:fill="F2F2F2"/>
            <w:noWrap/>
            <w:vAlign w:val="center"/>
            <w:hideMark/>
          </w:tcPr>
          <w:p w14:paraId="39CAA2A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2DCE497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5DE4420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18C6C9F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7F9F449D"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624F610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w:t>
            </w:r>
          </w:p>
        </w:tc>
        <w:tc>
          <w:tcPr>
            <w:tcW w:w="3478" w:type="dxa"/>
            <w:tcBorders>
              <w:top w:val="nil"/>
              <w:left w:val="nil"/>
              <w:bottom w:val="nil"/>
              <w:right w:val="nil"/>
            </w:tcBorders>
            <w:shd w:val="clear" w:color="000000" w:fill="DCE6F1"/>
            <w:vAlign w:val="center"/>
            <w:hideMark/>
          </w:tcPr>
          <w:p w14:paraId="1A49B58A"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Sociālās iemaksas</w:t>
            </w:r>
          </w:p>
        </w:tc>
        <w:tc>
          <w:tcPr>
            <w:tcW w:w="1227" w:type="dxa"/>
            <w:tcBorders>
              <w:top w:val="nil"/>
              <w:left w:val="nil"/>
              <w:bottom w:val="nil"/>
              <w:right w:val="nil"/>
            </w:tcBorders>
            <w:shd w:val="clear" w:color="000000" w:fill="DCE6F1"/>
            <w:vAlign w:val="center"/>
            <w:hideMark/>
          </w:tcPr>
          <w:p w14:paraId="18C635D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D.61</w:t>
            </w:r>
          </w:p>
        </w:tc>
        <w:tc>
          <w:tcPr>
            <w:tcW w:w="1088" w:type="dxa"/>
            <w:tcBorders>
              <w:top w:val="nil"/>
              <w:left w:val="nil"/>
              <w:bottom w:val="nil"/>
              <w:right w:val="nil"/>
            </w:tcBorders>
            <w:shd w:val="clear" w:color="auto" w:fill="auto"/>
            <w:noWrap/>
            <w:vAlign w:val="center"/>
            <w:hideMark/>
          </w:tcPr>
          <w:p w14:paraId="070D4B1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4,3</w:t>
            </w:r>
          </w:p>
        </w:tc>
        <w:tc>
          <w:tcPr>
            <w:tcW w:w="800" w:type="dxa"/>
            <w:tcBorders>
              <w:top w:val="nil"/>
              <w:left w:val="nil"/>
              <w:bottom w:val="nil"/>
              <w:right w:val="nil"/>
            </w:tcBorders>
            <w:shd w:val="clear" w:color="auto" w:fill="auto"/>
            <w:noWrap/>
            <w:vAlign w:val="center"/>
            <w:hideMark/>
          </w:tcPr>
          <w:p w14:paraId="2407334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10,6</w:t>
            </w:r>
          </w:p>
        </w:tc>
        <w:tc>
          <w:tcPr>
            <w:tcW w:w="800" w:type="dxa"/>
            <w:tcBorders>
              <w:top w:val="nil"/>
              <w:left w:val="nil"/>
              <w:bottom w:val="nil"/>
              <w:right w:val="nil"/>
            </w:tcBorders>
            <w:shd w:val="clear" w:color="auto" w:fill="auto"/>
            <w:noWrap/>
            <w:vAlign w:val="center"/>
            <w:hideMark/>
          </w:tcPr>
          <w:p w14:paraId="43464CC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11,2</w:t>
            </w:r>
          </w:p>
        </w:tc>
        <w:tc>
          <w:tcPr>
            <w:tcW w:w="800" w:type="dxa"/>
            <w:tcBorders>
              <w:top w:val="nil"/>
              <w:left w:val="nil"/>
              <w:bottom w:val="nil"/>
              <w:right w:val="nil"/>
            </w:tcBorders>
            <w:shd w:val="clear" w:color="000000" w:fill="F2F2F2"/>
            <w:noWrap/>
            <w:vAlign w:val="center"/>
            <w:hideMark/>
          </w:tcPr>
          <w:p w14:paraId="7AFB89E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1EE5BA62"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6E2C113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2B9EA15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774374F6" w14:textId="77777777" w:rsidTr="000B10A3">
        <w:trPr>
          <w:trHeight w:val="720"/>
          <w:jc w:val="center"/>
        </w:trPr>
        <w:tc>
          <w:tcPr>
            <w:tcW w:w="540" w:type="dxa"/>
            <w:tcBorders>
              <w:top w:val="nil"/>
              <w:left w:val="nil"/>
              <w:bottom w:val="nil"/>
              <w:right w:val="nil"/>
            </w:tcBorders>
            <w:shd w:val="clear" w:color="000000" w:fill="BDD6EE"/>
            <w:noWrap/>
            <w:vAlign w:val="center"/>
            <w:hideMark/>
          </w:tcPr>
          <w:p w14:paraId="1C1830F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w:t>
            </w:r>
          </w:p>
        </w:tc>
        <w:tc>
          <w:tcPr>
            <w:tcW w:w="3478" w:type="dxa"/>
            <w:tcBorders>
              <w:top w:val="nil"/>
              <w:left w:val="nil"/>
              <w:bottom w:val="nil"/>
              <w:right w:val="nil"/>
            </w:tcBorders>
            <w:shd w:val="clear" w:color="000000" w:fill="DCE6F1"/>
            <w:vAlign w:val="center"/>
            <w:hideMark/>
          </w:tcPr>
          <w:p w14:paraId="671B96B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Citi kārtējie ieņēmumi</w:t>
            </w:r>
          </w:p>
        </w:tc>
        <w:tc>
          <w:tcPr>
            <w:tcW w:w="1227" w:type="dxa"/>
            <w:tcBorders>
              <w:top w:val="nil"/>
              <w:left w:val="nil"/>
              <w:bottom w:val="nil"/>
              <w:right w:val="nil"/>
            </w:tcBorders>
            <w:shd w:val="clear" w:color="000000" w:fill="DCE6F1"/>
            <w:vAlign w:val="center"/>
            <w:hideMark/>
          </w:tcPr>
          <w:p w14:paraId="28712D7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(P.11+P.12+P.13)</w:t>
            </w:r>
          </w:p>
        </w:tc>
        <w:tc>
          <w:tcPr>
            <w:tcW w:w="1088" w:type="dxa"/>
            <w:tcBorders>
              <w:top w:val="nil"/>
              <w:left w:val="nil"/>
              <w:bottom w:val="nil"/>
              <w:right w:val="nil"/>
            </w:tcBorders>
            <w:shd w:val="clear" w:color="auto" w:fill="auto"/>
            <w:noWrap/>
            <w:vAlign w:val="center"/>
            <w:hideMark/>
          </w:tcPr>
          <w:p w14:paraId="18EAF3C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2,3</w:t>
            </w:r>
          </w:p>
        </w:tc>
        <w:tc>
          <w:tcPr>
            <w:tcW w:w="800" w:type="dxa"/>
            <w:tcBorders>
              <w:top w:val="nil"/>
              <w:left w:val="nil"/>
              <w:bottom w:val="nil"/>
              <w:right w:val="nil"/>
            </w:tcBorders>
            <w:shd w:val="clear" w:color="auto" w:fill="auto"/>
            <w:noWrap/>
            <w:vAlign w:val="center"/>
            <w:hideMark/>
          </w:tcPr>
          <w:p w14:paraId="0897955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5,6</w:t>
            </w:r>
          </w:p>
        </w:tc>
        <w:tc>
          <w:tcPr>
            <w:tcW w:w="800" w:type="dxa"/>
            <w:tcBorders>
              <w:top w:val="nil"/>
              <w:left w:val="nil"/>
              <w:bottom w:val="nil"/>
              <w:right w:val="nil"/>
            </w:tcBorders>
            <w:shd w:val="clear" w:color="auto" w:fill="auto"/>
            <w:noWrap/>
            <w:vAlign w:val="center"/>
            <w:hideMark/>
          </w:tcPr>
          <w:p w14:paraId="3A49790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6,6</w:t>
            </w:r>
          </w:p>
        </w:tc>
        <w:tc>
          <w:tcPr>
            <w:tcW w:w="800" w:type="dxa"/>
            <w:tcBorders>
              <w:top w:val="nil"/>
              <w:left w:val="nil"/>
              <w:bottom w:val="nil"/>
              <w:right w:val="nil"/>
            </w:tcBorders>
            <w:shd w:val="clear" w:color="000000" w:fill="F2F2F2"/>
            <w:noWrap/>
            <w:vAlign w:val="center"/>
            <w:hideMark/>
          </w:tcPr>
          <w:p w14:paraId="2FB511D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507AD24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2E0DD5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5797D7E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4D21693C"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71EB07B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5</w:t>
            </w:r>
          </w:p>
        </w:tc>
        <w:tc>
          <w:tcPr>
            <w:tcW w:w="3478" w:type="dxa"/>
            <w:tcBorders>
              <w:top w:val="nil"/>
              <w:left w:val="nil"/>
              <w:bottom w:val="nil"/>
              <w:right w:val="nil"/>
            </w:tcBorders>
            <w:shd w:val="clear" w:color="000000" w:fill="DCE6F1"/>
            <w:vAlign w:val="center"/>
            <w:hideMark/>
          </w:tcPr>
          <w:p w14:paraId="6093C52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Kapitāla nodokļi</w:t>
            </w:r>
          </w:p>
        </w:tc>
        <w:tc>
          <w:tcPr>
            <w:tcW w:w="1227" w:type="dxa"/>
            <w:tcBorders>
              <w:top w:val="nil"/>
              <w:left w:val="nil"/>
              <w:bottom w:val="nil"/>
              <w:right w:val="nil"/>
            </w:tcBorders>
            <w:shd w:val="clear" w:color="000000" w:fill="DCE6F1"/>
            <w:vAlign w:val="center"/>
            <w:hideMark/>
          </w:tcPr>
          <w:p w14:paraId="20005D7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D.91</w:t>
            </w:r>
          </w:p>
        </w:tc>
        <w:tc>
          <w:tcPr>
            <w:tcW w:w="1088" w:type="dxa"/>
            <w:tcBorders>
              <w:top w:val="nil"/>
              <w:left w:val="nil"/>
              <w:bottom w:val="nil"/>
              <w:right w:val="nil"/>
            </w:tcBorders>
            <w:shd w:val="clear" w:color="auto" w:fill="auto"/>
            <w:noWrap/>
            <w:vAlign w:val="center"/>
            <w:hideMark/>
          </w:tcPr>
          <w:p w14:paraId="490F4DD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6B2A0B3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46FE371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000000" w:fill="F2F2F2"/>
            <w:noWrap/>
            <w:vAlign w:val="center"/>
            <w:hideMark/>
          </w:tcPr>
          <w:p w14:paraId="2193769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313982E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065ECD8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7DFF7B1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214F4A8C"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15CEFAD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6</w:t>
            </w:r>
          </w:p>
        </w:tc>
        <w:tc>
          <w:tcPr>
            <w:tcW w:w="3478" w:type="dxa"/>
            <w:tcBorders>
              <w:top w:val="nil"/>
              <w:left w:val="nil"/>
              <w:bottom w:val="nil"/>
              <w:right w:val="nil"/>
            </w:tcBorders>
            <w:shd w:val="clear" w:color="000000" w:fill="DCE6F1"/>
            <w:vAlign w:val="center"/>
            <w:hideMark/>
          </w:tcPr>
          <w:p w14:paraId="4079CDF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Citi kapitāla ieņēmumi</w:t>
            </w:r>
          </w:p>
        </w:tc>
        <w:tc>
          <w:tcPr>
            <w:tcW w:w="1227" w:type="dxa"/>
            <w:tcBorders>
              <w:top w:val="nil"/>
              <w:left w:val="nil"/>
              <w:bottom w:val="nil"/>
              <w:right w:val="nil"/>
            </w:tcBorders>
            <w:shd w:val="clear" w:color="000000" w:fill="DCE6F1"/>
            <w:vAlign w:val="center"/>
            <w:hideMark/>
          </w:tcPr>
          <w:p w14:paraId="1BE0527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D.92+D.99</w:t>
            </w:r>
          </w:p>
        </w:tc>
        <w:tc>
          <w:tcPr>
            <w:tcW w:w="1088" w:type="dxa"/>
            <w:tcBorders>
              <w:top w:val="nil"/>
              <w:left w:val="nil"/>
              <w:bottom w:val="nil"/>
              <w:right w:val="nil"/>
            </w:tcBorders>
            <w:shd w:val="clear" w:color="auto" w:fill="auto"/>
            <w:noWrap/>
            <w:vAlign w:val="center"/>
            <w:hideMark/>
          </w:tcPr>
          <w:p w14:paraId="07C8FDE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0,4</w:t>
            </w:r>
          </w:p>
        </w:tc>
        <w:tc>
          <w:tcPr>
            <w:tcW w:w="800" w:type="dxa"/>
            <w:tcBorders>
              <w:top w:val="nil"/>
              <w:left w:val="nil"/>
              <w:bottom w:val="nil"/>
              <w:right w:val="nil"/>
            </w:tcBorders>
            <w:shd w:val="clear" w:color="auto" w:fill="auto"/>
            <w:noWrap/>
            <w:vAlign w:val="center"/>
            <w:hideMark/>
          </w:tcPr>
          <w:p w14:paraId="44C1F3E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1,0</w:t>
            </w:r>
          </w:p>
        </w:tc>
        <w:tc>
          <w:tcPr>
            <w:tcW w:w="800" w:type="dxa"/>
            <w:tcBorders>
              <w:top w:val="nil"/>
              <w:left w:val="nil"/>
              <w:bottom w:val="nil"/>
              <w:right w:val="nil"/>
            </w:tcBorders>
            <w:shd w:val="clear" w:color="auto" w:fill="auto"/>
            <w:noWrap/>
            <w:vAlign w:val="center"/>
            <w:hideMark/>
          </w:tcPr>
          <w:p w14:paraId="5FB7462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c>
          <w:tcPr>
            <w:tcW w:w="800" w:type="dxa"/>
            <w:tcBorders>
              <w:top w:val="nil"/>
              <w:left w:val="nil"/>
              <w:bottom w:val="nil"/>
              <w:right w:val="nil"/>
            </w:tcBorders>
            <w:shd w:val="clear" w:color="000000" w:fill="F2F2F2"/>
            <w:noWrap/>
            <w:vAlign w:val="center"/>
            <w:hideMark/>
          </w:tcPr>
          <w:p w14:paraId="150B207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66E8FD9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356A3C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7DD64CD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60603EE1"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79EBA05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lastRenderedPageBreak/>
              <w:t>7</w:t>
            </w:r>
          </w:p>
        </w:tc>
        <w:tc>
          <w:tcPr>
            <w:tcW w:w="3478" w:type="dxa"/>
            <w:tcBorders>
              <w:top w:val="nil"/>
              <w:left w:val="nil"/>
              <w:bottom w:val="nil"/>
              <w:right w:val="nil"/>
            </w:tcBorders>
            <w:shd w:val="clear" w:color="000000" w:fill="DCE6F1"/>
            <w:vAlign w:val="center"/>
            <w:hideMark/>
          </w:tcPr>
          <w:p w14:paraId="5F74293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Kopējie ieņēmumi (=1+2+3+4+5+6)</w:t>
            </w:r>
          </w:p>
        </w:tc>
        <w:tc>
          <w:tcPr>
            <w:tcW w:w="1227" w:type="dxa"/>
            <w:tcBorders>
              <w:top w:val="nil"/>
              <w:left w:val="nil"/>
              <w:bottom w:val="nil"/>
              <w:right w:val="nil"/>
            </w:tcBorders>
            <w:shd w:val="clear" w:color="000000" w:fill="DCE6F1"/>
            <w:vAlign w:val="center"/>
            <w:hideMark/>
          </w:tcPr>
          <w:p w14:paraId="065EE30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TR</w:t>
            </w:r>
          </w:p>
        </w:tc>
        <w:tc>
          <w:tcPr>
            <w:tcW w:w="1088" w:type="dxa"/>
            <w:tcBorders>
              <w:top w:val="nil"/>
              <w:left w:val="nil"/>
              <w:bottom w:val="nil"/>
              <w:right w:val="nil"/>
            </w:tcBorders>
            <w:shd w:val="clear" w:color="auto" w:fill="auto"/>
            <w:noWrap/>
            <w:vAlign w:val="center"/>
            <w:hideMark/>
          </w:tcPr>
          <w:p w14:paraId="013748A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15,6</w:t>
            </w:r>
          </w:p>
        </w:tc>
        <w:tc>
          <w:tcPr>
            <w:tcW w:w="800" w:type="dxa"/>
            <w:tcBorders>
              <w:top w:val="nil"/>
              <w:left w:val="nil"/>
              <w:bottom w:val="nil"/>
              <w:right w:val="nil"/>
            </w:tcBorders>
            <w:shd w:val="clear" w:color="auto" w:fill="auto"/>
            <w:noWrap/>
            <w:vAlign w:val="center"/>
            <w:hideMark/>
          </w:tcPr>
          <w:p w14:paraId="40EBC7E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38,7</w:t>
            </w:r>
          </w:p>
        </w:tc>
        <w:tc>
          <w:tcPr>
            <w:tcW w:w="800" w:type="dxa"/>
            <w:tcBorders>
              <w:top w:val="nil"/>
              <w:left w:val="nil"/>
              <w:bottom w:val="nil"/>
              <w:right w:val="nil"/>
            </w:tcBorders>
            <w:shd w:val="clear" w:color="auto" w:fill="auto"/>
            <w:noWrap/>
            <w:vAlign w:val="center"/>
            <w:hideMark/>
          </w:tcPr>
          <w:p w14:paraId="305FAA9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42,1</w:t>
            </w:r>
          </w:p>
        </w:tc>
        <w:tc>
          <w:tcPr>
            <w:tcW w:w="800" w:type="dxa"/>
            <w:tcBorders>
              <w:top w:val="nil"/>
              <w:left w:val="nil"/>
              <w:bottom w:val="nil"/>
              <w:right w:val="nil"/>
            </w:tcBorders>
            <w:shd w:val="clear" w:color="000000" w:fill="F2F2F2"/>
            <w:noWrap/>
            <w:vAlign w:val="center"/>
            <w:hideMark/>
          </w:tcPr>
          <w:p w14:paraId="6120AD2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3D9FE83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3A9C7C8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2061BB6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6DA9A41E" w14:textId="77777777" w:rsidTr="000B10A3">
        <w:trPr>
          <w:trHeight w:val="720"/>
          <w:jc w:val="center"/>
        </w:trPr>
        <w:tc>
          <w:tcPr>
            <w:tcW w:w="540" w:type="dxa"/>
            <w:tcBorders>
              <w:top w:val="nil"/>
              <w:left w:val="nil"/>
              <w:bottom w:val="nil"/>
              <w:right w:val="nil"/>
            </w:tcBorders>
            <w:shd w:val="clear" w:color="000000" w:fill="BDD6EE"/>
            <w:noWrap/>
            <w:vAlign w:val="center"/>
            <w:hideMark/>
          </w:tcPr>
          <w:p w14:paraId="6759285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8</w:t>
            </w:r>
          </w:p>
        </w:tc>
        <w:tc>
          <w:tcPr>
            <w:tcW w:w="3478" w:type="dxa"/>
            <w:tcBorders>
              <w:top w:val="nil"/>
              <w:left w:val="nil"/>
              <w:bottom w:val="nil"/>
              <w:right w:val="nil"/>
            </w:tcBorders>
            <w:shd w:val="clear" w:color="000000" w:fill="DCE6F1"/>
            <w:vAlign w:val="center"/>
            <w:hideMark/>
          </w:tcPr>
          <w:p w14:paraId="626E3D7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No kuriem: ES pārvedumi (uzkrātie ieņēmumi, nevis nauda)</w:t>
            </w:r>
          </w:p>
        </w:tc>
        <w:tc>
          <w:tcPr>
            <w:tcW w:w="1227" w:type="dxa"/>
            <w:tcBorders>
              <w:top w:val="nil"/>
              <w:left w:val="nil"/>
              <w:bottom w:val="nil"/>
              <w:right w:val="nil"/>
            </w:tcBorders>
            <w:shd w:val="clear" w:color="000000" w:fill="DCE6F1"/>
            <w:vAlign w:val="center"/>
            <w:hideMark/>
          </w:tcPr>
          <w:p w14:paraId="3A38FB9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D.7EU+D.9EU</w:t>
            </w:r>
          </w:p>
        </w:tc>
        <w:tc>
          <w:tcPr>
            <w:tcW w:w="1088" w:type="dxa"/>
            <w:tcBorders>
              <w:top w:val="nil"/>
              <w:left w:val="nil"/>
              <w:bottom w:val="nil"/>
              <w:right w:val="nil"/>
            </w:tcBorders>
            <w:shd w:val="clear" w:color="auto" w:fill="auto"/>
            <w:noWrap/>
            <w:vAlign w:val="center"/>
            <w:hideMark/>
          </w:tcPr>
          <w:p w14:paraId="37187EE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0,6</w:t>
            </w:r>
          </w:p>
        </w:tc>
        <w:tc>
          <w:tcPr>
            <w:tcW w:w="800" w:type="dxa"/>
            <w:tcBorders>
              <w:top w:val="nil"/>
              <w:left w:val="nil"/>
              <w:bottom w:val="nil"/>
              <w:right w:val="nil"/>
            </w:tcBorders>
            <w:shd w:val="clear" w:color="auto" w:fill="auto"/>
            <w:noWrap/>
            <w:vAlign w:val="center"/>
            <w:hideMark/>
          </w:tcPr>
          <w:p w14:paraId="41C98D2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800" w:type="dxa"/>
            <w:tcBorders>
              <w:top w:val="nil"/>
              <w:left w:val="nil"/>
              <w:bottom w:val="nil"/>
              <w:right w:val="nil"/>
            </w:tcBorders>
            <w:shd w:val="clear" w:color="auto" w:fill="auto"/>
            <w:noWrap/>
            <w:vAlign w:val="center"/>
            <w:hideMark/>
          </w:tcPr>
          <w:p w14:paraId="6C3A041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1,9</w:t>
            </w:r>
          </w:p>
        </w:tc>
        <w:tc>
          <w:tcPr>
            <w:tcW w:w="800" w:type="dxa"/>
            <w:tcBorders>
              <w:top w:val="nil"/>
              <w:left w:val="nil"/>
              <w:bottom w:val="nil"/>
              <w:right w:val="nil"/>
            </w:tcBorders>
            <w:shd w:val="clear" w:color="000000" w:fill="F2F2F2"/>
            <w:noWrap/>
            <w:vAlign w:val="center"/>
            <w:hideMark/>
          </w:tcPr>
          <w:p w14:paraId="08BAB84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7E3D176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08B76B1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7F940C5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5BC5B906"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2009F65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9</w:t>
            </w:r>
          </w:p>
        </w:tc>
        <w:tc>
          <w:tcPr>
            <w:tcW w:w="3478" w:type="dxa"/>
            <w:tcBorders>
              <w:top w:val="nil"/>
              <w:left w:val="nil"/>
              <w:bottom w:val="nil"/>
              <w:right w:val="nil"/>
            </w:tcBorders>
            <w:shd w:val="clear" w:color="000000" w:fill="DCE6F1"/>
            <w:vAlign w:val="center"/>
            <w:hideMark/>
          </w:tcPr>
          <w:p w14:paraId="393BCFD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Kopējie ieņēmumi, kas nav ES pārvedumi (= 7-8)</w:t>
            </w:r>
          </w:p>
        </w:tc>
        <w:tc>
          <w:tcPr>
            <w:tcW w:w="1227" w:type="dxa"/>
            <w:tcBorders>
              <w:top w:val="nil"/>
              <w:left w:val="nil"/>
              <w:bottom w:val="nil"/>
              <w:right w:val="nil"/>
            </w:tcBorders>
            <w:shd w:val="clear" w:color="000000" w:fill="DCE6F1"/>
            <w:vAlign w:val="center"/>
            <w:hideMark/>
          </w:tcPr>
          <w:p w14:paraId="46A1C82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D9D9D9"/>
            <w:noWrap/>
            <w:vAlign w:val="center"/>
            <w:hideMark/>
          </w:tcPr>
          <w:p w14:paraId="4788072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15,0</w:t>
            </w:r>
          </w:p>
        </w:tc>
        <w:tc>
          <w:tcPr>
            <w:tcW w:w="800" w:type="dxa"/>
            <w:tcBorders>
              <w:top w:val="nil"/>
              <w:left w:val="nil"/>
              <w:bottom w:val="nil"/>
              <w:right w:val="nil"/>
            </w:tcBorders>
            <w:shd w:val="clear" w:color="000000" w:fill="D9D9D9"/>
            <w:noWrap/>
            <w:vAlign w:val="center"/>
            <w:hideMark/>
          </w:tcPr>
          <w:p w14:paraId="48869F6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37,2</w:t>
            </w:r>
          </w:p>
        </w:tc>
        <w:tc>
          <w:tcPr>
            <w:tcW w:w="800" w:type="dxa"/>
            <w:tcBorders>
              <w:top w:val="nil"/>
              <w:left w:val="nil"/>
              <w:bottom w:val="nil"/>
              <w:right w:val="nil"/>
            </w:tcBorders>
            <w:shd w:val="clear" w:color="000000" w:fill="D9D9D9"/>
            <w:noWrap/>
            <w:vAlign w:val="center"/>
            <w:hideMark/>
          </w:tcPr>
          <w:p w14:paraId="6F9F375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40,2</w:t>
            </w:r>
          </w:p>
        </w:tc>
        <w:tc>
          <w:tcPr>
            <w:tcW w:w="800" w:type="dxa"/>
            <w:tcBorders>
              <w:top w:val="nil"/>
              <w:left w:val="nil"/>
              <w:bottom w:val="nil"/>
              <w:right w:val="nil"/>
            </w:tcBorders>
            <w:shd w:val="clear" w:color="000000" w:fill="F2F2F2"/>
            <w:noWrap/>
            <w:vAlign w:val="center"/>
            <w:hideMark/>
          </w:tcPr>
          <w:p w14:paraId="4A1C0D6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313A225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E457214"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69361B6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2F3CA0A5" w14:textId="77777777" w:rsidTr="000B10A3">
        <w:trPr>
          <w:trHeight w:val="720"/>
          <w:jc w:val="center"/>
        </w:trPr>
        <w:tc>
          <w:tcPr>
            <w:tcW w:w="540" w:type="dxa"/>
            <w:tcBorders>
              <w:top w:val="nil"/>
              <w:left w:val="nil"/>
              <w:bottom w:val="nil"/>
              <w:right w:val="nil"/>
            </w:tcBorders>
            <w:shd w:val="clear" w:color="000000" w:fill="BDD6EE"/>
            <w:noWrap/>
            <w:vAlign w:val="center"/>
            <w:hideMark/>
          </w:tcPr>
          <w:p w14:paraId="4B57F20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10</w:t>
            </w:r>
          </w:p>
        </w:tc>
        <w:tc>
          <w:tcPr>
            <w:tcW w:w="3478" w:type="dxa"/>
            <w:tcBorders>
              <w:top w:val="nil"/>
              <w:left w:val="nil"/>
              <w:bottom w:val="nil"/>
              <w:right w:val="nil"/>
            </w:tcBorders>
            <w:shd w:val="clear" w:color="000000" w:fill="DCE6F1"/>
            <w:vAlign w:val="center"/>
            <w:hideMark/>
          </w:tcPr>
          <w:p w14:paraId="07EC97AA"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proofErr w:type="spellStart"/>
            <w:r w:rsidRPr="000B10A3">
              <w:rPr>
                <w:rFonts w:eastAsia="Times New Roman" w:cs="Times New Roman"/>
                <w:sz w:val="18"/>
                <w:szCs w:val="18"/>
                <w:lang w:eastAsia="lv-LV"/>
              </w:rPr>
              <w:t>p.m</w:t>
            </w:r>
            <w:proofErr w:type="spellEnd"/>
            <w:r w:rsidRPr="000B10A3">
              <w:rPr>
                <w:rFonts w:eastAsia="Times New Roman" w:cs="Times New Roman"/>
                <w:sz w:val="18"/>
                <w:szCs w:val="18"/>
                <w:lang w:eastAsia="lv-LV"/>
              </w:rPr>
              <w:t>. Ieņēmumu pasākumi (papildu ieņēmumi, izņemot ES finansētos pasākumus)</w:t>
            </w:r>
          </w:p>
        </w:tc>
        <w:tc>
          <w:tcPr>
            <w:tcW w:w="1227" w:type="dxa"/>
            <w:tcBorders>
              <w:top w:val="nil"/>
              <w:left w:val="nil"/>
              <w:bottom w:val="nil"/>
              <w:right w:val="nil"/>
            </w:tcBorders>
            <w:shd w:val="clear" w:color="000000" w:fill="DCE6F1"/>
            <w:vAlign w:val="center"/>
            <w:hideMark/>
          </w:tcPr>
          <w:p w14:paraId="1A83132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31836497" w14:textId="6C60260A"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w:t>
            </w:r>
            <w:r w:rsidRPr="00EC0DFB">
              <w:rPr>
                <w:rFonts w:eastAsia="Times New Roman" w:cs="Times New Roman"/>
                <w:color w:val="000000"/>
                <w:sz w:val="18"/>
                <w:szCs w:val="18"/>
                <w:lang w:eastAsia="lv-LV"/>
              </w:rPr>
              <w:t>0,</w:t>
            </w:r>
            <w:r w:rsidRPr="000B10A3">
              <w:rPr>
                <w:rFonts w:eastAsia="Times New Roman" w:cs="Times New Roman"/>
                <w:color w:val="000000"/>
                <w:sz w:val="18"/>
                <w:szCs w:val="18"/>
                <w:lang w:eastAsia="lv-LV"/>
              </w:rPr>
              <w:t>1</w:t>
            </w:r>
          </w:p>
        </w:tc>
        <w:tc>
          <w:tcPr>
            <w:tcW w:w="800" w:type="dxa"/>
            <w:tcBorders>
              <w:top w:val="nil"/>
              <w:left w:val="nil"/>
              <w:bottom w:val="nil"/>
              <w:right w:val="nil"/>
            </w:tcBorders>
            <w:shd w:val="clear" w:color="auto" w:fill="auto"/>
            <w:noWrap/>
            <w:vAlign w:val="center"/>
            <w:hideMark/>
          </w:tcPr>
          <w:p w14:paraId="18B6B40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-0,3</w:t>
            </w:r>
          </w:p>
        </w:tc>
        <w:tc>
          <w:tcPr>
            <w:tcW w:w="800" w:type="dxa"/>
            <w:tcBorders>
              <w:top w:val="nil"/>
              <w:left w:val="nil"/>
              <w:bottom w:val="nil"/>
              <w:right w:val="nil"/>
            </w:tcBorders>
            <w:shd w:val="clear" w:color="auto" w:fill="auto"/>
            <w:noWrap/>
            <w:vAlign w:val="center"/>
            <w:hideMark/>
          </w:tcPr>
          <w:p w14:paraId="3425026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0,8</w:t>
            </w:r>
          </w:p>
        </w:tc>
        <w:tc>
          <w:tcPr>
            <w:tcW w:w="800" w:type="dxa"/>
            <w:tcBorders>
              <w:top w:val="nil"/>
              <w:left w:val="nil"/>
              <w:bottom w:val="nil"/>
              <w:right w:val="nil"/>
            </w:tcBorders>
            <w:shd w:val="clear" w:color="000000" w:fill="F2F2F2"/>
            <w:noWrap/>
            <w:vAlign w:val="center"/>
            <w:hideMark/>
          </w:tcPr>
          <w:p w14:paraId="0AD8FF8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41D0CCE4"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02512CA9"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7F2AFD1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618B24A0" w14:textId="77777777" w:rsidTr="000B10A3">
        <w:trPr>
          <w:trHeight w:val="960"/>
          <w:jc w:val="center"/>
        </w:trPr>
        <w:tc>
          <w:tcPr>
            <w:tcW w:w="540" w:type="dxa"/>
            <w:tcBorders>
              <w:top w:val="nil"/>
              <w:left w:val="nil"/>
              <w:bottom w:val="nil"/>
              <w:right w:val="nil"/>
            </w:tcBorders>
            <w:shd w:val="clear" w:color="000000" w:fill="BDD6EE"/>
            <w:noWrap/>
            <w:vAlign w:val="center"/>
            <w:hideMark/>
          </w:tcPr>
          <w:p w14:paraId="43EBAE6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w:t>
            </w:r>
          </w:p>
        </w:tc>
        <w:tc>
          <w:tcPr>
            <w:tcW w:w="3478" w:type="dxa"/>
            <w:tcBorders>
              <w:top w:val="nil"/>
              <w:left w:val="nil"/>
              <w:bottom w:val="nil"/>
              <w:right w:val="nil"/>
            </w:tcBorders>
            <w:shd w:val="clear" w:color="000000" w:fill="DCE6F1"/>
            <w:vAlign w:val="center"/>
            <w:hideMark/>
          </w:tcPr>
          <w:p w14:paraId="438DDAA4"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proofErr w:type="spellStart"/>
            <w:r w:rsidRPr="000B10A3">
              <w:rPr>
                <w:rFonts w:eastAsia="Times New Roman" w:cs="Times New Roman"/>
                <w:sz w:val="18"/>
                <w:szCs w:val="18"/>
                <w:lang w:eastAsia="lv-LV"/>
              </w:rPr>
              <w:t>p.m</w:t>
            </w:r>
            <w:proofErr w:type="spellEnd"/>
            <w:r w:rsidRPr="000B10A3">
              <w:rPr>
                <w:rFonts w:eastAsia="Times New Roman" w:cs="Times New Roman"/>
                <w:sz w:val="18"/>
                <w:szCs w:val="18"/>
                <w:lang w:eastAsia="lv-LV"/>
              </w:rPr>
              <w:t>. Vienreizēji ieņēmumi, kas iekļauti prognozēs (līmenis, izņemot ES finansētos pasākumus)</w:t>
            </w:r>
          </w:p>
        </w:tc>
        <w:tc>
          <w:tcPr>
            <w:tcW w:w="1227" w:type="dxa"/>
            <w:tcBorders>
              <w:top w:val="nil"/>
              <w:left w:val="nil"/>
              <w:bottom w:val="nil"/>
              <w:right w:val="nil"/>
            </w:tcBorders>
            <w:shd w:val="clear" w:color="000000" w:fill="DCE6F1"/>
            <w:vAlign w:val="center"/>
            <w:hideMark/>
          </w:tcPr>
          <w:p w14:paraId="340994C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6E9D6FE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28DAFA6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73C573F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000000" w:fill="F2F2F2"/>
            <w:noWrap/>
            <w:vAlign w:val="center"/>
            <w:hideMark/>
          </w:tcPr>
          <w:p w14:paraId="78FEEB8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669E6C6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66B103C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2FEAE62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4B54B0AF"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3209078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3478" w:type="dxa"/>
            <w:tcBorders>
              <w:top w:val="nil"/>
              <w:left w:val="nil"/>
              <w:bottom w:val="nil"/>
              <w:right w:val="nil"/>
            </w:tcBorders>
            <w:shd w:val="clear" w:color="000000" w:fill="95B3D7"/>
            <w:vAlign w:val="center"/>
            <w:hideMark/>
          </w:tcPr>
          <w:p w14:paraId="1F71E9F5"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sz w:val="18"/>
                <w:szCs w:val="18"/>
                <w:lang w:eastAsia="lv-LV"/>
              </w:rPr>
              <w:t>Izdevumi</w:t>
            </w:r>
          </w:p>
        </w:tc>
        <w:tc>
          <w:tcPr>
            <w:tcW w:w="1227" w:type="dxa"/>
            <w:tcBorders>
              <w:top w:val="nil"/>
              <w:left w:val="nil"/>
              <w:bottom w:val="nil"/>
              <w:right w:val="nil"/>
            </w:tcBorders>
            <w:shd w:val="clear" w:color="000000" w:fill="95B3D7"/>
            <w:vAlign w:val="center"/>
            <w:hideMark/>
          </w:tcPr>
          <w:p w14:paraId="70292CC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95B3D7"/>
            <w:vAlign w:val="center"/>
            <w:hideMark/>
          </w:tcPr>
          <w:p w14:paraId="76A7A0C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VV mljrd.</w:t>
            </w:r>
          </w:p>
        </w:tc>
        <w:tc>
          <w:tcPr>
            <w:tcW w:w="800" w:type="dxa"/>
            <w:tcBorders>
              <w:top w:val="nil"/>
              <w:left w:val="nil"/>
              <w:bottom w:val="nil"/>
              <w:right w:val="nil"/>
            </w:tcBorders>
            <w:shd w:val="clear" w:color="000000" w:fill="95B3D7"/>
            <w:vAlign w:val="center"/>
            <w:hideMark/>
          </w:tcPr>
          <w:p w14:paraId="17D03EC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2B05003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79E6AA2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211A8864"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673" w:type="dxa"/>
            <w:tcBorders>
              <w:top w:val="nil"/>
              <w:left w:val="nil"/>
              <w:bottom w:val="nil"/>
              <w:right w:val="nil"/>
            </w:tcBorders>
            <w:shd w:val="clear" w:color="000000" w:fill="95B3D7"/>
            <w:vAlign w:val="center"/>
            <w:hideMark/>
          </w:tcPr>
          <w:p w14:paraId="11EF1F4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709" w:type="dxa"/>
            <w:tcBorders>
              <w:top w:val="nil"/>
              <w:left w:val="nil"/>
              <w:bottom w:val="nil"/>
              <w:right w:val="nil"/>
            </w:tcBorders>
            <w:shd w:val="clear" w:color="000000" w:fill="95B3D7"/>
            <w:vAlign w:val="center"/>
            <w:hideMark/>
          </w:tcPr>
          <w:p w14:paraId="1D907E94"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r>
      <w:tr w:rsidR="000B10A3" w:rsidRPr="000B10A3" w14:paraId="12D63F4A"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0B0AF6E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3478" w:type="dxa"/>
            <w:tcBorders>
              <w:top w:val="nil"/>
              <w:left w:val="nil"/>
              <w:bottom w:val="nil"/>
              <w:right w:val="nil"/>
            </w:tcBorders>
            <w:shd w:val="clear" w:color="000000" w:fill="DCE6F1"/>
            <w:vAlign w:val="center"/>
            <w:hideMark/>
          </w:tcPr>
          <w:p w14:paraId="3EAEC0C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Kompensācija darba ņēmējiem</w:t>
            </w:r>
          </w:p>
        </w:tc>
        <w:tc>
          <w:tcPr>
            <w:tcW w:w="1227" w:type="dxa"/>
            <w:tcBorders>
              <w:top w:val="nil"/>
              <w:left w:val="nil"/>
              <w:bottom w:val="nil"/>
              <w:right w:val="nil"/>
            </w:tcBorders>
            <w:shd w:val="clear" w:color="000000" w:fill="DCE6F1"/>
            <w:vAlign w:val="center"/>
            <w:hideMark/>
          </w:tcPr>
          <w:p w14:paraId="5126695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D.1</w:t>
            </w:r>
          </w:p>
        </w:tc>
        <w:tc>
          <w:tcPr>
            <w:tcW w:w="1088" w:type="dxa"/>
            <w:tcBorders>
              <w:top w:val="nil"/>
              <w:left w:val="nil"/>
              <w:bottom w:val="nil"/>
              <w:right w:val="nil"/>
            </w:tcBorders>
            <w:shd w:val="clear" w:color="auto" w:fill="auto"/>
            <w:noWrap/>
            <w:vAlign w:val="center"/>
            <w:hideMark/>
          </w:tcPr>
          <w:p w14:paraId="49A4CAC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4,7</w:t>
            </w:r>
          </w:p>
        </w:tc>
        <w:tc>
          <w:tcPr>
            <w:tcW w:w="800" w:type="dxa"/>
            <w:tcBorders>
              <w:top w:val="nil"/>
              <w:left w:val="nil"/>
              <w:bottom w:val="nil"/>
              <w:right w:val="nil"/>
            </w:tcBorders>
            <w:shd w:val="clear" w:color="auto" w:fill="auto"/>
            <w:noWrap/>
            <w:vAlign w:val="center"/>
            <w:hideMark/>
          </w:tcPr>
          <w:p w14:paraId="52053F9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11,6</w:t>
            </w:r>
          </w:p>
        </w:tc>
        <w:tc>
          <w:tcPr>
            <w:tcW w:w="800" w:type="dxa"/>
            <w:tcBorders>
              <w:top w:val="nil"/>
              <w:left w:val="nil"/>
              <w:bottom w:val="nil"/>
              <w:right w:val="nil"/>
            </w:tcBorders>
            <w:shd w:val="clear" w:color="auto" w:fill="auto"/>
            <w:noWrap/>
            <w:vAlign w:val="center"/>
            <w:hideMark/>
          </w:tcPr>
          <w:p w14:paraId="2E6650C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12,7</w:t>
            </w:r>
          </w:p>
        </w:tc>
        <w:tc>
          <w:tcPr>
            <w:tcW w:w="800" w:type="dxa"/>
            <w:tcBorders>
              <w:top w:val="nil"/>
              <w:left w:val="nil"/>
              <w:bottom w:val="nil"/>
              <w:right w:val="nil"/>
            </w:tcBorders>
            <w:shd w:val="clear" w:color="000000" w:fill="F2F2F2"/>
            <w:noWrap/>
            <w:vAlign w:val="center"/>
            <w:hideMark/>
          </w:tcPr>
          <w:p w14:paraId="263523C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5FAB5CF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4C1971DA"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07318C0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6AB8C27A"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4046C3B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3478" w:type="dxa"/>
            <w:tcBorders>
              <w:top w:val="nil"/>
              <w:left w:val="nil"/>
              <w:bottom w:val="nil"/>
              <w:right w:val="nil"/>
            </w:tcBorders>
            <w:shd w:val="clear" w:color="000000" w:fill="DCE6F1"/>
            <w:vAlign w:val="center"/>
            <w:hideMark/>
          </w:tcPr>
          <w:p w14:paraId="75CE0D8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Starppatēriņš</w:t>
            </w:r>
          </w:p>
        </w:tc>
        <w:tc>
          <w:tcPr>
            <w:tcW w:w="1227" w:type="dxa"/>
            <w:tcBorders>
              <w:top w:val="nil"/>
              <w:left w:val="nil"/>
              <w:bottom w:val="nil"/>
              <w:right w:val="nil"/>
            </w:tcBorders>
            <w:shd w:val="clear" w:color="000000" w:fill="DCE6F1"/>
            <w:vAlign w:val="center"/>
            <w:hideMark/>
          </w:tcPr>
          <w:p w14:paraId="7CEAD98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P.2</w:t>
            </w:r>
          </w:p>
        </w:tc>
        <w:tc>
          <w:tcPr>
            <w:tcW w:w="1088" w:type="dxa"/>
            <w:tcBorders>
              <w:top w:val="nil"/>
              <w:left w:val="nil"/>
              <w:bottom w:val="nil"/>
              <w:right w:val="nil"/>
            </w:tcBorders>
            <w:shd w:val="clear" w:color="auto" w:fill="auto"/>
            <w:noWrap/>
            <w:vAlign w:val="center"/>
            <w:hideMark/>
          </w:tcPr>
          <w:p w14:paraId="58A7DAE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2,6</w:t>
            </w:r>
          </w:p>
        </w:tc>
        <w:tc>
          <w:tcPr>
            <w:tcW w:w="800" w:type="dxa"/>
            <w:tcBorders>
              <w:top w:val="nil"/>
              <w:left w:val="nil"/>
              <w:bottom w:val="nil"/>
              <w:right w:val="nil"/>
            </w:tcBorders>
            <w:shd w:val="clear" w:color="auto" w:fill="auto"/>
            <w:noWrap/>
            <w:vAlign w:val="center"/>
            <w:hideMark/>
          </w:tcPr>
          <w:p w14:paraId="3A856EB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6,3</w:t>
            </w:r>
          </w:p>
        </w:tc>
        <w:tc>
          <w:tcPr>
            <w:tcW w:w="800" w:type="dxa"/>
            <w:tcBorders>
              <w:top w:val="nil"/>
              <w:left w:val="nil"/>
              <w:bottom w:val="nil"/>
              <w:right w:val="nil"/>
            </w:tcBorders>
            <w:shd w:val="clear" w:color="auto" w:fill="auto"/>
            <w:noWrap/>
            <w:vAlign w:val="center"/>
            <w:hideMark/>
          </w:tcPr>
          <w:p w14:paraId="2BF52F0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6,8</w:t>
            </w:r>
          </w:p>
        </w:tc>
        <w:tc>
          <w:tcPr>
            <w:tcW w:w="800" w:type="dxa"/>
            <w:tcBorders>
              <w:top w:val="nil"/>
              <w:left w:val="nil"/>
              <w:bottom w:val="nil"/>
              <w:right w:val="nil"/>
            </w:tcBorders>
            <w:shd w:val="clear" w:color="000000" w:fill="F2F2F2"/>
            <w:noWrap/>
            <w:vAlign w:val="center"/>
            <w:hideMark/>
          </w:tcPr>
          <w:p w14:paraId="781B1E5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43683C9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0EA055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7CDAA35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24136AAC"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4D09B0F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c>
          <w:tcPr>
            <w:tcW w:w="3478" w:type="dxa"/>
            <w:tcBorders>
              <w:top w:val="nil"/>
              <w:left w:val="nil"/>
              <w:bottom w:val="nil"/>
              <w:right w:val="nil"/>
            </w:tcBorders>
            <w:shd w:val="clear" w:color="000000" w:fill="DCE6F1"/>
            <w:vAlign w:val="center"/>
            <w:hideMark/>
          </w:tcPr>
          <w:p w14:paraId="07D7BE9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Procentu izdevumi</w:t>
            </w:r>
          </w:p>
        </w:tc>
        <w:tc>
          <w:tcPr>
            <w:tcW w:w="1227" w:type="dxa"/>
            <w:tcBorders>
              <w:top w:val="nil"/>
              <w:left w:val="nil"/>
              <w:bottom w:val="nil"/>
              <w:right w:val="nil"/>
            </w:tcBorders>
            <w:shd w:val="clear" w:color="000000" w:fill="DCE6F1"/>
            <w:vAlign w:val="center"/>
            <w:hideMark/>
          </w:tcPr>
          <w:p w14:paraId="7AB86BA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D.41</w:t>
            </w:r>
          </w:p>
        </w:tc>
        <w:tc>
          <w:tcPr>
            <w:tcW w:w="1088" w:type="dxa"/>
            <w:tcBorders>
              <w:top w:val="nil"/>
              <w:left w:val="nil"/>
              <w:bottom w:val="nil"/>
              <w:right w:val="nil"/>
            </w:tcBorders>
            <w:shd w:val="clear" w:color="auto" w:fill="auto"/>
            <w:noWrap/>
            <w:vAlign w:val="center"/>
            <w:hideMark/>
          </w:tcPr>
          <w:p w14:paraId="100768C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0,3</w:t>
            </w:r>
          </w:p>
        </w:tc>
        <w:tc>
          <w:tcPr>
            <w:tcW w:w="800" w:type="dxa"/>
            <w:tcBorders>
              <w:top w:val="nil"/>
              <w:left w:val="nil"/>
              <w:bottom w:val="nil"/>
              <w:right w:val="nil"/>
            </w:tcBorders>
            <w:shd w:val="clear" w:color="auto" w:fill="auto"/>
            <w:noWrap/>
            <w:vAlign w:val="center"/>
            <w:hideMark/>
          </w:tcPr>
          <w:p w14:paraId="074B2BE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0,6</w:t>
            </w:r>
          </w:p>
        </w:tc>
        <w:tc>
          <w:tcPr>
            <w:tcW w:w="800" w:type="dxa"/>
            <w:tcBorders>
              <w:top w:val="nil"/>
              <w:left w:val="nil"/>
              <w:bottom w:val="nil"/>
              <w:right w:val="nil"/>
            </w:tcBorders>
            <w:shd w:val="clear" w:color="auto" w:fill="auto"/>
            <w:noWrap/>
            <w:vAlign w:val="center"/>
            <w:hideMark/>
          </w:tcPr>
          <w:p w14:paraId="69E00AB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w:t>
            </w:r>
          </w:p>
        </w:tc>
        <w:tc>
          <w:tcPr>
            <w:tcW w:w="800" w:type="dxa"/>
            <w:tcBorders>
              <w:top w:val="nil"/>
              <w:left w:val="nil"/>
              <w:bottom w:val="nil"/>
              <w:right w:val="nil"/>
            </w:tcBorders>
            <w:shd w:val="clear" w:color="auto" w:fill="auto"/>
            <w:noWrap/>
            <w:vAlign w:val="center"/>
            <w:hideMark/>
          </w:tcPr>
          <w:p w14:paraId="530716F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800" w:type="dxa"/>
            <w:tcBorders>
              <w:top w:val="nil"/>
              <w:left w:val="nil"/>
              <w:bottom w:val="nil"/>
              <w:right w:val="nil"/>
            </w:tcBorders>
            <w:shd w:val="clear" w:color="auto" w:fill="auto"/>
            <w:noWrap/>
            <w:vAlign w:val="center"/>
            <w:hideMark/>
          </w:tcPr>
          <w:p w14:paraId="52090CC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673" w:type="dxa"/>
            <w:tcBorders>
              <w:top w:val="nil"/>
              <w:left w:val="nil"/>
              <w:bottom w:val="nil"/>
              <w:right w:val="nil"/>
            </w:tcBorders>
            <w:shd w:val="clear" w:color="auto" w:fill="auto"/>
            <w:noWrap/>
            <w:vAlign w:val="center"/>
            <w:hideMark/>
          </w:tcPr>
          <w:p w14:paraId="403CCCB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c>
          <w:tcPr>
            <w:tcW w:w="709" w:type="dxa"/>
            <w:tcBorders>
              <w:top w:val="nil"/>
              <w:left w:val="nil"/>
              <w:bottom w:val="nil"/>
              <w:right w:val="nil"/>
            </w:tcBorders>
            <w:shd w:val="clear" w:color="auto" w:fill="auto"/>
            <w:noWrap/>
            <w:vAlign w:val="center"/>
            <w:hideMark/>
          </w:tcPr>
          <w:p w14:paraId="77877EA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r>
      <w:tr w:rsidR="000B10A3" w:rsidRPr="000B10A3" w14:paraId="24AD487F"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17F0086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3478" w:type="dxa"/>
            <w:tcBorders>
              <w:top w:val="nil"/>
              <w:left w:val="nil"/>
              <w:bottom w:val="nil"/>
              <w:right w:val="nil"/>
            </w:tcBorders>
            <w:shd w:val="clear" w:color="000000" w:fill="DCE6F1"/>
            <w:vAlign w:val="center"/>
            <w:hideMark/>
          </w:tcPr>
          <w:p w14:paraId="6E7F0892"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Sociālie pabalsti, kas nav sociālie pārvedumi natūrā</w:t>
            </w:r>
          </w:p>
        </w:tc>
        <w:tc>
          <w:tcPr>
            <w:tcW w:w="1227" w:type="dxa"/>
            <w:tcBorders>
              <w:top w:val="nil"/>
              <w:left w:val="nil"/>
              <w:bottom w:val="nil"/>
              <w:right w:val="nil"/>
            </w:tcBorders>
            <w:shd w:val="clear" w:color="000000" w:fill="DCE6F1"/>
            <w:vAlign w:val="center"/>
            <w:hideMark/>
          </w:tcPr>
          <w:p w14:paraId="1A78A8E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D.62</w:t>
            </w:r>
          </w:p>
        </w:tc>
        <w:tc>
          <w:tcPr>
            <w:tcW w:w="1088" w:type="dxa"/>
            <w:tcBorders>
              <w:top w:val="nil"/>
              <w:left w:val="nil"/>
              <w:bottom w:val="nil"/>
              <w:right w:val="nil"/>
            </w:tcBorders>
            <w:shd w:val="clear" w:color="auto" w:fill="auto"/>
            <w:noWrap/>
            <w:vAlign w:val="center"/>
            <w:hideMark/>
          </w:tcPr>
          <w:p w14:paraId="21F3592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4,8</w:t>
            </w:r>
          </w:p>
        </w:tc>
        <w:tc>
          <w:tcPr>
            <w:tcW w:w="800" w:type="dxa"/>
            <w:tcBorders>
              <w:top w:val="nil"/>
              <w:left w:val="nil"/>
              <w:bottom w:val="nil"/>
              <w:right w:val="nil"/>
            </w:tcBorders>
            <w:shd w:val="clear" w:color="auto" w:fill="auto"/>
            <w:noWrap/>
            <w:vAlign w:val="center"/>
            <w:hideMark/>
          </w:tcPr>
          <w:p w14:paraId="0FAF83A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11,9</w:t>
            </w:r>
          </w:p>
        </w:tc>
        <w:tc>
          <w:tcPr>
            <w:tcW w:w="800" w:type="dxa"/>
            <w:tcBorders>
              <w:top w:val="nil"/>
              <w:left w:val="nil"/>
              <w:bottom w:val="nil"/>
              <w:right w:val="nil"/>
            </w:tcBorders>
            <w:shd w:val="clear" w:color="auto" w:fill="auto"/>
            <w:noWrap/>
            <w:vAlign w:val="center"/>
            <w:hideMark/>
          </w:tcPr>
          <w:p w14:paraId="5B5AAC1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12,9</w:t>
            </w:r>
          </w:p>
        </w:tc>
        <w:tc>
          <w:tcPr>
            <w:tcW w:w="800" w:type="dxa"/>
            <w:tcBorders>
              <w:top w:val="nil"/>
              <w:left w:val="nil"/>
              <w:bottom w:val="nil"/>
              <w:right w:val="nil"/>
            </w:tcBorders>
            <w:shd w:val="clear" w:color="000000" w:fill="F2F2F2"/>
            <w:noWrap/>
            <w:vAlign w:val="center"/>
            <w:hideMark/>
          </w:tcPr>
          <w:p w14:paraId="40896D1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732BBB3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6FB90F7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2993C30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180C3B78" w14:textId="77777777" w:rsidTr="000B10A3">
        <w:trPr>
          <w:trHeight w:val="765"/>
          <w:jc w:val="center"/>
        </w:trPr>
        <w:tc>
          <w:tcPr>
            <w:tcW w:w="540" w:type="dxa"/>
            <w:tcBorders>
              <w:top w:val="nil"/>
              <w:left w:val="nil"/>
              <w:bottom w:val="nil"/>
              <w:right w:val="nil"/>
            </w:tcBorders>
            <w:shd w:val="clear" w:color="000000" w:fill="BDD6EE"/>
            <w:noWrap/>
            <w:vAlign w:val="center"/>
            <w:hideMark/>
          </w:tcPr>
          <w:p w14:paraId="26C2F40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3478" w:type="dxa"/>
            <w:tcBorders>
              <w:top w:val="nil"/>
              <w:left w:val="nil"/>
              <w:bottom w:val="nil"/>
              <w:right w:val="nil"/>
            </w:tcBorders>
            <w:shd w:val="clear" w:color="000000" w:fill="DCE6F1"/>
            <w:vAlign w:val="center"/>
            <w:hideMark/>
          </w:tcPr>
          <w:p w14:paraId="2018536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Sociālie pārvedumi natūrā, kas piegādāti ar tirgus ražotāju palīdzību</w:t>
            </w:r>
          </w:p>
        </w:tc>
        <w:tc>
          <w:tcPr>
            <w:tcW w:w="1227" w:type="dxa"/>
            <w:tcBorders>
              <w:top w:val="nil"/>
              <w:left w:val="nil"/>
              <w:bottom w:val="nil"/>
              <w:right w:val="nil"/>
            </w:tcBorders>
            <w:shd w:val="clear" w:color="000000" w:fill="DCE6F1"/>
            <w:vAlign w:val="center"/>
            <w:hideMark/>
          </w:tcPr>
          <w:p w14:paraId="6043C232"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D632</w:t>
            </w:r>
          </w:p>
        </w:tc>
        <w:tc>
          <w:tcPr>
            <w:tcW w:w="1088" w:type="dxa"/>
            <w:tcBorders>
              <w:top w:val="nil"/>
              <w:left w:val="nil"/>
              <w:bottom w:val="nil"/>
              <w:right w:val="nil"/>
            </w:tcBorders>
            <w:shd w:val="clear" w:color="auto" w:fill="auto"/>
            <w:noWrap/>
            <w:vAlign w:val="center"/>
            <w:hideMark/>
          </w:tcPr>
          <w:p w14:paraId="227DF21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0,5</w:t>
            </w:r>
          </w:p>
        </w:tc>
        <w:tc>
          <w:tcPr>
            <w:tcW w:w="800" w:type="dxa"/>
            <w:tcBorders>
              <w:top w:val="nil"/>
              <w:left w:val="nil"/>
              <w:bottom w:val="nil"/>
              <w:right w:val="nil"/>
            </w:tcBorders>
            <w:shd w:val="clear" w:color="auto" w:fill="auto"/>
            <w:noWrap/>
            <w:vAlign w:val="center"/>
            <w:hideMark/>
          </w:tcPr>
          <w:p w14:paraId="54BC8AA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800" w:type="dxa"/>
            <w:tcBorders>
              <w:top w:val="nil"/>
              <w:left w:val="nil"/>
              <w:bottom w:val="nil"/>
              <w:right w:val="nil"/>
            </w:tcBorders>
            <w:shd w:val="clear" w:color="auto" w:fill="auto"/>
            <w:noWrap/>
            <w:vAlign w:val="center"/>
            <w:hideMark/>
          </w:tcPr>
          <w:p w14:paraId="602135D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800" w:type="dxa"/>
            <w:tcBorders>
              <w:top w:val="nil"/>
              <w:left w:val="nil"/>
              <w:bottom w:val="nil"/>
              <w:right w:val="nil"/>
            </w:tcBorders>
            <w:shd w:val="clear" w:color="000000" w:fill="F2F2F2"/>
            <w:noWrap/>
            <w:vAlign w:val="center"/>
            <w:hideMark/>
          </w:tcPr>
          <w:p w14:paraId="751C346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56133A7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3AB5F7F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71F67C5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26791AE5"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285230C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17</w:t>
            </w:r>
          </w:p>
        </w:tc>
        <w:tc>
          <w:tcPr>
            <w:tcW w:w="3478" w:type="dxa"/>
            <w:tcBorders>
              <w:top w:val="nil"/>
              <w:left w:val="nil"/>
              <w:bottom w:val="nil"/>
              <w:right w:val="nil"/>
            </w:tcBorders>
            <w:shd w:val="clear" w:color="000000" w:fill="DCE6F1"/>
            <w:vAlign w:val="center"/>
            <w:hideMark/>
          </w:tcPr>
          <w:p w14:paraId="742709E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Subsīdijas</w:t>
            </w:r>
          </w:p>
        </w:tc>
        <w:tc>
          <w:tcPr>
            <w:tcW w:w="1227" w:type="dxa"/>
            <w:tcBorders>
              <w:top w:val="nil"/>
              <w:left w:val="nil"/>
              <w:bottom w:val="nil"/>
              <w:right w:val="nil"/>
            </w:tcBorders>
            <w:shd w:val="clear" w:color="000000" w:fill="DCE6F1"/>
            <w:vAlign w:val="center"/>
            <w:hideMark/>
          </w:tcPr>
          <w:p w14:paraId="18B2DBA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D.3</w:t>
            </w:r>
          </w:p>
        </w:tc>
        <w:tc>
          <w:tcPr>
            <w:tcW w:w="1088" w:type="dxa"/>
            <w:tcBorders>
              <w:top w:val="nil"/>
              <w:left w:val="nil"/>
              <w:bottom w:val="nil"/>
              <w:right w:val="nil"/>
            </w:tcBorders>
            <w:shd w:val="clear" w:color="auto" w:fill="auto"/>
            <w:noWrap/>
            <w:vAlign w:val="center"/>
            <w:hideMark/>
          </w:tcPr>
          <w:p w14:paraId="20A234B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0,6</w:t>
            </w:r>
          </w:p>
        </w:tc>
        <w:tc>
          <w:tcPr>
            <w:tcW w:w="800" w:type="dxa"/>
            <w:tcBorders>
              <w:top w:val="nil"/>
              <w:left w:val="nil"/>
              <w:bottom w:val="nil"/>
              <w:right w:val="nil"/>
            </w:tcBorders>
            <w:shd w:val="clear" w:color="auto" w:fill="auto"/>
            <w:noWrap/>
            <w:vAlign w:val="center"/>
            <w:hideMark/>
          </w:tcPr>
          <w:p w14:paraId="09CD4B8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c>
          <w:tcPr>
            <w:tcW w:w="800" w:type="dxa"/>
            <w:tcBorders>
              <w:top w:val="nil"/>
              <w:left w:val="nil"/>
              <w:bottom w:val="nil"/>
              <w:right w:val="nil"/>
            </w:tcBorders>
            <w:shd w:val="clear" w:color="auto" w:fill="auto"/>
            <w:noWrap/>
            <w:vAlign w:val="center"/>
            <w:hideMark/>
          </w:tcPr>
          <w:p w14:paraId="23D6C42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0,8</w:t>
            </w:r>
          </w:p>
        </w:tc>
        <w:tc>
          <w:tcPr>
            <w:tcW w:w="800" w:type="dxa"/>
            <w:tcBorders>
              <w:top w:val="nil"/>
              <w:left w:val="nil"/>
              <w:bottom w:val="nil"/>
              <w:right w:val="nil"/>
            </w:tcBorders>
            <w:shd w:val="clear" w:color="000000" w:fill="F2F2F2"/>
            <w:noWrap/>
            <w:vAlign w:val="center"/>
            <w:hideMark/>
          </w:tcPr>
          <w:p w14:paraId="01308ED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3EE3E90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486F8A1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7A122DE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3994DD04"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0F097A6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18</w:t>
            </w:r>
          </w:p>
        </w:tc>
        <w:tc>
          <w:tcPr>
            <w:tcW w:w="3478" w:type="dxa"/>
            <w:tcBorders>
              <w:top w:val="nil"/>
              <w:left w:val="nil"/>
              <w:bottom w:val="nil"/>
              <w:right w:val="nil"/>
            </w:tcBorders>
            <w:shd w:val="clear" w:color="000000" w:fill="DCE6F1"/>
            <w:vAlign w:val="center"/>
            <w:hideMark/>
          </w:tcPr>
          <w:p w14:paraId="79AA095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Citi kārtējie izdevumi</w:t>
            </w:r>
          </w:p>
        </w:tc>
        <w:tc>
          <w:tcPr>
            <w:tcW w:w="1227" w:type="dxa"/>
            <w:tcBorders>
              <w:top w:val="nil"/>
              <w:left w:val="nil"/>
              <w:bottom w:val="nil"/>
              <w:right w:val="nil"/>
            </w:tcBorders>
            <w:shd w:val="clear" w:color="000000" w:fill="DCE6F1"/>
            <w:vAlign w:val="center"/>
            <w:hideMark/>
          </w:tcPr>
          <w:p w14:paraId="0B34A6A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D.29+(D.4-</w:t>
            </w:r>
          </w:p>
        </w:tc>
        <w:tc>
          <w:tcPr>
            <w:tcW w:w="1088" w:type="dxa"/>
            <w:tcBorders>
              <w:top w:val="nil"/>
              <w:left w:val="nil"/>
              <w:bottom w:val="nil"/>
              <w:right w:val="nil"/>
            </w:tcBorders>
            <w:shd w:val="clear" w:color="auto" w:fill="auto"/>
            <w:noWrap/>
            <w:vAlign w:val="center"/>
            <w:hideMark/>
          </w:tcPr>
          <w:p w14:paraId="7DEACF2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800" w:type="dxa"/>
            <w:tcBorders>
              <w:top w:val="nil"/>
              <w:left w:val="nil"/>
              <w:bottom w:val="nil"/>
              <w:right w:val="nil"/>
            </w:tcBorders>
            <w:shd w:val="clear" w:color="auto" w:fill="auto"/>
            <w:noWrap/>
            <w:vAlign w:val="center"/>
            <w:hideMark/>
          </w:tcPr>
          <w:p w14:paraId="3419EDA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3,0</w:t>
            </w:r>
          </w:p>
        </w:tc>
        <w:tc>
          <w:tcPr>
            <w:tcW w:w="800" w:type="dxa"/>
            <w:tcBorders>
              <w:top w:val="nil"/>
              <w:left w:val="nil"/>
              <w:bottom w:val="nil"/>
              <w:right w:val="nil"/>
            </w:tcBorders>
            <w:shd w:val="clear" w:color="auto" w:fill="auto"/>
            <w:noWrap/>
            <w:vAlign w:val="center"/>
            <w:hideMark/>
          </w:tcPr>
          <w:p w14:paraId="61BDE0A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3,8</w:t>
            </w:r>
          </w:p>
        </w:tc>
        <w:tc>
          <w:tcPr>
            <w:tcW w:w="800" w:type="dxa"/>
            <w:tcBorders>
              <w:top w:val="nil"/>
              <w:left w:val="nil"/>
              <w:bottom w:val="nil"/>
              <w:right w:val="nil"/>
            </w:tcBorders>
            <w:shd w:val="clear" w:color="000000" w:fill="F2F2F2"/>
            <w:noWrap/>
            <w:vAlign w:val="center"/>
            <w:hideMark/>
          </w:tcPr>
          <w:p w14:paraId="4C61269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46131FB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66B5732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5A102CD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195D6DD1"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1EEFC30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19</w:t>
            </w:r>
          </w:p>
        </w:tc>
        <w:tc>
          <w:tcPr>
            <w:tcW w:w="3478" w:type="dxa"/>
            <w:tcBorders>
              <w:top w:val="nil"/>
              <w:left w:val="nil"/>
              <w:bottom w:val="nil"/>
              <w:right w:val="nil"/>
            </w:tcBorders>
            <w:shd w:val="clear" w:color="000000" w:fill="DCE6F1"/>
            <w:vAlign w:val="center"/>
            <w:hideMark/>
          </w:tcPr>
          <w:p w14:paraId="6F1A0F4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Bruto pamatkapitāla veidošana</w:t>
            </w:r>
          </w:p>
        </w:tc>
        <w:tc>
          <w:tcPr>
            <w:tcW w:w="1227" w:type="dxa"/>
            <w:tcBorders>
              <w:top w:val="nil"/>
              <w:left w:val="nil"/>
              <w:bottom w:val="nil"/>
              <w:right w:val="nil"/>
            </w:tcBorders>
            <w:shd w:val="clear" w:color="000000" w:fill="DCE6F1"/>
            <w:vAlign w:val="center"/>
            <w:hideMark/>
          </w:tcPr>
          <w:p w14:paraId="55C8FCE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P.51</w:t>
            </w:r>
          </w:p>
        </w:tc>
        <w:tc>
          <w:tcPr>
            <w:tcW w:w="1088" w:type="dxa"/>
            <w:tcBorders>
              <w:top w:val="nil"/>
              <w:left w:val="nil"/>
              <w:bottom w:val="nil"/>
              <w:right w:val="nil"/>
            </w:tcBorders>
            <w:shd w:val="clear" w:color="auto" w:fill="auto"/>
            <w:noWrap/>
            <w:vAlign w:val="center"/>
            <w:hideMark/>
          </w:tcPr>
          <w:p w14:paraId="1A9BB36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1,7</w:t>
            </w:r>
          </w:p>
        </w:tc>
        <w:tc>
          <w:tcPr>
            <w:tcW w:w="800" w:type="dxa"/>
            <w:tcBorders>
              <w:top w:val="nil"/>
              <w:left w:val="nil"/>
              <w:bottom w:val="nil"/>
              <w:right w:val="nil"/>
            </w:tcBorders>
            <w:shd w:val="clear" w:color="auto" w:fill="auto"/>
            <w:noWrap/>
            <w:vAlign w:val="center"/>
            <w:hideMark/>
          </w:tcPr>
          <w:p w14:paraId="623DCC0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4,2</w:t>
            </w:r>
          </w:p>
        </w:tc>
        <w:tc>
          <w:tcPr>
            <w:tcW w:w="800" w:type="dxa"/>
            <w:tcBorders>
              <w:top w:val="nil"/>
              <w:left w:val="nil"/>
              <w:bottom w:val="nil"/>
              <w:right w:val="nil"/>
            </w:tcBorders>
            <w:shd w:val="clear" w:color="auto" w:fill="auto"/>
            <w:noWrap/>
            <w:vAlign w:val="center"/>
            <w:hideMark/>
          </w:tcPr>
          <w:p w14:paraId="77C849E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5,1</w:t>
            </w:r>
          </w:p>
        </w:tc>
        <w:tc>
          <w:tcPr>
            <w:tcW w:w="800" w:type="dxa"/>
            <w:tcBorders>
              <w:top w:val="nil"/>
              <w:left w:val="nil"/>
              <w:bottom w:val="nil"/>
              <w:right w:val="nil"/>
            </w:tcBorders>
            <w:shd w:val="clear" w:color="000000" w:fill="F2F2F2"/>
            <w:noWrap/>
            <w:vAlign w:val="center"/>
            <w:hideMark/>
          </w:tcPr>
          <w:p w14:paraId="59C839A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7159670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0DD1844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39CD706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7FDAE93F"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304ABB5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20</w:t>
            </w:r>
          </w:p>
        </w:tc>
        <w:tc>
          <w:tcPr>
            <w:tcW w:w="3478" w:type="dxa"/>
            <w:tcBorders>
              <w:top w:val="nil"/>
              <w:left w:val="nil"/>
              <w:bottom w:val="nil"/>
              <w:right w:val="nil"/>
            </w:tcBorders>
            <w:shd w:val="clear" w:color="000000" w:fill="DCE6F1"/>
            <w:vAlign w:val="center"/>
            <w:hideMark/>
          </w:tcPr>
          <w:p w14:paraId="3E01352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No kuriem: valsts finansētās publiskās investīcijas</w:t>
            </w:r>
          </w:p>
        </w:tc>
        <w:tc>
          <w:tcPr>
            <w:tcW w:w="1227" w:type="dxa"/>
            <w:tcBorders>
              <w:top w:val="nil"/>
              <w:left w:val="nil"/>
              <w:bottom w:val="nil"/>
              <w:right w:val="nil"/>
            </w:tcBorders>
            <w:shd w:val="clear" w:color="000000" w:fill="DCE6F1"/>
            <w:vAlign w:val="center"/>
            <w:hideMark/>
          </w:tcPr>
          <w:p w14:paraId="4F61A08A"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6F58B9E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800" w:type="dxa"/>
            <w:tcBorders>
              <w:top w:val="nil"/>
              <w:left w:val="nil"/>
              <w:bottom w:val="nil"/>
              <w:right w:val="nil"/>
            </w:tcBorders>
            <w:shd w:val="clear" w:color="auto" w:fill="auto"/>
            <w:noWrap/>
            <w:vAlign w:val="center"/>
            <w:hideMark/>
          </w:tcPr>
          <w:p w14:paraId="39DFCE3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3,3</w:t>
            </w:r>
          </w:p>
        </w:tc>
        <w:tc>
          <w:tcPr>
            <w:tcW w:w="800" w:type="dxa"/>
            <w:tcBorders>
              <w:top w:val="nil"/>
              <w:left w:val="nil"/>
              <w:bottom w:val="nil"/>
              <w:right w:val="nil"/>
            </w:tcBorders>
            <w:shd w:val="clear" w:color="auto" w:fill="auto"/>
            <w:noWrap/>
            <w:vAlign w:val="center"/>
            <w:hideMark/>
          </w:tcPr>
          <w:p w14:paraId="59F7205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3,9</w:t>
            </w:r>
          </w:p>
        </w:tc>
        <w:tc>
          <w:tcPr>
            <w:tcW w:w="800" w:type="dxa"/>
            <w:tcBorders>
              <w:top w:val="nil"/>
              <w:left w:val="nil"/>
              <w:bottom w:val="nil"/>
              <w:right w:val="nil"/>
            </w:tcBorders>
            <w:shd w:val="clear" w:color="auto" w:fill="auto"/>
            <w:noWrap/>
            <w:vAlign w:val="center"/>
            <w:hideMark/>
          </w:tcPr>
          <w:p w14:paraId="789FCBC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4,0</w:t>
            </w:r>
          </w:p>
        </w:tc>
        <w:tc>
          <w:tcPr>
            <w:tcW w:w="800" w:type="dxa"/>
            <w:tcBorders>
              <w:top w:val="nil"/>
              <w:left w:val="nil"/>
              <w:bottom w:val="nil"/>
              <w:right w:val="nil"/>
            </w:tcBorders>
            <w:shd w:val="clear" w:color="auto" w:fill="auto"/>
            <w:noWrap/>
            <w:vAlign w:val="center"/>
            <w:hideMark/>
          </w:tcPr>
          <w:p w14:paraId="255A1B1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4,5</w:t>
            </w:r>
          </w:p>
        </w:tc>
        <w:tc>
          <w:tcPr>
            <w:tcW w:w="673" w:type="dxa"/>
            <w:tcBorders>
              <w:top w:val="nil"/>
              <w:left w:val="nil"/>
              <w:bottom w:val="nil"/>
              <w:right w:val="nil"/>
            </w:tcBorders>
            <w:shd w:val="clear" w:color="auto" w:fill="auto"/>
            <w:noWrap/>
            <w:vAlign w:val="center"/>
            <w:hideMark/>
          </w:tcPr>
          <w:p w14:paraId="0CCD197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4,4</w:t>
            </w:r>
          </w:p>
        </w:tc>
        <w:tc>
          <w:tcPr>
            <w:tcW w:w="709" w:type="dxa"/>
            <w:tcBorders>
              <w:top w:val="nil"/>
              <w:left w:val="nil"/>
              <w:bottom w:val="nil"/>
              <w:right w:val="nil"/>
            </w:tcBorders>
            <w:shd w:val="clear" w:color="auto" w:fill="auto"/>
            <w:noWrap/>
            <w:vAlign w:val="center"/>
            <w:hideMark/>
          </w:tcPr>
          <w:p w14:paraId="3355DBB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4,3</w:t>
            </w:r>
          </w:p>
        </w:tc>
      </w:tr>
      <w:tr w:rsidR="000B10A3" w:rsidRPr="000B10A3" w14:paraId="0E7973F8"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0C331A1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21</w:t>
            </w:r>
          </w:p>
        </w:tc>
        <w:tc>
          <w:tcPr>
            <w:tcW w:w="3478" w:type="dxa"/>
            <w:tcBorders>
              <w:top w:val="nil"/>
              <w:left w:val="nil"/>
              <w:bottom w:val="nil"/>
              <w:right w:val="nil"/>
            </w:tcBorders>
            <w:shd w:val="clear" w:color="000000" w:fill="DCE6F1"/>
            <w:vAlign w:val="center"/>
            <w:hideMark/>
          </w:tcPr>
          <w:p w14:paraId="1F7B9B2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Kapitāla pārvedumi</w:t>
            </w:r>
          </w:p>
        </w:tc>
        <w:tc>
          <w:tcPr>
            <w:tcW w:w="1227" w:type="dxa"/>
            <w:tcBorders>
              <w:top w:val="nil"/>
              <w:left w:val="nil"/>
              <w:bottom w:val="nil"/>
              <w:right w:val="nil"/>
            </w:tcBorders>
            <w:shd w:val="clear" w:color="000000" w:fill="DCE6F1"/>
            <w:vAlign w:val="center"/>
            <w:hideMark/>
          </w:tcPr>
          <w:p w14:paraId="63FCCC2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D.9</w:t>
            </w:r>
          </w:p>
        </w:tc>
        <w:tc>
          <w:tcPr>
            <w:tcW w:w="1088" w:type="dxa"/>
            <w:tcBorders>
              <w:top w:val="nil"/>
              <w:left w:val="nil"/>
              <w:bottom w:val="nil"/>
              <w:right w:val="nil"/>
            </w:tcBorders>
            <w:shd w:val="clear" w:color="auto" w:fill="auto"/>
            <w:noWrap/>
            <w:vAlign w:val="center"/>
            <w:hideMark/>
          </w:tcPr>
          <w:p w14:paraId="74303CC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0,2</w:t>
            </w:r>
          </w:p>
        </w:tc>
        <w:tc>
          <w:tcPr>
            <w:tcW w:w="800" w:type="dxa"/>
            <w:tcBorders>
              <w:top w:val="nil"/>
              <w:left w:val="nil"/>
              <w:bottom w:val="nil"/>
              <w:right w:val="nil"/>
            </w:tcBorders>
            <w:shd w:val="clear" w:color="auto" w:fill="auto"/>
            <w:noWrap/>
            <w:vAlign w:val="center"/>
            <w:hideMark/>
          </w:tcPr>
          <w:p w14:paraId="79992F0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0,5</w:t>
            </w:r>
          </w:p>
        </w:tc>
        <w:tc>
          <w:tcPr>
            <w:tcW w:w="800" w:type="dxa"/>
            <w:tcBorders>
              <w:top w:val="nil"/>
              <w:left w:val="nil"/>
              <w:bottom w:val="nil"/>
              <w:right w:val="nil"/>
            </w:tcBorders>
            <w:shd w:val="clear" w:color="auto" w:fill="auto"/>
            <w:noWrap/>
            <w:vAlign w:val="center"/>
            <w:hideMark/>
          </w:tcPr>
          <w:p w14:paraId="04AE265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0,1</w:t>
            </w:r>
          </w:p>
        </w:tc>
        <w:tc>
          <w:tcPr>
            <w:tcW w:w="800" w:type="dxa"/>
            <w:tcBorders>
              <w:top w:val="nil"/>
              <w:left w:val="nil"/>
              <w:bottom w:val="nil"/>
              <w:right w:val="nil"/>
            </w:tcBorders>
            <w:shd w:val="clear" w:color="000000" w:fill="F2F2F2"/>
            <w:noWrap/>
            <w:vAlign w:val="center"/>
            <w:hideMark/>
          </w:tcPr>
          <w:p w14:paraId="2801A8C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62B3C31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25500E1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0B386B4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669371D5" w14:textId="77777777" w:rsidTr="000B10A3">
        <w:trPr>
          <w:trHeight w:val="720"/>
          <w:jc w:val="center"/>
        </w:trPr>
        <w:tc>
          <w:tcPr>
            <w:tcW w:w="540" w:type="dxa"/>
            <w:tcBorders>
              <w:top w:val="nil"/>
              <w:left w:val="nil"/>
              <w:bottom w:val="nil"/>
              <w:right w:val="nil"/>
            </w:tcBorders>
            <w:shd w:val="clear" w:color="000000" w:fill="BDD6EE"/>
            <w:noWrap/>
            <w:vAlign w:val="center"/>
            <w:hideMark/>
          </w:tcPr>
          <w:p w14:paraId="6462A26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22</w:t>
            </w:r>
          </w:p>
        </w:tc>
        <w:tc>
          <w:tcPr>
            <w:tcW w:w="3478" w:type="dxa"/>
            <w:tcBorders>
              <w:top w:val="nil"/>
              <w:left w:val="nil"/>
              <w:bottom w:val="nil"/>
              <w:right w:val="nil"/>
            </w:tcBorders>
            <w:shd w:val="clear" w:color="000000" w:fill="DCE6F1"/>
            <w:vAlign w:val="center"/>
            <w:hideMark/>
          </w:tcPr>
          <w:p w14:paraId="36FCEA7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Citi kapitāla izdevumi</w:t>
            </w:r>
          </w:p>
        </w:tc>
        <w:tc>
          <w:tcPr>
            <w:tcW w:w="1227" w:type="dxa"/>
            <w:tcBorders>
              <w:top w:val="nil"/>
              <w:left w:val="nil"/>
              <w:bottom w:val="nil"/>
              <w:right w:val="nil"/>
            </w:tcBorders>
            <w:shd w:val="clear" w:color="000000" w:fill="DCE6F1"/>
            <w:vAlign w:val="center"/>
            <w:hideMark/>
          </w:tcPr>
          <w:p w14:paraId="1FBB8EA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P.52+P.53+NP</w:t>
            </w:r>
          </w:p>
        </w:tc>
        <w:tc>
          <w:tcPr>
            <w:tcW w:w="1088" w:type="dxa"/>
            <w:tcBorders>
              <w:top w:val="nil"/>
              <w:left w:val="nil"/>
              <w:bottom w:val="nil"/>
              <w:right w:val="nil"/>
            </w:tcBorders>
            <w:shd w:val="clear" w:color="auto" w:fill="auto"/>
            <w:noWrap/>
            <w:vAlign w:val="center"/>
            <w:hideMark/>
          </w:tcPr>
          <w:p w14:paraId="795D6C9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101B023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772FF40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0,2</w:t>
            </w:r>
          </w:p>
        </w:tc>
        <w:tc>
          <w:tcPr>
            <w:tcW w:w="800" w:type="dxa"/>
            <w:tcBorders>
              <w:top w:val="nil"/>
              <w:left w:val="nil"/>
              <w:bottom w:val="nil"/>
              <w:right w:val="nil"/>
            </w:tcBorders>
            <w:shd w:val="clear" w:color="000000" w:fill="F2F2F2"/>
            <w:noWrap/>
            <w:vAlign w:val="center"/>
            <w:hideMark/>
          </w:tcPr>
          <w:p w14:paraId="05B1B5C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0D96F88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73C9CC4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1FADB8B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7952236D" w14:textId="77777777" w:rsidTr="000B10A3">
        <w:trPr>
          <w:trHeight w:val="765"/>
          <w:jc w:val="center"/>
        </w:trPr>
        <w:tc>
          <w:tcPr>
            <w:tcW w:w="540" w:type="dxa"/>
            <w:tcBorders>
              <w:top w:val="nil"/>
              <w:left w:val="nil"/>
              <w:bottom w:val="nil"/>
              <w:right w:val="nil"/>
            </w:tcBorders>
            <w:shd w:val="clear" w:color="000000" w:fill="BDD6EE"/>
            <w:noWrap/>
            <w:vAlign w:val="center"/>
            <w:hideMark/>
          </w:tcPr>
          <w:p w14:paraId="4182EB2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23</w:t>
            </w:r>
          </w:p>
        </w:tc>
        <w:tc>
          <w:tcPr>
            <w:tcW w:w="3478" w:type="dxa"/>
            <w:tcBorders>
              <w:top w:val="nil"/>
              <w:left w:val="nil"/>
              <w:bottom w:val="nil"/>
              <w:right w:val="nil"/>
            </w:tcBorders>
            <w:shd w:val="clear" w:color="000000" w:fill="DCE6F1"/>
            <w:vAlign w:val="center"/>
            <w:hideMark/>
          </w:tcPr>
          <w:p w14:paraId="5684B4F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Kopējie izdevumi (=12+13+14+15+16+17+18+19+21+22)</w:t>
            </w:r>
          </w:p>
        </w:tc>
        <w:tc>
          <w:tcPr>
            <w:tcW w:w="1227" w:type="dxa"/>
            <w:tcBorders>
              <w:top w:val="nil"/>
              <w:left w:val="nil"/>
              <w:bottom w:val="nil"/>
              <w:right w:val="nil"/>
            </w:tcBorders>
            <w:shd w:val="clear" w:color="000000" w:fill="DCE6F1"/>
            <w:vAlign w:val="center"/>
            <w:hideMark/>
          </w:tcPr>
          <w:p w14:paraId="3C1EB06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TE</w:t>
            </w:r>
          </w:p>
        </w:tc>
        <w:tc>
          <w:tcPr>
            <w:tcW w:w="1088" w:type="dxa"/>
            <w:tcBorders>
              <w:top w:val="nil"/>
              <w:left w:val="nil"/>
              <w:bottom w:val="nil"/>
              <w:right w:val="nil"/>
            </w:tcBorders>
            <w:shd w:val="clear" w:color="000000" w:fill="D9D9D9"/>
            <w:noWrap/>
            <w:vAlign w:val="center"/>
            <w:hideMark/>
          </w:tcPr>
          <w:p w14:paraId="00636A3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16,5</w:t>
            </w:r>
          </w:p>
        </w:tc>
        <w:tc>
          <w:tcPr>
            <w:tcW w:w="800" w:type="dxa"/>
            <w:tcBorders>
              <w:top w:val="nil"/>
              <w:left w:val="nil"/>
              <w:bottom w:val="nil"/>
              <w:right w:val="nil"/>
            </w:tcBorders>
            <w:shd w:val="clear" w:color="000000" w:fill="D9D9D9"/>
            <w:noWrap/>
            <w:vAlign w:val="center"/>
            <w:hideMark/>
          </w:tcPr>
          <w:p w14:paraId="00EE9C4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41,0</w:t>
            </w:r>
          </w:p>
        </w:tc>
        <w:tc>
          <w:tcPr>
            <w:tcW w:w="800" w:type="dxa"/>
            <w:tcBorders>
              <w:top w:val="nil"/>
              <w:left w:val="nil"/>
              <w:bottom w:val="nil"/>
              <w:right w:val="nil"/>
            </w:tcBorders>
            <w:shd w:val="clear" w:color="000000" w:fill="D9D9D9"/>
            <w:noWrap/>
            <w:vAlign w:val="center"/>
            <w:hideMark/>
          </w:tcPr>
          <w:p w14:paraId="5CEEBAB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44,7</w:t>
            </w:r>
          </w:p>
        </w:tc>
        <w:tc>
          <w:tcPr>
            <w:tcW w:w="800" w:type="dxa"/>
            <w:tcBorders>
              <w:top w:val="nil"/>
              <w:left w:val="nil"/>
              <w:bottom w:val="nil"/>
              <w:right w:val="nil"/>
            </w:tcBorders>
            <w:shd w:val="clear" w:color="000000" w:fill="F2F2F2"/>
            <w:noWrap/>
            <w:vAlign w:val="center"/>
            <w:hideMark/>
          </w:tcPr>
          <w:p w14:paraId="4D7D118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52160C1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32DA69A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001323D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734CFCFB" w14:textId="77777777" w:rsidTr="000B10A3">
        <w:trPr>
          <w:trHeight w:val="765"/>
          <w:jc w:val="center"/>
        </w:trPr>
        <w:tc>
          <w:tcPr>
            <w:tcW w:w="540" w:type="dxa"/>
            <w:tcBorders>
              <w:top w:val="nil"/>
              <w:left w:val="nil"/>
              <w:bottom w:val="nil"/>
              <w:right w:val="nil"/>
            </w:tcBorders>
            <w:shd w:val="clear" w:color="000000" w:fill="BDD6EE"/>
            <w:noWrap/>
            <w:vAlign w:val="center"/>
            <w:hideMark/>
          </w:tcPr>
          <w:p w14:paraId="5F25FB4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24</w:t>
            </w:r>
          </w:p>
        </w:tc>
        <w:tc>
          <w:tcPr>
            <w:tcW w:w="3478" w:type="dxa"/>
            <w:tcBorders>
              <w:top w:val="nil"/>
              <w:left w:val="nil"/>
              <w:bottom w:val="nil"/>
              <w:right w:val="nil"/>
            </w:tcBorders>
            <w:shd w:val="clear" w:color="000000" w:fill="DCE6F1"/>
            <w:vAlign w:val="center"/>
            <w:hideMark/>
          </w:tcPr>
          <w:p w14:paraId="4F25521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No kuriem: izdevumi, kas finansēti no ES pārvedumiem (=8)</w:t>
            </w:r>
          </w:p>
        </w:tc>
        <w:tc>
          <w:tcPr>
            <w:tcW w:w="1227" w:type="dxa"/>
            <w:tcBorders>
              <w:top w:val="nil"/>
              <w:left w:val="nil"/>
              <w:bottom w:val="nil"/>
              <w:right w:val="nil"/>
            </w:tcBorders>
            <w:shd w:val="clear" w:color="000000" w:fill="DCE6F1"/>
            <w:vAlign w:val="center"/>
            <w:hideMark/>
          </w:tcPr>
          <w:p w14:paraId="65CC30B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D.7EU+D.9EU</w:t>
            </w:r>
          </w:p>
        </w:tc>
        <w:tc>
          <w:tcPr>
            <w:tcW w:w="1088" w:type="dxa"/>
            <w:tcBorders>
              <w:top w:val="nil"/>
              <w:left w:val="nil"/>
              <w:bottom w:val="nil"/>
              <w:right w:val="nil"/>
            </w:tcBorders>
            <w:shd w:val="clear" w:color="auto" w:fill="auto"/>
            <w:noWrap/>
            <w:vAlign w:val="center"/>
            <w:hideMark/>
          </w:tcPr>
          <w:p w14:paraId="6577062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0,6</w:t>
            </w:r>
          </w:p>
        </w:tc>
        <w:tc>
          <w:tcPr>
            <w:tcW w:w="800" w:type="dxa"/>
            <w:tcBorders>
              <w:top w:val="nil"/>
              <w:left w:val="nil"/>
              <w:bottom w:val="nil"/>
              <w:right w:val="nil"/>
            </w:tcBorders>
            <w:shd w:val="clear" w:color="auto" w:fill="auto"/>
            <w:noWrap/>
            <w:vAlign w:val="center"/>
            <w:hideMark/>
          </w:tcPr>
          <w:p w14:paraId="2233B5D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800" w:type="dxa"/>
            <w:tcBorders>
              <w:top w:val="nil"/>
              <w:left w:val="nil"/>
              <w:bottom w:val="nil"/>
              <w:right w:val="nil"/>
            </w:tcBorders>
            <w:shd w:val="clear" w:color="auto" w:fill="auto"/>
            <w:noWrap/>
            <w:vAlign w:val="center"/>
            <w:hideMark/>
          </w:tcPr>
          <w:p w14:paraId="34D3273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1,9</w:t>
            </w:r>
          </w:p>
        </w:tc>
        <w:tc>
          <w:tcPr>
            <w:tcW w:w="800" w:type="dxa"/>
            <w:tcBorders>
              <w:top w:val="nil"/>
              <w:left w:val="nil"/>
              <w:bottom w:val="nil"/>
              <w:right w:val="nil"/>
            </w:tcBorders>
            <w:shd w:val="clear" w:color="000000" w:fill="F2F2F2"/>
            <w:noWrap/>
            <w:vAlign w:val="center"/>
            <w:hideMark/>
          </w:tcPr>
          <w:p w14:paraId="2394080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0103C97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0955599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2A5AAA8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188760A3"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6B921C0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25</w:t>
            </w:r>
          </w:p>
        </w:tc>
        <w:tc>
          <w:tcPr>
            <w:tcW w:w="3478" w:type="dxa"/>
            <w:tcBorders>
              <w:top w:val="nil"/>
              <w:left w:val="nil"/>
              <w:bottom w:val="nil"/>
              <w:right w:val="nil"/>
            </w:tcBorders>
            <w:shd w:val="clear" w:color="000000" w:fill="DCE6F1"/>
            <w:vAlign w:val="center"/>
            <w:hideMark/>
          </w:tcPr>
          <w:p w14:paraId="5F4973D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Valsts finansētie izdevumi (23-24)</w:t>
            </w:r>
          </w:p>
        </w:tc>
        <w:tc>
          <w:tcPr>
            <w:tcW w:w="1227" w:type="dxa"/>
            <w:tcBorders>
              <w:top w:val="nil"/>
              <w:left w:val="nil"/>
              <w:bottom w:val="nil"/>
              <w:right w:val="nil"/>
            </w:tcBorders>
            <w:shd w:val="clear" w:color="000000" w:fill="DCE6F1"/>
            <w:vAlign w:val="center"/>
            <w:hideMark/>
          </w:tcPr>
          <w:p w14:paraId="1FED9D0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D9D9D9"/>
            <w:noWrap/>
            <w:vAlign w:val="center"/>
            <w:hideMark/>
          </w:tcPr>
          <w:p w14:paraId="79ACF50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15,9</w:t>
            </w:r>
          </w:p>
        </w:tc>
        <w:tc>
          <w:tcPr>
            <w:tcW w:w="800" w:type="dxa"/>
            <w:tcBorders>
              <w:top w:val="nil"/>
              <w:left w:val="nil"/>
              <w:bottom w:val="nil"/>
              <w:right w:val="nil"/>
            </w:tcBorders>
            <w:shd w:val="clear" w:color="000000" w:fill="D9D9D9"/>
            <w:noWrap/>
            <w:vAlign w:val="center"/>
            <w:hideMark/>
          </w:tcPr>
          <w:p w14:paraId="7B41A45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39,5</w:t>
            </w:r>
          </w:p>
        </w:tc>
        <w:tc>
          <w:tcPr>
            <w:tcW w:w="800" w:type="dxa"/>
            <w:tcBorders>
              <w:top w:val="nil"/>
              <w:left w:val="nil"/>
              <w:bottom w:val="nil"/>
              <w:right w:val="nil"/>
            </w:tcBorders>
            <w:shd w:val="clear" w:color="000000" w:fill="D9D9D9"/>
            <w:noWrap/>
            <w:vAlign w:val="center"/>
            <w:hideMark/>
          </w:tcPr>
          <w:p w14:paraId="204AE63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42,8</w:t>
            </w:r>
          </w:p>
        </w:tc>
        <w:tc>
          <w:tcPr>
            <w:tcW w:w="800" w:type="dxa"/>
            <w:tcBorders>
              <w:top w:val="nil"/>
              <w:left w:val="nil"/>
              <w:bottom w:val="nil"/>
              <w:right w:val="nil"/>
            </w:tcBorders>
            <w:shd w:val="clear" w:color="000000" w:fill="F2F2F2"/>
            <w:noWrap/>
            <w:vAlign w:val="center"/>
            <w:hideMark/>
          </w:tcPr>
          <w:p w14:paraId="746DA30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2D13B9A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68C6166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12566C5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02A08EDB" w14:textId="77777777" w:rsidTr="000B10A3">
        <w:trPr>
          <w:trHeight w:val="765"/>
          <w:jc w:val="center"/>
        </w:trPr>
        <w:tc>
          <w:tcPr>
            <w:tcW w:w="540" w:type="dxa"/>
            <w:tcBorders>
              <w:top w:val="nil"/>
              <w:left w:val="nil"/>
              <w:bottom w:val="nil"/>
              <w:right w:val="nil"/>
            </w:tcBorders>
            <w:shd w:val="clear" w:color="000000" w:fill="BDD6EE"/>
            <w:noWrap/>
            <w:vAlign w:val="center"/>
            <w:hideMark/>
          </w:tcPr>
          <w:p w14:paraId="1C92F99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26</w:t>
            </w:r>
          </w:p>
        </w:tc>
        <w:tc>
          <w:tcPr>
            <w:tcW w:w="3478" w:type="dxa"/>
            <w:tcBorders>
              <w:top w:val="nil"/>
              <w:left w:val="nil"/>
              <w:bottom w:val="nil"/>
              <w:right w:val="nil"/>
            </w:tcBorders>
            <w:shd w:val="clear" w:color="000000" w:fill="DCE6F1"/>
            <w:vAlign w:val="center"/>
            <w:hideMark/>
          </w:tcPr>
          <w:p w14:paraId="4D7D4442"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proofErr w:type="spellStart"/>
            <w:r w:rsidRPr="000B10A3">
              <w:rPr>
                <w:rFonts w:eastAsia="Times New Roman" w:cs="Times New Roman"/>
                <w:sz w:val="18"/>
                <w:szCs w:val="18"/>
                <w:lang w:eastAsia="lv-LV"/>
              </w:rPr>
              <w:t>p.m</w:t>
            </w:r>
            <w:proofErr w:type="spellEnd"/>
            <w:r w:rsidRPr="000B10A3">
              <w:rPr>
                <w:rFonts w:eastAsia="Times New Roman" w:cs="Times New Roman"/>
                <w:sz w:val="18"/>
                <w:szCs w:val="18"/>
                <w:lang w:eastAsia="lv-LV"/>
              </w:rPr>
              <w:t>. Valsts līdzfinansējums Savienības finansētajām programmām</w:t>
            </w:r>
          </w:p>
        </w:tc>
        <w:tc>
          <w:tcPr>
            <w:tcW w:w="1227" w:type="dxa"/>
            <w:tcBorders>
              <w:top w:val="nil"/>
              <w:left w:val="nil"/>
              <w:bottom w:val="nil"/>
              <w:right w:val="nil"/>
            </w:tcBorders>
            <w:shd w:val="clear" w:color="000000" w:fill="DCE6F1"/>
            <w:vAlign w:val="center"/>
            <w:hideMark/>
          </w:tcPr>
          <w:p w14:paraId="59B0793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6227C3C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0,2</w:t>
            </w:r>
          </w:p>
        </w:tc>
        <w:tc>
          <w:tcPr>
            <w:tcW w:w="800" w:type="dxa"/>
            <w:tcBorders>
              <w:top w:val="nil"/>
              <w:left w:val="nil"/>
              <w:bottom w:val="nil"/>
              <w:right w:val="nil"/>
            </w:tcBorders>
            <w:shd w:val="clear" w:color="auto" w:fill="auto"/>
            <w:noWrap/>
            <w:vAlign w:val="center"/>
            <w:hideMark/>
          </w:tcPr>
          <w:p w14:paraId="2A8F2A2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0,4</w:t>
            </w:r>
          </w:p>
        </w:tc>
        <w:tc>
          <w:tcPr>
            <w:tcW w:w="800" w:type="dxa"/>
            <w:tcBorders>
              <w:top w:val="nil"/>
              <w:left w:val="nil"/>
              <w:bottom w:val="nil"/>
              <w:right w:val="nil"/>
            </w:tcBorders>
            <w:shd w:val="clear" w:color="auto" w:fill="auto"/>
            <w:noWrap/>
            <w:vAlign w:val="center"/>
            <w:hideMark/>
          </w:tcPr>
          <w:p w14:paraId="5150C0C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0,4</w:t>
            </w:r>
          </w:p>
        </w:tc>
        <w:tc>
          <w:tcPr>
            <w:tcW w:w="800" w:type="dxa"/>
            <w:tcBorders>
              <w:top w:val="nil"/>
              <w:left w:val="nil"/>
              <w:bottom w:val="nil"/>
              <w:right w:val="nil"/>
            </w:tcBorders>
            <w:shd w:val="clear" w:color="000000" w:fill="F2F2F2"/>
            <w:noWrap/>
            <w:vAlign w:val="center"/>
            <w:hideMark/>
          </w:tcPr>
          <w:p w14:paraId="21FF9AD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65E4AF3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12344F3"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1118E1F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77034C14"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649512C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27</w:t>
            </w:r>
          </w:p>
        </w:tc>
        <w:tc>
          <w:tcPr>
            <w:tcW w:w="3478" w:type="dxa"/>
            <w:tcBorders>
              <w:top w:val="nil"/>
              <w:left w:val="nil"/>
              <w:bottom w:val="nil"/>
              <w:right w:val="nil"/>
            </w:tcBorders>
            <w:shd w:val="clear" w:color="000000" w:fill="DCE6F1"/>
            <w:vAlign w:val="center"/>
            <w:hideMark/>
          </w:tcPr>
          <w:p w14:paraId="45FEC82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proofErr w:type="spellStart"/>
            <w:r w:rsidRPr="000B10A3">
              <w:rPr>
                <w:rFonts w:eastAsia="Times New Roman" w:cs="Times New Roman"/>
                <w:sz w:val="18"/>
                <w:szCs w:val="18"/>
                <w:lang w:eastAsia="lv-LV"/>
              </w:rPr>
              <w:t>p.m</w:t>
            </w:r>
            <w:proofErr w:type="spellEnd"/>
            <w:r w:rsidRPr="000B10A3">
              <w:rPr>
                <w:rFonts w:eastAsia="Times New Roman" w:cs="Times New Roman"/>
                <w:sz w:val="18"/>
                <w:szCs w:val="18"/>
                <w:lang w:eastAsia="lv-LV"/>
              </w:rPr>
              <w:t>. Bezdarbnieka pabalstu cikliskais komponents</w:t>
            </w:r>
          </w:p>
        </w:tc>
        <w:tc>
          <w:tcPr>
            <w:tcW w:w="1227" w:type="dxa"/>
            <w:tcBorders>
              <w:top w:val="nil"/>
              <w:left w:val="nil"/>
              <w:bottom w:val="nil"/>
              <w:right w:val="nil"/>
            </w:tcBorders>
            <w:shd w:val="clear" w:color="000000" w:fill="DCE6F1"/>
            <w:vAlign w:val="center"/>
            <w:hideMark/>
          </w:tcPr>
          <w:p w14:paraId="5A5202F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1748CCC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5EE471E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7CF206E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000000" w:fill="F2F2F2"/>
            <w:noWrap/>
            <w:vAlign w:val="center"/>
            <w:hideMark/>
          </w:tcPr>
          <w:p w14:paraId="6BFEB16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24E91B0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DBECE8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3C0716D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09B3C466" w14:textId="77777777" w:rsidTr="000B10A3">
        <w:trPr>
          <w:trHeight w:val="1020"/>
          <w:jc w:val="center"/>
        </w:trPr>
        <w:tc>
          <w:tcPr>
            <w:tcW w:w="540" w:type="dxa"/>
            <w:tcBorders>
              <w:top w:val="nil"/>
              <w:left w:val="nil"/>
              <w:bottom w:val="nil"/>
              <w:right w:val="nil"/>
            </w:tcBorders>
            <w:shd w:val="clear" w:color="000000" w:fill="BDD6EE"/>
            <w:noWrap/>
            <w:vAlign w:val="center"/>
            <w:hideMark/>
          </w:tcPr>
          <w:p w14:paraId="548A9AA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28</w:t>
            </w:r>
          </w:p>
        </w:tc>
        <w:tc>
          <w:tcPr>
            <w:tcW w:w="3478" w:type="dxa"/>
            <w:tcBorders>
              <w:top w:val="nil"/>
              <w:left w:val="nil"/>
              <w:bottom w:val="nil"/>
              <w:right w:val="nil"/>
            </w:tcBorders>
            <w:shd w:val="clear" w:color="000000" w:fill="DCE6F1"/>
            <w:vAlign w:val="center"/>
            <w:hideMark/>
          </w:tcPr>
          <w:p w14:paraId="645B7DB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proofErr w:type="spellStart"/>
            <w:r w:rsidRPr="000B10A3">
              <w:rPr>
                <w:rFonts w:eastAsia="Times New Roman" w:cs="Times New Roman"/>
                <w:sz w:val="18"/>
                <w:szCs w:val="18"/>
                <w:lang w:eastAsia="lv-LV"/>
              </w:rPr>
              <w:t>p.m</w:t>
            </w:r>
            <w:proofErr w:type="spellEnd"/>
            <w:r w:rsidRPr="000B10A3">
              <w:rPr>
                <w:rFonts w:eastAsia="Times New Roman" w:cs="Times New Roman"/>
                <w:sz w:val="18"/>
                <w:szCs w:val="18"/>
                <w:lang w:eastAsia="lv-LV"/>
              </w:rPr>
              <w:t>. Vienreizēji izdevumi kas iekļauti prognozēs (līmenis, izņemot ES finansētos pasākumus)</w:t>
            </w:r>
          </w:p>
        </w:tc>
        <w:tc>
          <w:tcPr>
            <w:tcW w:w="1227" w:type="dxa"/>
            <w:tcBorders>
              <w:top w:val="nil"/>
              <w:left w:val="nil"/>
              <w:bottom w:val="nil"/>
              <w:right w:val="nil"/>
            </w:tcBorders>
            <w:shd w:val="clear" w:color="000000" w:fill="DCE6F1"/>
            <w:vAlign w:val="center"/>
            <w:hideMark/>
          </w:tcPr>
          <w:p w14:paraId="24F1A94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65F892B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0C21429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auto" w:fill="auto"/>
            <w:noWrap/>
            <w:vAlign w:val="center"/>
            <w:hideMark/>
          </w:tcPr>
          <w:p w14:paraId="7305232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800" w:type="dxa"/>
            <w:tcBorders>
              <w:top w:val="nil"/>
              <w:left w:val="nil"/>
              <w:bottom w:val="nil"/>
              <w:right w:val="nil"/>
            </w:tcBorders>
            <w:shd w:val="clear" w:color="000000" w:fill="F2F2F2"/>
            <w:noWrap/>
            <w:vAlign w:val="center"/>
            <w:hideMark/>
          </w:tcPr>
          <w:p w14:paraId="2721754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499C883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523AAD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145E88D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10DA8CC3" w14:textId="77777777" w:rsidTr="000B10A3">
        <w:trPr>
          <w:trHeight w:val="1020"/>
          <w:jc w:val="center"/>
        </w:trPr>
        <w:tc>
          <w:tcPr>
            <w:tcW w:w="540" w:type="dxa"/>
            <w:tcBorders>
              <w:top w:val="nil"/>
              <w:left w:val="nil"/>
              <w:bottom w:val="nil"/>
              <w:right w:val="nil"/>
            </w:tcBorders>
            <w:shd w:val="clear" w:color="000000" w:fill="BDD6EE"/>
            <w:noWrap/>
            <w:vAlign w:val="center"/>
            <w:hideMark/>
          </w:tcPr>
          <w:p w14:paraId="508223F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lastRenderedPageBreak/>
              <w:t>29</w:t>
            </w:r>
          </w:p>
        </w:tc>
        <w:tc>
          <w:tcPr>
            <w:tcW w:w="3478" w:type="dxa"/>
            <w:tcBorders>
              <w:top w:val="nil"/>
              <w:left w:val="nil"/>
              <w:bottom w:val="nil"/>
              <w:right w:val="nil"/>
            </w:tcBorders>
            <w:shd w:val="clear" w:color="000000" w:fill="DCE6F1"/>
            <w:vAlign w:val="center"/>
            <w:hideMark/>
          </w:tcPr>
          <w:p w14:paraId="2BA9B8C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Neto valsts finansētie primārie izdevumi (pirms ieņēmumu pasākumiem) (= 25-26-27-28-14)</w:t>
            </w:r>
          </w:p>
        </w:tc>
        <w:tc>
          <w:tcPr>
            <w:tcW w:w="1227" w:type="dxa"/>
            <w:tcBorders>
              <w:top w:val="nil"/>
              <w:left w:val="nil"/>
              <w:bottom w:val="nil"/>
              <w:right w:val="nil"/>
            </w:tcBorders>
            <w:shd w:val="clear" w:color="000000" w:fill="DCE6F1"/>
            <w:vAlign w:val="center"/>
            <w:hideMark/>
          </w:tcPr>
          <w:p w14:paraId="2923920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D9D9D9"/>
            <w:noWrap/>
            <w:vAlign w:val="center"/>
            <w:hideMark/>
          </w:tcPr>
          <w:p w14:paraId="54A5CC3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15,5</w:t>
            </w:r>
          </w:p>
        </w:tc>
        <w:tc>
          <w:tcPr>
            <w:tcW w:w="800" w:type="dxa"/>
            <w:tcBorders>
              <w:top w:val="nil"/>
              <w:left w:val="nil"/>
              <w:bottom w:val="nil"/>
              <w:right w:val="nil"/>
            </w:tcBorders>
            <w:shd w:val="clear" w:color="000000" w:fill="D9D9D9"/>
            <w:noWrap/>
            <w:vAlign w:val="center"/>
            <w:hideMark/>
          </w:tcPr>
          <w:p w14:paraId="77974FB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38,4</w:t>
            </w:r>
          </w:p>
        </w:tc>
        <w:tc>
          <w:tcPr>
            <w:tcW w:w="800" w:type="dxa"/>
            <w:tcBorders>
              <w:top w:val="nil"/>
              <w:left w:val="nil"/>
              <w:bottom w:val="nil"/>
              <w:right w:val="nil"/>
            </w:tcBorders>
            <w:shd w:val="clear" w:color="000000" w:fill="D9D9D9"/>
            <w:noWrap/>
            <w:vAlign w:val="center"/>
            <w:hideMark/>
          </w:tcPr>
          <w:p w14:paraId="02DADAA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41,2</w:t>
            </w:r>
          </w:p>
        </w:tc>
        <w:tc>
          <w:tcPr>
            <w:tcW w:w="800" w:type="dxa"/>
            <w:tcBorders>
              <w:top w:val="nil"/>
              <w:left w:val="nil"/>
              <w:bottom w:val="nil"/>
              <w:right w:val="nil"/>
            </w:tcBorders>
            <w:shd w:val="clear" w:color="000000" w:fill="F2F2F2"/>
            <w:noWrap/>
            <w:vAlign w:val="center"/>
            <w:hideMark/>
          </w:tcPr>
          <w:p w14:paraId="21022BB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6B54653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F2F2F2"/>
            <w:noWrap/>
            <w:vAlign w:val="center"/>
            <w:hideMark/>
          </w:tcPr>
          <w:p w14:paraId="1FBC26B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F2F2F2"/>
            <w:noWrap/>
            <w:vAlign w:val="center"/>
            <w:hideMark/>
          </w:tcPr>
          <w:p w14:paraId="1025AFE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6E0CC7C1"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2B56C5C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3478" w:type="dxa"/>
            <w:tcBorders>
              <w:top w:val="nil"/>
              <w:left w:val="nil"/>
              <w:bottom w:val="nil"/>
              <w:right w:val="nil"/>
            </w:tcBorders>
            <w:shd w:val="clear" w:color="000000" w:fill="95B3D7"/>
            <w:vAlign w:val="center"/>
            <w:hideMark/>
          </w:tcPr>
          <w:p w14:paraId="3AEDE17F"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sz w:val="18"/>
                <w:szCs w:val="18"/>
                <w:lang w:eastAsia="lv-LV"/>
              </w:rPr>
              <w:t>Valsts finansētie neto primārie izdevumi</w:t>
            </w:r>
          </w:p>
        </w:tc>
        <w:tc>
          <w:tcPr>
            <w:tcW w:w="1227" w:type="dxa"/>
            <w:tcBorders>
              <w:top w:val="nil"/>
              <w:left w:val="nil"/>
              <w:bottom w:val="nil"/>
              <w:right w:val="nil"/>
            </w:tcBorders>
            <w:shd w:val="clear" w:color="000000" w:fill="95B3D7"/>
            <w:vAlign w:val="center"/>
            <w:hideMark/>
          </w:tcPr>
          <w:p w14:paraId="52F09130"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color w:val="000000"/>
                <w:sz w:val="18"/>
                <w:szCs w:val="18"/>
                <w:lang w:eastAsia="lv-LV"/>
              </w:rPr>
              <w:t> </w:t>
            </w:r>
          </w:p>
        </w:tc>
        <w:tc>
          <w:tcPr>
            <w:tcW w:w="1088" w:type="dxa"/>
            <w:tcBorders>
              <w:top w:val="nil"/>
              <w:left w:val="nil"/>
              <w:bottom w:val="nil"/>
              <w:right w:val="nil"/>
            </w:tcBorders>
            <w:shd w:val="clear" w:color="000000" w:fill="95B3D7"/>
            <w:vAlign w:val="center"/>
            <w:hideMark/>
          </w:tcPr>
          <w:p w14:paraId="71FEC64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95B3D7"/>
            <w:vAlign w:val="center"/>
            <w:hideMark/>
          </w:tcPr>
          <w:p w14:paraId="5609D54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95B3D7"/>
            <w:vAlign w:val="center"/>
            <w:hideMark/>
          </w:tcPr>
          <w:p w14:paraId="5248014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2F64C2C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47910D8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673" w:type="dxa"/>
            <w:tcBorders>
              <w:top w:val="nil"/>
              <w:left w:val="nil"/>
              <w:bottom w:val="nil"/>
              <w:right w:val="nil"/>
            </w:tcBorders>
            <w:shd w:val="clear" w:color="000000" w:fill="95B3D7"/>
            <w:vAlign w:val="center"/>
            <w:hideMark/>
          </w:tcPr>
          <w:p w14:paraId="22C1E27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709" w:type="dxa"/>
            <w:tcBorders>
              <w:top w:val="nil"/>
              <w:left w:val="nil"/>
              <w:bottom w:val="nil"/>
              <w:right w:val="nil"/>
            </w:tcBorders>
            <w:shd w:val="clear" w:color="000000" w:fill="95B3D7"/>
            <w:vAlign w:val="center"/>
            <w:hideMark/>
          </w:tcPr>
          <w:p w14:paraId="0318EB7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r>
      <w:tr w:rsidR="000B10A3" w:rsidRPr="000B10A3" w14:paraId="447C77A6" w14:textId="77777777" w:rsidTr="000B10A3">
        <w:trPr>
          <w:trHeight w:val="720"/>
          <w:jc w:val="center"/>
        </w:trPr>
        <w:tc>
          <w:tcPr>
            <w:tcW w:w="540" w:type="dxa"/>
            <w:tcBorders>
              <w:top w:val="nil"/>
              <w:left w:val="nil"/>
              <w:bottom w:val="nil"/>
              <w:right w:val="nil"/>
            </w:tcBorders>
            <w:shd w:val="clear" w:color="000000" w:fill="BDD6EE"/>
            <w:noWrap/>
            <w:vAlign w:val="center"/>
            <w:hideMark/>
          </w:tcPr>
          <w:p w14:paraId="7B582D6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30</w:t>
            </w:r>
          </w:p>
        </w:tc>
        <w:tc>
          <w:tcPr>
            <w:tcW w:w="3478" w:type="dxa"/>
            <w:tcBorders>
              <w:top w:val="nil"/>
              <w:left w:val="nil"/>
              <w:bottom w:val="nil"/>
              <w:right w:val="nil"/>
            </w:tcBorders>
            <w:shd w:val="clear" w:color="000000" w:fill="DCE6F1"/>
            <w:vAlign w:val="center"/>
            <w:hideMark/>
          </w:tcPr>
          <w:p w14:paraId="00D3982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Valsts finansēto neto primāro izdevumu pieaugums</w:t>
            </w:r>
          </w:p>
        </w:tc>
        <w:tc>
          <w:tcPr>
            <w:tcW w:w="1227" w:type="dxa"/>
            <w:tcBorders>
              <w:top w:val="nil"/>
              <w:left w:val="nil"/>
              <w:bottom w:val="nil"/>
              <w:right w:val="nil"/>
            </w:tcBorders>
            <w:shd w:val="clear" w:color="000000" w:fill="DCE6F1"/>
            <w:vAlign w:val="center"/>
            <w:hideMark/>
          </w:tcPr>
          <w:p w14:paraId="5081A74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xml:space="preserve">FSP tabula 1a, </w:t>
            </w:r>
          </w:p>
        </w:tc>
        <w:tc>
          <w:tcPr>
            <w:tcW w:w="1088" w:type="dxa"/>
            <w:tcBorders>
              <w:top w:val="nil"/>
              <w:left w:val="nil"/>
              <w:bottom w:val="nil"/>
              <w:right w:val="nil"/>
            </w:tcBorders>
            <w:shd w:val="clear" w:color="000000" w:fill="F2F2F2"/>
            <w:noWrap/>
            <w:vAlign w:val="center"/>
            <w:hideMark/>
          </w:tcPr>
          <w:p w14:paraId="18FB19BA"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F2F2F2"/>
            <w:noWrap/>
            <w:vAlign w:val="center"/>
            <w:hideMark/>
          </w:tcPr>
          <w:p w14:paraId="7416A5B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23E08A0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9,1</w:t>
            </w:r>
          </w:p>
        </w:tc>
        <w:tc>
          <w:tcPr>
            <w:tcW w:w="800" w:type="dxa"/>
            <w:tcBorders>
              <w:top w:val="nil"/>
              <w:left w:val="nil"/>
              <w:bottom w:val="nil"/>
              <w:right w:val="nil"/>
            </w:tcBorders>
            <w:shd w:val="clear" w:color="auto" w:fill="auto"/>
            <w:noWrap/>
            <w:vAlign w:val="center"/>
            <w:hideMark/>
          </w:tcPr>
          <w:p w14:paraId="781C87C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5,9</w:t>
            </w:r>
          </w:p>
        </w:tc>
        <w:tc>
          <w:tcPr>
            <w:tcW w:w="800" w:type="dxa"/>
            <w:tcBorders>
              <w:top w:val="nil"/>
              <w:left w:val="nil"/>
              <w:bottom w:val="nil"/>
              <w:right w:val="nil"/>
            </w:tcBorders>
            <w:shd w:val="clear" w:color="auto" w:fill="auto"/>
            <w:noWrap/>
            <w:vAlign w:val="center"/>
            <w:hideMark/>
          </w:tcPr>
          <w:p w14:paraId="79910D6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3,6</w:t>
            </w:r>
          </w:p>
        </w:tc>
        <w:tc>
          <w:tcPr>
            <w:tcW w:w="673" w:type="dxa"/>
            <w:tcBorders>
              <w:top w:val="nil"/>
              <w:left w:val="nil"/>
              <w:bottom w:val="nil"/>
              <w:right w:val="nil"/>
            </w:tcBorders>
            <w:shd w:val="clear" w:color="auto" w:fill="auto"/>
            <w:noWrap/>
            <w:vAlign w:val="center"/>
            <w:hideMark/>
          </w:tcPr>
          <w:p w14:paraId="4CBCAA1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3,4</w:t>
            </w:r>
          </w:p>
        </w:tc>
        <w:tc>
          <w:tcPr>
            <w:tcW w:w="709" w:type="dxa"/>
            <w:tcBorders>
              <w:top w:val="nil"/>
              <w:left w:val="nil"/>
              <w:bottom w:val="nil"/>
              <w:right w:val="nil"/>
            </w:tcBorders>
            <w:shd w:val="clear" w:color="auto" w:fill="auto"/>
            <w:noWrap/>
            <w:vAlign w:val="center"/>
            <w:hideMark/>
          </w:tcPr>
          <w:p w14:paraId="7CD64E0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3,3</w:t>
            </w:r>
          </w:p>
        </w:tc>
      </w:tr>
      <w:tr w:rsidR="000B10A3" w:rsidRPr="000B10A3" w14:paraId="1A6B75FE"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7607072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3478" w:type="dxa"/>
            <w:tcBorders>
              <w:top w:val="nil"/>
              <w:left w:val="nil"/>
              <w:bottom w:val="nil"/>
              <w:right w:val="nil"/>
            </w:tcBorders>
            <w:shd w:val="clear" w:color="000000" w:fill="95B3D7"/>
            <w:vAlign w:val="center"/>
            <w:hideMark/>
          </w:tcPr>
          <w:p w14:paraId="06A93F14"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sz w:val="18"/>
                <w:szCs w:val="18"/>
                <w:lang w:eastAsia="lv-LV"/>
              </w:rPr>
              <w:t>Saldo</w:t>
            </w:r>
          </w:p>
        </w:tc>
        <w:tc>
          <w:tcPr>
            <w:tcW w:w="1227" w:type="dxa"/>
            <w:tcBorders>
              <w:top w:val="nil"/>
              <w:left w:val="nil"/>
              <w:bottom w:val="nil"/>
              <w:right w:val="nil"/>
            </w:tcBorders>
            <w:shd w:val="clear" w:color="000000" w:fill="95B3D7"/>
            <w:vAlign w:val="center"/>
            <w:hideMark/>
          </w:tcPr>
          <w:p w14:paraId="25E59DD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95B3D7"/>
            <w:vAlign w:val="center"/>
            <w:hideMark/>
          </w:tcPr>
          <w:p w14:paraId="74E4DDB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VV mljrd.</w:t>
            </w:r>
          </w:p>
        </w:tc>
        <w:tc>
          <w:tcPr>
            <w:tcW w:w="800" w:type="dxa"/>
            <w:tcBorders>
              <w:top w:val="nil"/>
              <w:left w:val="nil"/>
              <w:bottom w:val="nil"/>
              <w:right w:val="nil"/>
            </w:tcBorders>
            <w:shd w:val="clear" w:color="000000" w:fill="95B3D7"/>
            <w:vAlign w:val="center"/>
            <w:hideMark/>
          </w:tcPr>
          <w:p w14:paraId="0B1B114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28716E4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22A0BC8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0B6DC1B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673" w:type="dxa"/>
            <w:tcBorders>
              <w:top w:val="nil"/>
              <w:left w:val="nil"/>
              <w:bottom w:val="nil"/>
              <w:right w:val="nil"/>
            </w:tcBorders>
            <w:shd w:val="clear" w:color="000000" w:fill="95B3D7"/>
            <w:vAlign w:val="center"/>
            <w:hideMark/>
          </w:tcPr>
          <w:p w14:paraId="0CAC68B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709" w:type="dxa"/>
            <w:tcBorders>
              <w:top w:val="nil"/>
              <w:left w:val="nil"/>
              <w:bottom w:val="nil"/>
              <w:right w:val="nil"/>
            </w:tcBorders>
            <w:shd w:val="clear" w:color="000000" w:fill="95B3D7"/>
            <w:vAlign w:val="center"/>
            <w:hideMark/>
          </w:tcPr>
          <w:p w14:paraId="4D38E30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r>
      <w:tr w:rsidR="000B10A3" w:rsidRPr="000B10A3" w14:paraId="05820525"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279A45F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31</w:t>
            </w:r>
          </w:p>
        </w:tc>
        <w:tc>
          <w:tcPr>
            <w:tcW w:w="3478" w:type="dxa"/>
            <w:tcBorders>
              <w:top w:val="nil"/>
              <w:left w:val="nil"/>
              <w:bottom w:val="nil"/>
              <w:right w:val="nil"/>
            </w:tcBorders>
            <w:shd w:val="clear" w:color="000000" w:fill="DCE6F1"/>
            <w:vAlign w:val="center"/>
            <w:hideMark/>
          </w:tcPr>
          <w:p w14:paraId="647A495A"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Neto aizdevumi/aizņēmumi (= 7-23)</w:t>
            </w:r>
          </w:p>
        </w:tc>
        <w:tc>
          <w:tcPr>
            <w:tcW w:w="1227" w:type="dxa"/>
            <w:tcBorders>
              <w:top w:val="nil"/>
              <w:left w:val="nil"/>
              <w:bottom w:val="nil"/>
              <w:right w:val="nil"/>
            </w:tcBorders>
            <w:shd w:val="clear" w:color="000000" w:fill="DCE6F1"/>
            <w:vAlign w:val="center"/>
            <w:hideMark/>
          </w:tcPr>
          <w:p w14:paraId="425CE5E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B.9</w:t>
            </w:r>
          </w:p>
        </w:tc>
        <w:tc>
          <w:tcPr>
            <w:tcW w:w="1088" w:type="dxa"/>
            <w:tcBorders>
              <w:top w:val="nil"/>
              <w:left w:val="nil"/>
              <w:bottom w:val="nil"/>
              <w:right w:val="nil"/>
            </w:tcBorders>
            <w:shd w:val="clear" w:color="auto" w:fill="auto"/>
            <w:noWrap/>
            <w:vAlign w:val="center"/>
            <w:hideMark/>
          </w:tcPr>
          <w:p w14:paraId="00EB969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-0,9</w:t>
            </w:r>
          </w:p>
        </w:tc>
        <w:tc>
          <w:tcPr>
            <w:tcW w:w="800" w:type="dxa"/>
            <w:tcBorders>
              <w:top w:val="nil"/>
              <w:left w:val="nil"/>
              <w:bottom w:val="nil"/>
              <w:right w:val="nil"/>
            </w:tcBorders>
            <w:shd w:val="clear" w:color="auto" w:fill="auto"/>
            <w:noWrap/>
            <w:vAlign w:val="center"/>
            <w:hideMark/>
          </w:tcPr>
          <w:p w14:paraId="68FD255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-2,2</w:t>
            </w:r>
          </w:p>
        </w:tc>
        <w:tc>
          <w:tcPr>
            <w:tcW w:w="800" w:type="dxa"/>
            <w:tcBorders>
              <w:top w:val="nil"/>
              <w:left w:val="nil"/>
              <w:bottom w:val="nil"/>
              <w:right w:val="nil"/>
            </w:tcBorders>
            <w:shd w:val="clear" w:color="auto" w:fill="auto"/>
            <w:noWrap/>
            <w:vAlign w:val="center"/>
            <w:hideMark/>
          </w:tcPr>
          <w:p w14:paraId="528EC94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-2,6</w:t>
            </w:r>
          </w:p>
        </w:tc>
        <w:tc>
          <w:tcPr>
            <w:tcW w:w="800" w:type="dxa"/>
            <w:tcBorders>
              <w:top w:val="nil"/>
              <w:left w:val="nil"/>
              <w:bottom w:val="nil"/>
              <w:right w:val="nil"/>
            </w:tcBorders>
            <w:shd w:val="clear" w:color="auto" w:fill="auto"/>
            <w:noWrap/>
            <w:vAlign w:val="center"/>
            <w:hideMark/>
          </w:tcPr>
          <w:p w14:paraId="4ACBCCE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-2,9</w:t>
            </w:r>
          </w:p>
        </w:tc>
        <w:tc>
          <w:tcPr>
            <w:tcW w:w="800" w:type="dxa"/>
            <w:tcBorders>
              <w:top w:val="nil"/>
              <w:left w:val="nil"/>
              <w:bottom w:val="nil"/>
              <w:right w:val="nil"/>
            </w:tcBorders>
            <w:shd w:val="clear" w:color="auto" w:fill="auto"/>
            <w:noWrap/>
            <w:vAlign w:val="center"/>
            <w:hideMark/>
          </w:tcPr>
          <w:p w14:paraId="0781AC2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-2,9</w:t>
            </w:r>
          </w:p>
        </w:tc>
        <w:tc>
          <w:tcPr>
            <w:tcW w:w="673" w:type="dxa"/>
            <w:tcBorders>
              <w:top w:val="nil"/>
              <w:left w:val="nil"/>
              <w:bottom w:val="nil"/>
              <w:right w:val="nil"/>
            </w:tcBorders>
            <w:shd w:val="clear" w:color="auto" w:fill="auto"/>
            <w:noWrap/>
            <w:vAlign w:val="center"/>
            <w:hideMark/>
          </w:tcPr>
          <w:p w14:paraId="14B5A73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-2,9</w:t>
            </w:r>
          </w:p>
        </w:tc>
        <w:tc>
          <w:tcPr>
            <w:tcW w:w="709" w:type="dxa"/>
            <w:tcBorders>
              <w:top w:val="nil"/>
              <w:left w:val="nil"/>
              <w:bottom w:val="nil"/>
              <w:right w:val="nil"/>
            </w:tcBorders>
            <w:shd w:val="clear" w:color="auto" w:fill="auto"/>
            <w:noWrap/>
            <w:vAlign w:val="center"/>
            <w:hideMark/>
          </w:tcPr>
          <w:p w14:paraId="17DC9D0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-2,9</w:t>
            </w:r>
          </w:p>
        </w:tc>
      </w:tr>
      <w:tr w:rsidR="000B10A3" w:rsidRPr="000B10A3" w14:paraId="0876D5A2"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680C14D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32</w:t>
            </w:r>
          </w:p>
        </w:tc>
        <w:tc>
          <w:tcPr>
            <w:tcW w:w="3478" w:type="dxa"/>
            <w:tcBorders>
              <w:top w:val="nil"/>
              <w:left w:val="nil"/>
              <w:bottom w:val="nil"/>
              <w:right w:val="nil"/>
            </w:tcBorders>
            <w:shd w:val="clear" w:color="000000" w:fill="DCE6F1"/>
            <w:vAlign w:val="center"/>
            <w:hideMark/>
          </w:tcPr>
          <w:p w14:paraId="32893382"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Primārā bilance (= 31-14)</w:t>
            </w:r>
          </w:p>
        </w:tc>
        <w:tc>
          <w:tcPr>
            <w:tcW w:w="1227" w:type="dxa"/>
            <w:tcBorders>
              <w:top w:val="nil"/>
              <w:left w:val="nil"/>
              <w:bottom w:val="nil"/>
              <w:right w:val="nil"/>
            </w:tcBorders>
            <w:shd w:val="clear" w:color="000000" w:fill="DCE6F1"/>
            <w:vAlign w:val="center"/>
            <w:hideMark/>
          </w:tcPr>
          <w:p w14:paraId="5489D82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B.9-D.41p</w:t>
            </w:r>
          </w:p>
        </w:tc>
        <w:tc>
          <w:tcPr>
            <w:tcW w:w="1088" w:type="dxa"/>
            <w:tcBorders>
              <w:top w:val="nil"/>
              <w:left w:val="nil"/>
              <w:bottom w:val="nil"/>
              <w:right w:val="nil"/>
            </w:tcBorders>
            <w:shd w:val="clear" w:color="auto" w:fill="auto"/>
            <w:noWrap/>
            <w:vAlign w:val="center"/>
            <w:hideMark/>
          </w:tcPr>
          <w:p w14:paraId="4736D09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-0,6</w:t>
            </w:r>
          </w:p>
        </w:tc>
        <w:tc>
          <w:tcPr>
            <w:tcW w:w="800" w:type="dxa"/>
            <w:tcBorders>
              <w:top w:val="nil"/>
              <w:left w:val="nil"/>
              <w:bottom w:val="nil"/>
              <w:right w:val="nil"/>
            </w:tcBorders>
            <w:shd w:val="clear" w:color="auto" w:fill="auto"/>
            <w:noWrap/>
            <w:vAlign w:val="center"/>
            <w:hideMark/>
          </w:tcPr>
          <w:p w14:paraId="1CEC60E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800" w:type="dxa"/>
            <w:tcBorders>
              <w:top w:val="nil"/>
              <w:left w:val="nil"/>
              <w:bottom w:val="nil"/>
              <w:right w:val="nil"/>
            </w:tcBorders>
            <w:shd w:val="clear" w:color="auto" w:fill="auto"/>
            <w:noWrap/>
            <w:vAlign w:val="center"/>
            <w:hideMark/>
          </w:tcPr>
          <w:p w14:paraId="334E856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800" w:type="dxa"/>
            <w:tcBorders>
              <w:top w:val="nil"/>
              <w:left w:val="nil"/>
              <w:bottom w:val="nil"/>
              <w:right w:val="nil"/>
            </w:tcBorders>
            <w:shd w:val="clear" w:color="auto" w:fill="auto"/>
            <w:noWrap/>
            <w:vAlign w:val="center"/>
            <w:hideMark/>
          </w:tcPr>
          <w:p w14:paraId="6660106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-1,7</w:t>
            </w:r>
          </w:p>
        </w:tc>
        <w:tc>
          <w:tcPr>
            <w:tcW w:w="800" w:type="dxa"/>
            <w:tcBorders>
              <w:top w:val="nil"/>
              <w:left w:val="nil"/>
              <w:bottom w:val="nil"/>
              <w:right w:val="nil"/>
            </w:tcBorders>
            <w:shd w:val="clear" w:color="auto" w:fill="auto"/>
            <w:noWrap/>
            <w:vAlign w:val="center"/>
            <w:hideMark/>
          </w:tcPr>
          <w:p w14:paraId="0E61959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673" w:type="dxa"/>
            <w:tcBorders>
              <w:top w:val="nil"/>
              <w:left w:val="nil"/>
              <w:bottom w:val="nil"/>
              <w:right w:val="nil"/>
            </w:tcBorders>
            <w:shd w:val="clear" w:color="auto" w:fill="auto"/>
            <w:noWrap/>
            <w:vAlign w:val="center"/>
            <w:hideMark/>
          </w:tcPr>
          <w:p w14:paraId="50B54DE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709" w:type="dxa"/>
            <w:tcBorders>
              <w:top w:val="nil"/>
              <w:left w:val="nil"/>
              <w:bottom w:val="nil"/>
              <w:right w:val="nil"/>
            </w:tcBorders>
            <w:shd w:val="clear" w:color="auto" w:fill="auto"/>
            <w:noWrap/>
            <w:vAlign w:val="center"/>
            <w:hideMark/>
          </w:tcPr>
          <w:p w14:paraId="567959C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r>
      <w:tr w:rsidR="000B10A3" w:rsidRPr="000B10A3" w14:paraId="3A30B356"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51EE584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3478" w:type="dxa"/>
            <w:tcBorders>
              <w:top w:val="nil"/>
              <w:left w:val="nil"/>
              <w:bottom w:val="nil"/>
              <w:right w:val="nil"/>
            </w:tcBorders>
            <w:shd w:val="clear" w:color="000000" w:fill="95B3D7"/>
            <w:vAlign w:val="center"/>
            <w:hideMark/>
          </w:tcPr>
          <w:p w14:paraId="3FBC9C7D"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sz w:val="18"/>
                <w:szCs w:val="18"/>
                <w:lang w:eastAsia="lv-LV"/>
              </w:rPr>
              <w:t>Cikliskā korekcija</w:t>
            </w:r>
          </w:p>
        </w:tc>
        <w:tc>
          <w:tcPr>
            <w:tcW w:w="1227" w:type="dxa"/>
            <w:tcBorders>
              <w:top w:val="nil"/>
              <w:left w:val="nil"/>
              <w:bottom w:val="nil"/>
              <w:right w:val="nil"/>
            </w:tcBorders>
            <w:shd w:val="clear" w:color="000000" w:fill="95B3D7"/>
            <w:noWrap/>
            <w:vAlign w:val="center"/>
            <w:hideMark/>
          </w:tcPr>
          <w:p w14:paraId="41CC504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95B3D7"/>
            <w:noWrap/>
            <w:vAlign w:val="center"/>
            <w:hideMark/>
          </w:tcPr>
          <w:p w14:paraId="5631CBE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95B3D7"/>
            <w:noWrap/>
            <w:vAlign w:val="center"/>
            <w:hideMark/>
          </w:tcPr>
          <w:p w14:paraId="4F692C2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noWrap/>
            <w:vAlign w:val="center"/>
            <w:hideMark/>
          </w:tcPr>
          <w:p w14:paraId="10CF7A9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noWrap/>
            <w:vAlign w:val="center"/>
            <w:hideMark/>
          </w:tcPr>
          <w:p w14:paraId="029F6D1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noWrap/>
            <w:vAlign w:val="center"/>
            <w:hideMark/>
          </w:tcPr>
          <w:p w14:paraId="3929E57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673" w:type="dxa"/>
            <w:tcBorders>
              <w:top w:val="nil"/>
              <w:left w:val="nil"/>
              <w:bottom w:val="nil"/>
              <w:right w:val="nil"/>
            </w:tcBorders>
            <w:shd w:val="clear" w:color="000000" w:fill="95B3D7"/>
            <w:noWrap/>
            <w:vAlign w:val="center"/>
            <w:hideMark/>
          </w:tcPr>
          <w:p w14:paraId="1754468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709" w:type="dxa"/>
            <w:tcBorders>
              <w:top w:val="nil"/>
              <w:left w:val="nil"/>
              <w:bottom w:val="nil"/>
              <w:right w:val="nil"/>
            </w:tcBorders>
            <w:shd w:val="clear" w:color="000000" w:fill="95B3D7"/>
            <w:noWrap/>
            <w:vAlign w:val="center"/>
            <w:hideMark/>
          </w:tcPr>
          <w:p w14:paraId="1723243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r>
      <w:tr w:rsidR="000B10A3" w:rsidRPr="000B10A3" w14:paraId="33D16B42"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795CB8E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33</w:t>
            </w:r>
          </w:p>
        </w:tc>
        <w:tc>
          <w:tcPr>
            <w:tcW w:w="3478" w:type="dxa"/>
            <w:tcBorders>
              <w:top w:val="nil"/>
              <w:left w:val="nil"/>
              <w:bottom w:val="nil"/>
              <w:right w:val="nil"/>
            </w:tcBorders>
            <w:shd w:val="clear" w:color="000000" w:fill="DCE6F1"/>
            <w:vAlign w:val="center"/>
            <w:hideMark/>
          </w:tcPr>
          <w:p w14:paraId="752EDE9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Strukturālā bilance</w:t>
            </w:r>
          </w:p>
        </w:tc>
        <w:tc>
          <w:tcPr>
            <w:tcW w:w="1227" w:type="dxa"/>
            <w:tcBorders>
              <w:top w:val="nil"/>
              <w:left w:val="nil"/>
              <w:bottom w:val="nil"/>
              <w:right w:val="nil"/>
            </w:tcBorders>
            <w:shd w:val="clear" w:color="000000" w:fill="DCE6F1"/>
            <w:vAlign w:val="center"/>
            <w:hideMark/>
          </w:tcPr>
          <w:p w14:paraId="221D60B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5C14A9B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1FC0C6A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-1,8</w:t>
            </w:r>
          </w:p>
        </w:tc>
        <w:tc>
          <w:tcPr>
            <w:tcW w:w="800" w:type="dxa"/>
            <w:tcBorders>
              <w:top w:val="nil"/>
              <w:left w:val="nil"/>
              <w:bottom w:val="nil"/>
              <w:right w:val="nil"/>
            </w:tcBorders>
            <w:shd w:val="clear" w:color="auto" w:fill="auto"/>
            <w:noWrap/>
            <w:vAlign w:val="center"/>
            <w:hideMark/>
          </w:tcPr>
          <w:p w14:paraId="4190B17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-1,9</w:t>
            </w:r>
          </w:p>
        </w:tc>
        <w:tc>
          <w:tcPr>
            <w:tcW w:w="800" w:type="dxa"/>
            <w:tcBorders>
              <w:top w:val="nil"/>
              <w:left w:val="nil"/>
              <w:bottom w:val="nil"/>
              <w:right w:val="nil"/>
            </w:tcBorders>
            <w:shd w:val="clear" w:color="auto" w:fill="auto"/>
            <w:noWrap/>
            <w:vAlign w:val="center"/>
            <w:hideMark/>
          </w:tcPr>
          <w:p w14:paraId="66F58ED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-2,5</w:t>
            </w:r>
          </w:p>
        </w:tc>
        <w:tc>
          <w:tcPr>
            <w:tcW w:w="800" w:type="dxa"/>
            <w:tcBorders>
              <w:top w:val="nil"/>
              <w:left w:val="nil"/>
              <w:bottom w:val="nil"/>
              <w:right w:val="nil"/>
            </w:tcBorders>
            <w:shd w:val="clear" w:color="auto" w:fill="auto"/>
            <w:noWrap/>
            <w:vAlign w:val="center"/>
            <w:hideMark/>
          </w:tcPr>
          <w:p w14:paraId="757632D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-2,6</w:t>
            </w:r>
          </w:p>
        </w:tc>
        <w:tc>
          <w:tcPr>
            <w:tcW w:w="673" w:type="dxa"/>
            <w:tcBorders>
              <w:top w:val="nil"/>
              <w:left w:val="nil"/>
              <w:bottom w:val="nil"/>
              <w:right w:val="nil"/>
            </w:tcBorders>
            <w:shd w:val="clear" w:color="auto" w:fill="auto"/>
            <w:noWrap/>
            <w:vAlign w:val="center"/>
            <w:hideMark/>
          </w:tcPr>
          <w:p w14:paraId="528A10D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-2,7</w:t>
            </w:r>
          </w:p>
        </w:tc>
        <w:tc>
          <w:tcPr>
            <w:tcW w:w="709" w:type="dxa"/>
            <w:tcBorders>
              <w:top w:val="nil"/>
              <w:left w:val="nil"/>
              <w:bottom w:val="nil"/>
              <w:right w:val="nil"/>
            </w:tcBorders>
            <w:shd w:val="clear" w:color="auto" w:fill="auto"/>
            <w:noWrap/>
            <w:vAlign w:val="center"/>
            <w:hideMark/>
          </w:tcPr>
          <w:p w14:paraId="15B3F52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-2,7</w:t>
            </w:r>
          </w:p>
        </w:tc>
      </w:tr>
      <w:tr w:rsidR="000B10A3" w:rsidRPr="000B10A3" w14:paraId="01743CBB"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040C876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34</w:t>
            </w:r>
          </w:p>
        </w:tc>
        <w:tc>
          <w:tcPr>
            <w:tcW w:w="3478" w:type="dxa"/>
            <w:tcBorders>
              <w:top w:val="nil"/>
              <w:left w:val="nil"/>
              <w:bottom w:val="nil"/>
              <w:right w:val="nil"/>
            </w:tcBorders>
            <w:shd w:val="clear" w:color="000000" w:fill="DCE6F1"/>
            <w:vAlign w:val="center"/>
            <w:hideMark/>
          </w:tcPr>
          <w:p w14:paraId="6FB2B49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Strukturālā primārā bilance</w:t>
            </w:r>
          </w:p>
        </w:tc>
        <w:tc>
          <w:tcPr>
            <w:tcW w:w="1227" w:type="dxa"/>
            <w:tcBorders>
              <w:top w:val="nil"/>
              <w:left w:val="nil"/>
              <w:bottom w:val="nil"/>
              <w:right w:val="nil"/>
            </w:tcBorders>
            <w:shd w:val="clear" w:color="000000" w:fill="DCE6F1"/>
            <w:vAlign w:val="center"/>
            <w:hideMark/>
          </w:tcPr>
          <w:p w14:paraId="35C6AD3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21F0F9C5"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34AAB0A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800" w:type="dxa"/>
            <w:tcBorders>
              <w:top w:val="nil"/>
              <w:left w:val="nil"/>
              <w:bottom w:val="nil"/>
              <w:right w:val="nil"/>
            </w:tcBorders>
            <w:shd w:val="clear" w:color="auto" w:fill="auto"/>
            <w:noWrap/>
            <w:vAlign w:val="center"/>
            <w:hideMark/>
          </w:tcPr>
          <w:p w14:paraId="1348492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-0,8</w:t>
            </w:r>
          </w:p>
        </w:tc>
        <w:tc>
          <w:tcPr>
            <w:tcW w:w="800" w:type="dxa"/>
            <w:tcBorders>
              <w:top w:val="nil"/>
              <w:left w:val="nil"/>
              <w:bottom w:val="nil"/>
              <w:right w:val="nil"/>
            </w:tcBorders>
            <w:shd w:val="clear" w:color="auto" w:fill="auto"/>
            <w:noWrap/>
            <w:vAlign w:val="center"/>
            <w:hideMark/>
          </w:tcPr>
          <w:p w14:paraId="572ACCA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800" w:type="dxa"/>
            <w:tcBorders>
              <w:top w:val="nil"/>
              <w:left w:val="nil"/>
              <w:bottom w:val="nil"/>
              <w:right w:val="nil"/>
            </w:tcBorders>
            <w:shd w:val="clear" w:color="auto" w:fill="auto"/>
            <w:noWrap/>
            <w:vAlign w:val="center"/>
            <w:hideMark/>
          </w:tcPr>
          <w:p w14:paraId="1FFB30E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673" w:type="dxa"/>
            <w:tcBorders>
              <w:top w:val="nil"/>
              <w:left w:val="nil"/>
              <w:bottom w:val="nil"/>
              <w:right w:val="nil"/>
            </w:tcBorders>
            <w:shd w:val="clear" w:color="auto" w:fill="auto"/>
            <w:noWrap/>
            <w:vAlign w:val="center"/>
            <w:hideMark/>
          </w:tcPr>
          <w:p w14:paraId="0290449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709" w:type="dxa"/>
            <w:tcBorders>
              <w:top w:val="nil"/>
              <w:left w:val="nil"/>
              <w:bottom w:val="nil"/>
              <w:right w:val="nil"/>
            </w:tcBorders>
            <w:shd w:val="clear" w:color="auto" w:fill="auto"/>
            <w:noWrap/>
            <w:vAlign w:val="center"/>
            <w:hideMark/>
          </w:tcPr>
          <w:p w14:paraId="73A44EE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r>
      <w:tr w:rsidR="000B10A3" w:rsidRPr="000B10A3" w14:paraId="57813881" w14:textId="77777777" w:rsidTr="000B10A3">
        <w:trPr>
          <w:trHeight w:val="480"/>
          <w:jc w:val="center"/>
        </w:trPr>
        <w:tc>
          <w:tcPr>
            <w:tcW w:w="540" w:type="dxa"/>
            <w:tcBorders>
              <w:top w:val="nil"/>
              <w:left w:val="nil"/>
              <w:bottom w:val="nil"/>
              <w:right w:val="nil"/>
            </w:tcBorders>
            <w:shd w:val="clear" w:color="000000" w:fill="BDD6EE"/>
            <w:noWrap/>
            <w:vAlign w:val="center"/>
            <w:hideMark/>
          </w:tcPr>
          <w:p w14:paraId="634A94B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3478" w:type="dxa"/>
            <w:tcBorders>
              <w:top w:val="nil"/>
              <w:left w:val="nil"/>
              <w:bottom w:val="nil"/>
              <w:right w:val="nil"/>
            </w:tcBorders>
            <w:shd w:val="clear" w:color="000000" w:fill="95B3D7"/>
            <w:vAlign w:val="center"/>
            <w:hideMark/>
          </w:tcPr>
          <w:p w14:paraId="3F37446F" w14:textId="77777777" w:rsidR="000B10A3" w:rsidRPr="000B10A3" w:rsidRDefault="000B10A3" w:rsidP="000B10A3">
            <w:pPr>
              <w:spacing w:after="0" w:line="240" w:lineRule="auto"/>
              <w:ind w:firstLine="0"/>
              <w:jc w:val="left"/>
              <w:rPr>
                <w:rFonts w:eastAsia="Times New Roman" w:cs="Times New Roman"/>
                <w:b/>
                <w:bCs/>
                <w:color w:val="000000"/>
                <w:sz w:val="18"/>
                <w:szCs w:val="18"/>
                <w:lang w:eastAsia="lv-LV"/>
              </w:rPr>
            </w:pPr>
            <w:r w:rsidRPr="000B10A3">
              <w:rPr>
                <w:rFonts w:eastAsia="Times New Roman" w:cs="Times New Roman"/>
                <w:b/>
                <w:bCs/>
                <w:sz w:val="18"/>
                <w:szCs w:val="18"/>
                <w:lang w:eastAsia="lv-LV"/>
              </w:rPr>
              <w:t>Parāds</w:t>
            </w:r>
          </w:p>
        </w:tc>
        <w:tc>
          <w:tcPr>
            <w:tcW w:w="1227" w:type="dxa"/>
            <w:tcBorders>
              <w:top w:val="nil"/>
              <w:left w:val="nil"/>
              <w:bottom w:val="nil"/>
              <w:right w:val="nil"/>
            </w:tcBorders>
            <w:shd w:val="clear" w:color="000000" w:fill="95B3D7"/>
            <w:vAlign w:val="center"/>
            <w:hideMark/>
          </w:tcPr>
          <w:p w14:paraId="46493E79"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95B3D7"/>
            <w:vAlign w:val="center"/>
            <w:hideMark/>
          </w:tcPr>
          <w:p w14:paraId="02EE943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VV mljrd.</w:t>
            </w:r>
          </w:p>
        </w:tc>
        <w:tc>
          <w:tcPr>
            <w:tcW w:w="800" w:type="dxa"/>
            <w:tcBorders>
              <w:top w:val="nil"/>
              <w:left w:val="nil"/>
              <w:bottom w:val="nil"/>
              <w:right w:val="nil"/>
            </w:tcBorders>
            <w:shd w:val="clear" w:color="000000" w:fill="95B3D7"/>
            <w:vAlign w:val="center"/>
            <w:hideMark/>
          </w:tcPr>
          <w:p w14:paraId="15B960F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03C9D32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70B64D7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800" w:type="dxa"/>
            <w:tcBorders>
              <w:top w:val="nil"/>
              <w:left w:val="nil"/>
              <w:bottom w:val="nil"/>
              <w:right w:val="nil"/>
            </w:tcBorders>
            <w:shd w:val="clear" w:color="000000" w:fill="95B3D7"/>
            <w:vAlign w:val="center"/>
            <w:hideMark/>
          </w:tcPr>
          <w:p w14:paraId="1CC6C75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673" w:type="dxa"/>
            <w:tcBorders>
              <w:top w:val="nil"/>
              <w:left w:val="nil"/>
              <w:bottom w:val="nil"/>
              <w:right w:val="nil"/>
            </w:tcBorders>
            <w:shd w:val="clear" w:color="000000" w:fill="95B3D7"/>
            <w:vAlign w:val="center"/>
            <w:hideMark/>
          </w:tcPr>
          <w:p w14:paraId="10D9364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c>
          <w:tcPr>
            <w:tcW w:w="709" w:type="dxa"/>
            <w:tcBorders>
              <w:top w:val="nil"/>
              <w:left w:val="nil"/>
              <w:bottom w:val="nil"/>
              <w:right w:val="nil"/>
            </w:tcBorders>
            <w:shd w:val="clear" w:color="000000" w:fill="95B3D7"/>
            <w:vAlign w:val="center"/>
            <w:hideMark/>
          </w:tcPr>
          <w:p w14:paraId="7804496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 no IKP</w:t>
            </w:r>
          </w:p>
        </w:tc>
      </w:tr>
      <w:tr w:rsidR="000B10A3" w:rsidRPr="000B10A3" w14:paraId="6B4CDCD4"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1361945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35</w:t>
            </w:r>
          </w:p>
        </w:tc>
        <w:tc>
          <w:tcPr>
            <w:tcW w:w="3478" w:type="dxa"/>
            <w:tcBorders>
              <w:top w:val="nil"/>
              <w:left w:val="nil"/>
              <w:bottom w:val="nil"/>
              <w:right w:val="nil"/>
            </w:tcBorders>
            <w:shd w:val="clear" w:color="000000" w:fill="DCE6F1"/>
            <w:vAlign w:val="center"/>
            <w:hideMark/>
          </w:tcPr>
          <w:p w14:paraId="2184A18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Bruto parāds</w:t>
            </w:r>
          </w:p>
        </w:tc>
        <w:tc>
          <w:tcPr>
            <w:tcW w:w="1227" w:type="dxa"/>
            <w:tcBorders>
              <w:top w:val="nil"/>
              <w:left w:val="nil"/>
              <w:bottom w:val="nil"/>
              <w:right w:val="nil"/>
            </w:tcBorders>
            <w:shd w:val="clear" w:color="000000" w:fill="DCE6F1"/>
            <w:vAlign w:val="center"/>
            <w:hideMark/>
          </w:tcPr>
          <w:p w14:paraId="78357C4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36EE820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17,6</w:t>
            </w:r>
          </w:p>
        </w:tc>
        <w:tc>
          <w:tcPr>
            <w:tcW w:w="800" w:type="dxa"/>
            <w:tcBorders>
              <w:top w:val="nil"/>
              <w:left w:val="nil"/>
              <w:bottom w:val="nil"/>
              <w:right w:val="nil"/>
            </w:tcBorders>
            <w:shd w:val="clear" w:color="auto" w:fill="auto"/>
            <w:noWrap/>
            <w:vAlign w:val="center"/>
            <w:hideMark/>
          </w:tcPr>
          <w:p w14:paraId="76FED0F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43,6</w:t>
            </w:r>
          </w:p>
        </w:tc>
        <w:tc>
          <w:tcPr>
            <w:tcW w:w="800" w:type="dxa"/>
            <w:tcBorders>
              <w:top w:val="nil"/>
              <w:left w:val="nil"/>
              <w:bottom w:val="nil"/>
              <w:right w:val="nil"/>
            </w:tcBorders>
            <w:shd w:val="clear" w:color="auto" w:fill="auto"/>
            <w:noWrap/>
            <w:vAlign w:val="center"/>
            <w:hideMark/>
          </w:tcPr>
          <w:p w14:paraId="28A32A5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45,8</w:t>
            </w:r>
          </w:p>
        </w:tc>
        <w:tc>
          <w:tcPr>
            <w:tcW w:w="800" w:type="dxa"/>
            <w:tcBorders>
              <w:top w:val="nil"/>
              <w:left w:val="nil"/>
              <w:bottom w:val="nil"/>
              <w:right w:val="nil"/>
            </w:tcBorders>
            <w:shd w:val="clear" w:color="auto" w:fill="auto"/>
            <w:noWrap/>
            <w:vAlign w:val="center"/>
            <w:hideMark/>
          </w:tcPr>
          <w:p w14:paraId="169CDFD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47,5</w:t>
            </w:r>
          </w:p>
        </w:tc>
        <w:tc>
          <w:tcPr>
            <w:tcW w:w="800" w:type="dxa"/>
            <w:tcBorders>
              <w:top w:val="nil"/>
              <w:left w:val="nil"/>
              <w:bottom w:val="nil"/>
              <w:right w:val="nil"/>
            </w:tcBorders>
            <w:shd w:val="clear" w:color="auto" w:fill="auto"/>
            <w:noWrap/>
            <w:vAlign w:val="center"/>
            <w:hideMark/>
          </w:tcPr>
          <w:p w14:paraId="1B45165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48,5</w:t>
            </w:r>
          </w:p>
        </w:tc>
        <w:tc>
          <w:tcPr>
            <w:tcW w:w="673" w:type="dxa"/>
            <w:tcBorders>
              <w:top w:val="nil"/>
              <w:left w:val="nil"/>
              <w:bottom w:val="nil"/>
              <w:right w:val="nil"/>
            </w:tcBorders>
            <w:shd w:val="clear" w:color="auto" w:fill="auto"/>
            <w:noWrap/>
            <w:vAlign w:val="center"/>
            <w:hideMark/>
          </w:tcPr>
          <w:p w14:paraId="44763D5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49,7</w:t>
            </w:r>
          </w:p>
        </w:tc>
        <w:tc>
          <w:tcPr>
            <w:tcW w:w="709" w:type="dxa"/>
            <w:tcBorders>
              <w:top w:val="nil"/>
              <w:left w:val="nil"/>
              <w:bottom w:val="nil"/>
              <w:right w:val="nil"/>
            </w:tcBorders>
            <w:shd w:val="clear" w:color="auto" w:fill="auto"/>
            <w:noWrap/>
            <w:vAlign w:val="center"/>
            <w:hideMark/>
          </w:tcPr>
          <w:p w14:paraId="071C7F5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50,8</w:t>
            </w:r>
          </w:p>
        </w:tc>
      </w:tr>
      <w:tr w:rsidR="000B10A3" w:rsidRPr="000B10A3" w14:paraId="556AE663"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7EC096C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36</w:t>
            </w:r>
          </w:p>
        </w:tc>
        <w:tc>
          <w:tcPr>
            <w:tcW w:w="3478" w:type="dxa"/>
            <w:tcBorders>
              <w:top w:val="nil"/>
              <w:left w:val="nil"/>
              <w:bottom w:val="nil"/>
              <w:right w:val="nil"/>
            </w:tcBorders>
            <w:shd w:val="clear" w:color="000000" w:fill="DCE6F1"/>
            <w:vAlign w:val="center"/>
            <w:hideMark/>
          </w:tcPr>
          <w:p w14:paraId="3D64D0D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Bruto parāda izmaiņas</w:t>
            </w:r>
          </w:p>
        </w:tc>
        <w:tc>
          <w:tcPr>
            <w:tcW w:w="1227" w:type="dxa"/>
            <w:tcBorders>
              <w:top w:val="nil"/>
              <w:left w:val="nil"/>
              <w:bottom w:val="nil"/>
              <w:right w:val="nil"/>
            </w:tcBorders>
            <w:shd w:val="clear" w:color="000000" w:fill="DCE6F1"/>
            <w:vAlign w:val="center"/>
            <w:hideMark/>
          </w:tcPr>
          <w:p w14:paraId="5FABC64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auto" w:fill="auto"/>
            <w:noWrap/>
            <w:vAlign w:val="center"/>
            <w:hideMark/>
          </w:tcPr>
          <w:p w14:paraId="5BE18DC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800" w:type="dxa"/>
            <w:tcBorders>
              <w:top w:val="nil"/>
              <w:left w:val="nil"/>
              <w:bottom w:val="nil"/>
              <w:right w:val="nil"/>
            </w:tcBorders>
            <w:shd w:val="clear" w:color="auto" w:fill="auto"/>
            <w:noWrap/>
            <w:vAlign w:val="center"/>
            <w:hideMark/>
          </w:tcPr>
          <w:p w14:paraId="7708967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1,8</w:t>
            </w:r>
          </w:p>
        </w:tc>
        <w:tc>
          <w:tcPr>
            <w:tcW w:w="800" w:type="dxa"/>
            <w:tcBorders>
              <w:top w:val="nil"/>
              <w:left w:val="nil"/>
              <w:bottom w:val="nil"/>
              <w:right w:val="nil"/>
            </w:tcBorders>
            <w:shd w:val="clear" w:color="auto" w:fill="auto"/>
            <w:noWrap/>
            <w:vAlign w:val="center"/>
            <w:hideMark/>
          </w:tcPr>
          <w:p w14:paraId="1F80E2D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2,3</w:t>
            </w:r>
          </w:p>
        </w:tc>
        <w:tc>
          <w:tcPr>
            <w:tcW w:w="800" w:type="dxa"/>
            <w:tcBorders>
              <w:top w:val="nil"/>
              <w:left w:val="nil"/>
              <w:bottom w:val="nil"/>
              <w:right w:val="nil"/>
            </w:tcBorders>
            <w:shd w:val="clear" w:color="auto" w:fill="auto"/>
            <w:noWrap/>
            <w:vAlign w:val="center"/>
            <w:hideMark/>
          </w:tcPr>
          <w:p w14:paraId="2E8A3D6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800" w:type="dxa"/>
            <w:tcBorders>
              <w:top w:val="nil"/>
              <w:left w:val="nil"/>
              <w:bottom w:val="nil"/>
              <w:right w:val="nil"/>
            </w:tcBorders>
            <w:shd w:val="clear" w:color="auto" w:fill="auto"/>
            <w:noWrap/>
            <w:vAlign w:val="center"/>
            <w:hideMark/>
          </w:tcPr>
          <w:p w14:paraId="0861505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w:t>
            </w:r>
          </w:p>
        </w:tc>
        <w:tc>
          <w:tcPr>
            <w:tcW w:w="673" w:type="dxa"/>
            <w:tcBorders>
              <w:top w:val="nil"/>
              <w:left w:val="nil"/>
              <w:bottom w:val="nil"/>
              <w:right w:val="nil"/>
            </w:tcBorders>
            <w:shd w:val="clear" w:color="auto" w:fill="auto"/>
            <w:noWrap/>
            <w:vAlign w:val="center"/>
            <w:hideMark/>
          </w:tcPr>
          <w:p w14:paraId="1854B40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709" w:type="dxa"/>
            <w:tcBorders>
              <w:top w:val="nil"/>
              <w:left w:val="nil"/>
              <w:bottom w:val="nil"/>
              <w:right w:val="nil"/>
            </w:tcBorders>
            <w:shd w:val="clear" w:color="auto" w:fill="auto"/>
            <w:noWrap/>
            <w:vAlign w:val="center"/>
            <w:hideMark/>
          </w:tcPr>
          <w:p w14:paraId="048AA1B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r>
      <w:tr w:rsidR="000B10A3" w:rsidRPr="000B10A3" w14:paraId="57B53C75"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011535F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37</w:t>
            </w:r>
          </w:p>
        </w:tc>
        <w:tc>
          <w:tcPr>
            <w:tcW w:w="3478" w:type="dxa"/>
            <w:tcBorders>
              <w:top w:val="nil"/>
              <w:left w:val="nil"/>
              <w:bottom w:val="nil"/>
              <w:right w:val="nil"/>
            </w:tcBorders>
            <w:shd w:val="clear" w:color="000000" w:fill="DCE6F1"/>
            <w:vAlign w:val="center"/>
            <w:hideMark/>
          </w:tcPr>
          <w:p w14:paraId="25C3071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Devums bruto parāda izmaiņās</w:t>
            </w:r>
          </w:p>
        </w:tc>
        <w:tc>
          <w:tcPr>
            <w:tcW w:w="1227" w:type="dxa"/>
            <w:tcBorders>
              <w:top w:val="nil"/>
              <w:left w:val="nil"/>
              <w:bottom w:val="nil"/>
              <w:right w:val="nil"/>
            </w:tcBorders>
            <w:shd w:val="clear" w:color="000000" w:fill="DCE6F1"/>
            <w:vAlign w:val="center"/>
            <w:hideMark/>
          </w:tcPr>
          <w:p w14:paraId="45F3BB19"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DCE6F1"/>
            <w:noWrap/>
            <w:vAlign w:val="center"/>
            <w:hideMark/>
          </w:tcPr>
          <w:p w14:paraId="325D86D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DCE6F1"/>
            <w:noWrap/>
            <w:vAlign w:val="center"/>
            <w:hideMark/>
          </w:tcPr>
          <w:p w14:paraId="490A8C52"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DCE6F1"/>
            <w:noWrap/>
            <w:vAlign w:val="center"/>
            <w:hideMark/>
          </w:tcPr>
          <w:p w14:paraId="34B5F1B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DCE6F1"/>
            <w:noWrap/>
            <w:vAlign w:val="center"/>
            <w:hideMark/>
          </w:tcPr>
          <w:p w14:paraId="4305ED3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DCE6F1"/>
            <w:noWrap/>
            <w:vAlign w:val="center"/>
            <w:hideMark/>
          </w:tcPr>
          <w:p w14:paraId="556A2F9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673" w:type="dxa"/>
            <w:tcBorders>
              <w:top w:val="nil"/>
              <w:left w:val="nil"/>
              <w:bottom w:val="nil"/>
              <w:right w:val="nil"/>
            </w:tcBorders>
            <w:shd w:val="clear" w:color="000000" w:fill="DCE6F1"/>
            <w:noWrap/>
            <w:vAlign w:val="center"/>
            <w:hideMark/>
          </w:tcPr>
          <w:p w14:paraId="65B1BC0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709" w:type="dxa"/>
            <w:tcBorders>
              <w:top w:val="nil"/>
              <w:left w:val="nil"/>
              <w:bottom w:val="nil"/>
              <w:right w:val="nil"/>
            </w:tcBorders>
            <w:shd w:val="clear" w:color="000000" w:fill="DCE6F1"/>
            <w:noWrap/>
            <w:vAlign w:val="center"/>
            <w:hideMark/>
          </w:tcPr>
          <w:p w14:paraId="6E874D8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r>
      <w:tr w:rsidR="000B10A3" w:rsidRPr="000B10A3" w14:paraId="636D2C3B"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5EDD323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38</w:t>
            </w:r>
          </w:p>
        </w:tc>
        <w:tc>
          <w:tcPr>
            <w:tcW w:w="3478" w:type="dxa"/>
            <w:tcBorders>
              <w:top w:val="nil"/>
              <w:left w:val="nil"/>
              <w:bottom w:val="nil"/>
              <w:right w:val="nil"/>
            </w:tcBorders>
            <w:shd w:val="clear" w:color="000000" w:fill="DCE6F1"/>
            <w:vAlign w:val="center"/>
            <w:hideMark/>
          </w:tcPr>
          <w:p w14:paraId="66DD30EA"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Primārā bilance (= mīnus 32)</w:t>
            </w:r>
          </w:p>
        </w:tc>
        <w:tc>
          <w:tcPr>
            <w:tcW w:w="1227" w:type="dxa"/>
            <w:tcBorders>
              <w:top w:val="nil"/>
              <w:left w:val="nil"/>
              <w:bottom w:val="nil"/>
              <w:right w:val="nil"/>
            </w:tcBorders>
            <w:shd w:val="clear" w:color="000000" w:fill="DCE6F1"/>
            <w:vAlign w:val="center"/>
            <w:hideMark/>
          </w:tcPr>
          <w:p w14:paraId="4EAA6A4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7ABC2DD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20384BB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800" w:type="dxa"/>
            <w:tcBorders>
              <w:top w:val="nil"/>
              <w:left w:val="nil"/>
              <w:bottom w:val="nil"/>
              <w:right w:val="nil"/>
            </w:tcBorders>
            <w:shd w:val="clear" w:color="auto" w:fill="auto"/>
            <w:noWrap/>
            <w:vAlign w:val="center"/>
            <w:hideMark/>
          </w:tcPr>
          <w:p w14:paraId="2ABE13A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800" w:type="dxa"/>
            <w:tcBorders>
              <w:top w:val="nil"/>
              <w:left w:val="nil"/>
              <w:bottom w:val="nil"/>
              <w:right w:val="nil"/>
            </w:tcBorders>
            <w:shd w:val="clear" w:color="auto" w:fill="auto"/>
            <w:noWrap/>
            <w:vAlign w:val="center"/>
            <w:hideMark/>
          </w:tcPr>
          <w:p w14:paraId="5905F6B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1,7</w:t>
            </w:r>
          </w:p>
        </w:tc>
        <w:tc>
          <w:tcPr>
            <w:tcW w:w="800" w:type="dxa"/>
            <w:tcBorders>
              <w:top w:val="nil"/>
              <w:left w:val="nil"/>
              <w:bottom w:val="nil"/>
              <w:right w:val="nil"/>
            </w:tcBorders>
            <w:shd w:val="clear" w:color="auto" w:fill="auto"/>
            <w:noWrap/>
            <w:vAlign w:val="center"/>
            <w:hideMark/>
          </w:tcPr>
          <w:p w14:paraId="54D7AC8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673" w:type="dxa"/>
            <w:tcBorders>
              <w:top w:val="nil"/>
              <w:left w:val="nil"/>
              <w:bottom w:val="nil"/>
              <w:right w:val="nil"/>
            </w:tcBorders>
            <w:shd w:val="clear" w:color="auto" w:fill="auto"/>
            <w:noWrap/>
            <w:vAlign w:val="center"/>
            <w:hideMark/>
          </w:tcPr>
          <w:p w14:paraId="7102277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c>
          <w:tcPr>
            <w:tcW w:w="709" w:type="dxa"/>
            <w:tcBorders>
              <w:top w:val="nil"/>
              <w:left w:val="nil"/>
              <w:bottom w:val="nil"/>
              <w:right w:val="nil"/>
            </w:tcBorders>
            <w:shd w:val="clear" w:color="auto" w:fill="auto"/>
            <w:noWrap/>
            <w:vAlign w:val="center"/>
            <w:hideMark/>
          </w:tcPr>
          <w:p w14:paraId="7AB095B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r>
      <w:tr w:rsidR="000B10A3" w:rsidRPr="000B10A3" w14:paraId="50D4A296"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6E46B2A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39</w:t>
            </w:r>
          </w:p>
        </w:tc>
        <w:tc>
          <w:tcPr>
            <w:tcW w:w="3478" w:type="dxa"/>
            <w:tcBorders>
              <w:top w:val="nil"/>
              <w:left w:val="nil"/>
              <w:bottom w:val="nil"/>
              <w:right w:val="nil"/>
            </w:tcBorders>
            <w:shd w:val="clear" w:color="000000" w:fill="DCE6F1"/>
            <w:vAlign w:val="center"/>
            <w:hideMark/>
          </w:tcPr>
          <w:p w14:paraId="29411EC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"Sniega bumbas efekts"</w:t>
            </w:r>
          </w:p>
        </w:tc>
        <w:tc>
          <w:tcPr>
            <w:tcW w:w="1227" w:type="dxa"/>
            <w:tcBorders>
              <w:top w:val="nil"/>
              <w:left w:val="nil"/>
              <w:bottom w:val="nil"/>
              <w:right w:val="nil"/>
            </w:tcBorders>
            <w:shd w:val="clear" w:color="000000" w:fill="DCE6F1"/>
            <w:vAlign w:val="center"/>
            <w:hideMark/>
          </w:tcPr>
          <w:p w14:paraId="42470F1D"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3B1B9C4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2D48553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c>
          <w:tcPr>
            <w:tcW w:w="800" w:type="dxa"/>
            <w:tcBorders>
              <w:top w:val="nil"/>
              <w:left w:val="nil"/>
              <w:bottom w:val="nil"/>
              <w:right w:val="nil"/>
            </w:tcBorders>
            <w:shd w:val="clear" w:color="auto" w:fill="auto"/>
            <w:noWrap/>
            <w:vAlign w:val="center"/>
            <w:hideMark/>
          </w:tcPr>
          <w:p w14:paraId="4AF9387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-0,5</w:t>
            </w:r>
          </w:p>
        </w:tc>
        <w:tc>
          <w:tcPr>
            <w:tcW w:w="800" w:type="dxa"/>
            <w:tcBorders>
              <w:top w:val="nil"/>
              <w:left w:val="nil"/>
              <w:bottom w:val="nil"/>
              <w:right w:val="nil"/>
            </w:tcBorders>
            <w:shd w:val="clear" w:color="auto" w:fill="auto"/>
            <w:noWrap/>
            <w:vAlign w:val="center"/>
            <w:hideMark/>
          </w:tcPr>
          <w:p w14:paraId="55F88DF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800" w:type="dxa"/>
            <w:tcBorders>
              <w:top w:val="nil"/>
              <w:left w:val="nil"/>
              <w:bottom w:val="nil"/>
              <w:right w:val="nil"/>
            </w:tcBorders>
            <w:shd w:val="clear" w:color="auto" w:fill="auto"/>
            <w:noWrap/>
            <w:vAlign w:val="center"/>
            <w:hideMark/>
          </w:tcPr>
          <w:p w14:paraId="3B6A266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-0,5</w:t>
            </w:r>
          </w:p>
        </w:tc>
        <w:tc>
          <w:tcPr>
            <w:tcW w:w="673" w:type="dxa"/>
            <w:tcBorders>
              <w:top w:val="nil"/>
              <w:left w:val="nil"/>
              <w:bottom w:val="nil"/>
              <w:right w:val="nil"/>
            </w:tcBorders>
            <w:shd w:val="clear" w:color="auto" w:fill="auto"/>
            <w:noWrap/>
            <w:vAlign w:val="center"/>
            <w:hideMark/>
          </w:tcPr>
          <w:p w14:paraId="7250EF3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-0,3</w:t>
            </w:r>
          </w:p>
        </w:tc>
        <w:tc>
          <w:tcPr>
            <w:tcW w:w="709" w:type="dxa"/>
            <w:tcBorders>
              <w:top w:val="nil"/>
              <w:left w:val="nil"/>
              <w:bottom w:val="nil"/>
              <w:right w:val="nil"/>
            </w:tcBorders>
            <w:shd w:val="clear" w:color="auto" w:fill="auto"/>
            <w:noWrap/>
            <w:vAlign w:val="center"/>
            <w:hideMark/>
          </w:tcPr>
          <w:p w14:paraId="25F55BE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-0,2</w:t>
            </w:r>
          </w:p>
        </w:tc>
      </w:tr>
      <w:tr w:rsidR="000B10A3" w:rsidRPr="000B10A3" w14:paraId="4607D134"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086E284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40</w:t>
            </w:r>
          </w:p>
        </w:tc>
        <w:tc>
          <w:tcPr>
            <w:tcW w:w="3478" w:type="dxa"/>
            <w:tcBorders>
              <w:top w:val="nil"/>
              <w:left w:val="nil"/>
              <w:bottom w:val="nil"/>
              <w:right w:val="nil"/>
            </w:tcBorders>
            <w:shd w:val="clear" w:color="000000" w:fill="DCE6F1"/>
            <w:vAlign w:val="center"/>
            <w:hideMark/>
          </w:tcPr>
          <w:p w14:paraId="050B6F0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Procentu izdevumi (= 14)</w:t>
            </w:r>
          </w:p>
        </w:tc>
        <w:tc>
          <w:tcPr>
            <w:tcW w:w="1227" w:type="dxa"/>
            <w:tcBorders>
              <w:top w:val="nil"/>
              <w:left w:val="nil"/>
              <w:bottom w:val="nil"/>
              <w:right w:val="nil"/>
            </w:tcBorders>
            <w:shd w:val="clear" w:color="000000" w:fill="DCE6F1"/>
            <w:vAlign w:val="center"/>
            <w:hideMark/>
          </w:tcPr>
          <w:p w14:paraId="22AF2D7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35702AD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2B28303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0,6</w:t>
            </w:r>
          </w:p>
        </w:tc>
        <w:tc>
          <w:tcPr>
            <w:tcW w:w="800" w:type="dxa"/>
            <w:tcBorders>
              <w:top w:val="nil"/>
              <w:left w:val="nil"/>
              <w:bottom w:val="nil"/>
              <w:right w:val="nil"/>
            </w:tcBorders>
            <w:shd w:val="clear" w:color="auto" w:fill="auto"/>
            <w:noWrap/>
            <w:vAlign w:val="center"/>
            <w:hideMark/>
          </w:tcPr>
          <w:p w14:paraId="3FCE1A4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w:t>
            </w:r>
          </w:p>
        </w:tc>
        <w:tc>
          <w:tcPr>
            <w:tcW w:w="800" w:type="dxa"/>
            <w:tcBorders>
              <w:top w:val="nil"/>
              <w:left w:val="nil"/>
              <w:bottom w:val="nil"/>
              <w:right w:val="nil"/>
            </w:tcBorders>
            <w:shd w:val="clear" w:color="auto" w:fill="auto"/>
            <w:noWrap/>
            <w:vAlign w:val="center"/>
            <w:hideMark/>
          </w:tcPr>
          <w:p w14:paraId="60D2D20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800" w:type="dxa"/>
            <w:tcBorders>
              <w:top w:val="nil"/>
              <w:left w:val="nil"/>
              <w:bottom w:val="nil"/>
              <w:right w:val="nil"/>
            </w:tcBorders>
            <w:shd w:val="clear" w:color="auto" w:fill="auto"/>
            <w:noWrap/>
            <w:vAlign w:val="center"/>
            <w:hideMark/>
          </w:tcPr>
          <w:p w14:paraId="12D07E9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673" w:type="dxa"/>
            <w:tcBorders>
              <w:top w:val="nil"/>
              <w:left w:val="nil"/>
              <w:bottom w:val="nil"/>
              <w:right w:val="nil"/>
            </w:tcBorders>
            <w:shd w:val="clear" w:color="auto" w:fill="auto"/>
            <w:noWrap/>
            <w:vAlign w:val="center"/>
            <w:hideMark/>
          </w:tcPr>
          <w:p w14:paraId="6395EA4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1,4</w:t>
            </w:r>
          </w:p>
        </w:tc>
        <w:tc>
          <w:tcPr>
            <w:tcW w:w="709" w:type="dxa"/>
            <w:tcBorders>
              <w:top w:val="nil"/>
              <w:left w:val="nil"/>
              <w:bottom w:val="nil"/>
              <w:right w:val="nil"/>
            </w:tcBorders>
            <w:shd w:val="clear" w:color="auto" w:fill="auto"/>
            <w:noWrap/>
            <w:vAlign w:val="center"/>
            <w:hideMark/>
          </w:tcPr>
          <w:p w14:paraId="0948B9A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1,5</w:t>
            </w:r>
          </w:p>
        </w:tc>
      </w:tr>
      <w:tr w:rsidR="000B10A3" w:rsidRPr="000B10A3" w14:paraId="357A17A3"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34F189F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41</w:t>
            </w:r>
          </w:p>
        </w:tc>
        <w:tc>
          <w:tcPr>
            <w:tcW w:w="3478" w:type="dxa"/>
            <w:tcBorders>
              <w:top w:val="nil"/>
              <w:left w:val="nil"/>
              <w:bottom w:val="nil"/>
              <w:right w:val="nil"/>
            </w:tcBorders>
            <w:shd w:val="clear" w:color="000000" w:fill="DCE6F1"/>
            <w:vAlign w:val="center"/>
            <w:hideMark/>
          </w:tcPr>
          <w:p w14:paraId="3145920E" w14:textId="66F9998B" w:rsidR="000B10A3" w:rsidRPr="000B10A3" w:rsidRDefault="003A7948" w:rsidP="000B10A3">
            <w:pPr>
              <w:spacing w:after="0" w:line="240" w:lineRule="auto"/>
              <w:ind w:firstLine="0"/>
              <w:jc w:val="left"/>
              <w:rPr>
                <w:rFonts w:eastAsia="Times New Roman" w:cs="Times New Roman"/>
                <w:color w:val="000000"/>
                <w:sz w:val="18"/>
                <w:szCs w:val="18"/>
                <w:lang w:eastAsia="lv-LV"/>
              </w:rPr>
            </w:pPr>
            <w:r>
              <w:rPr>
                <w:rFonts w:eastAsia="Times New Roman" w:cs="Times New Roman"/>
                <w:sz w:val="18"/>
                <w:szCs w:val="18"/>
                <w:lang w:eastAsia="lv-LV"/>
              </w:rPr>
              <w:t>Izaugsme</w:t>
            </w:r>
          </w:p>
        </w:tc>
        <w:tc>
          <w:tcPr>
            <w:tcW w:w="1227" w:type="dxa"/>
            <w:tcBorders>
              <w:top w:val="nil"/>
              <w:left w:val="nil"/>
              <w:bottom w:val="nil"/>
              <w:right w:val="nil"/>
            </w:tcBorders>
            <w:shd w:val="clear" w:color="000000" w:fill="DCE6F1"/>
            <w:vAlign w:val="center"/>
            <w:hideMark/>
          </w:tcPr>
          <w:p w14:paraId="55010311"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22DF972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76B706F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0,1</w:t>
            </w:r>
          </w:p>
        </w:tc>
        <w:tc>
          <w:tcPr>
            <w:tcW w:w="800" w:type="dxa"/>
            <w:tcBorders>
              <w:top w:val="nil"/>
              <w:left w:val="nil"/>
              <w:bottom w:val="nil"/>
              <w:right w:val="nil"/>
            </w:tcBorders>
            <w:shd w:val="clear" w:color="auto" w:fill="auto"/>
            <w:noWrap/>
            <w:vAlign w:val="center"/>
            <w:hideMark/>
          </w:tcPr>
          <w:p w14:paraId="669404D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-0,6</w:t>
            </w:r>
          </w:p>
        </w:tc>
        <w:tc>
          <w:tcPr>
            <w:tcW w:w="800" w:type="dxa"/>
            <w:tcBorders>
              <w:top w:val="nil"/>
              <w:left w:val="nil"/>
              <w:bottom w:val="nil"/>
              <w:right w:val="nil"/>
            </w:tcBorders>
            <w:shd w:val="clear" w:color="auto" w:fill="auto"/>
            <w:noWrap/>
            <w:vAlign w:val="center"/>
            <w:hideMark/>
          </w:tcPr>
          <w:p w14:paraId="578B2398"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800" w:type="dxa"/>
            <w:tcBorders>
              <w:top w:val="nil"/>
              <w:left w:val="nil"/>
              <w:bottom w:val="nil"/>
              <w:right w:val="nil"/>
            </w:tcBorders>
            <w:shd w:val="clear" w:color="auto" w:fill="auto"/>
            <w:noWrap/>
            <w:vAlign w:val="center"/>
            <w:hideMark/>
          </w:tcPr>
          <w:p w14:paraId="0FE1567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-0,7</w:t>
            </w:r>
          </w:p>
        </w:tc>
        <w:tc>
          <w:tcPr>
            <w:tcW w:w="673" w:type="dxa"/>
            <w:tcBorders>
              <w:top w:val="nil"/>
              <w:left w:val="nil"/>
              <w:bottom w:val="nil"/>
              <w:right w:val="nil"/>
            </w:tcBorders>
            <w:shd w:val="clear" w:color="auto" w:fill="auto"/>
            <w:noWrap/>
            <w:vAlign w:val="center"/>
            <w:hideMark/>
          </w:tcPr>
          <w:p w14:paraId="52BFABD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-0,5</w:t>
            </w:r>
          </w:p>
        </w:tc>
        <w:tc>
          <w:tcPr>
            <w:tcW w:w="709" w:type="dxa"/>
            <w:tcBorders>
              <w:top w:val="nil"/>
              <w:left w:val="nil"/>
              <w:bottom w:val="nil"/>
              <w:right w:val="nil"/>
            </w:tcBorders>
            <w:shd w:val="clear" w:color="auto" w:fill="auto"/>
            <w:noWrap/>
            <w:vAlign w:val="center"/>
            <w:hideMark/>
          </w:tcPr>
          <w:p w14:paraId="1E3013F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-0,5</w:t>
            </w:r>
          </w:p>
        </w:tc>
      </w:tr>
      <w:tr w:rsidR="000B10A3" w:rsidRPr="000B10A3" w14:paraId="022A4698"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27E99132"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42</w:t>
            </w:r>
          </w:p>
        </w:tc>
        <w:tc>
          <w:tcPr>
            <w:tcW w:w="3478" w:type="dxa"/>
            <w:tcBorders>
              <w:top w:val="nil"/>
              <w:left w:val="nil"/>
              <w:bottom w:val="nil"/>
              <w:right w:val="nil"/>
            </w:tcBorders>
            <w:shd w:val="clear" w:color="000000" w:fill="DCE6F1"/>
            <w:vAlign w:val="center"/>
            <w:hideMark/>
          </w:tcPr>
          <w:p w14:paraId="467401DB"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Inflācija</w:t>
            </w:r>
          </w:p>
        </w:tc>
        <w:tc>
          <w:tcPr>
            <w:tcW w:w="1227" w:type="dxa"/>
            <w:tcBorders>
              <w:top w:val="nil"/>
              <w:left w:val="nil"/>
              <w:bottom w:val="nil"/>
              <w:right w:val="nil"/>
            </w:tcBorders>
            <w:shd w:val="clear" w:color="000000" w:fill="DCE6F1"/>
            <w:vAlign w:val="center"/>
            <w:hideMark/>
          </w:tcPr>
          <w:p w14:paraId="6B780E77"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77CFD84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7BA7F42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-2,1</w:t>
            </w:r>
          </w:p>
        </w:tc>
        <w:tc>
          <w:tcPr>
            <w:tcW w:w="800" w:type="dxa"/>
            <w:tcBorders>
              <w:top w:val="nil"/>
              <w:left w:val="nil"/>
              <w:bottom w:val="nil"/>
              <w:right w:val="nil"/>
            </w:tcBorders>
            <w:shd w:val="clear" w:color="auto" w:fill="auto"/>
            <w:noWrap/>
            <w:vAlign w:val="center"/>
            <w:hideMark/>
          </w:tcPr>
          <w:p w14:paraId="754F55F6"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-1,0</w:t>
            </w:r>
          </w:p>
        </w:tc>
        <w:tc>
          <w:tcPr>
            <w:tcW w:w="800" w:type="dxa"/>
            <w:tcBorders>
              <w:top w:val="nil"/>
              <w:left w:val="nil"/>
              <w:bottom w:val="nil"/>
              <w:right w:val="nil"/>
            </w:tcBorders>
            <w:shd w:val="clear" w:color="auto" w:fill="auto"/>
            <w:noWrap/>
            <w:vAlign w:val="center"/>
            <w:hideMark/>
          </w:tcPr>
          <w:p w14:paraId="7FA1A2B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w:t>
            </w:r>
          </w:p>
        </w:tc>
        <w:tc>
          <w:tcPr>
            <w:tcW w:w="800" w:type="dxa"/>
            <w:tcBorders>
              <w:top w:val="nil"/>
              <w:left w:val="nil"/>
              <w:bottom w:val="nil"/>
              <w:right w:val="nil"/>
            </w:tcBorders>
            <w:shd w:val="clear" w:color="auto" w:fill="auto"/>
            <w:noWrap/>
            <w:vAlign w:val="center"/>
            <w:hideMark/>
          </w:tcPr>
          <w:p w14:paraId="76EB68E4"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-1,1</w:t>
            </w:r>
          </w:p>
        </w:tc>
        <w:tc>
          <w:tcPr>
            <w:tcW w:w="673" w:type="dxa"/>
            <w:tcBorders>
              <w:top w:val="nil"/>
              <w:left w:val="nil"/>
              <w:bottom w:val="nil"/>
              <w:right w:val="nil"/>
            </w:tcBorders>
            <w:shd w:val="clear" w:color="auto" w:fill="auto"/>
            <w:noWrap/>
            <w:vAlign w:val="center"/>
            <w:hideMark/>
          </w:tcPr>
          <w:p w14:paraId="4023F82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c>
          <w:tcPr>
            <w:tcW w:w="709" w:type="dxa"/>
            <w:tcBorders>
              <w:top w:val="nil"/>
              <w:left w:val="nil"/>
              <w:bottom w:val="nil"/>
              <w:right w:val="nil"/>
            </w:tcBorders>
            <w:shd w:val="clear" w:color="auto" w:fill="auto"/>
            <w:noWrap/>
            <w:vAlign w:val="center"/>
            <w:hideMark/>
          </w:tcPr>
          <w:p w14:paraId="3EF2C2D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-1,2</w:t>
            </w:r>
          </w:p>
        </w:tc>
      </w:tr>
      <w:tr w:rsidR="000B10A3" w:rsidRPr="000B10A3" w14:paraId="5DC07893"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2AE2F27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43</w:t>
            </w:r>
          </w:p>
        </w:tc>
        <w:tc>
          <w:tcPr>
            <w:tcW w:w="3478" w:type="dxa"/>
            <w:tcBorders>
              <w:top w:val="nil"/>
              <w:left w:val="nil"/>
              <w:bottom w:val="nil"/>
              <w:right w:val="nil"/>
            </w:tcBorders>
            <w:shd w:val="clear" w:color="000000" w:fill="DCE6F1"/>
            <w:vAlign w:val="center"/>
            <w:hideMark/>
          </w:tcPr>
          <w:p w14:paraId="5F7B758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sz w:val="18"/>
                <w:szCs w:val="18"/>
                <w:lang w:eastAsia="lv-LV"/>
              </w:rPr>
              <w:t>Atlikumu un plūsmu korekcija (=36-38--39)</w:t>
            </w:r>
          </w:p>
        </w:tc>
        <w:tc>
          <w:tcPr>
            <w:tcW w:w="1227" w:type="dxa"/>
            <w:tcBorders>
              <w:top w:val="nil"/>
              <w:left w:val="nil"/>
              <w:bottom w:val="nil"/>
              <w:right w:val="nil"/>
            </w:tcBorders>
            <w:shd w:val="clear" w:color="000000" w:fill="DCE6F1"/>
            <w:vAlign w:val="center"/>
            <w:hideMark/>
          </w:tcPr>
          <w:p w14:paraId="1E58876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455009BC"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2A92406C"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800" w:type="dxa"/>
            <w:tcBorders>
              <w:top w:val="nil"/>
              <w:left w:val="nil"/>
              <w:bottom w:val="nil"/>
              <w:right w:val="nil"/>
            </w:tcBorders>
            <w:shd w:val="clear" w:color="auto" w:fill="auto"/>
            <w:noWrap/>
            <w:vAlign w:val="center"/>
            <w:hideMark/>
          </w:tcPr>
          <w:p w14:paraId="47BE41E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1,3</w:t>
            </w:r>
          </w:p>
        </w:tc>
        <w:tc>
          <w:tcPr>
            <w:tcW w:w="800" w:type="dxa"/>
            <w:tcBorders>
              <w:top w:val="nil"/>
              <w:left w:val="nil"/>
              <w:bottom w:val="nil"/>
              <w:right w:val="nil"/>
            </w:tcBorders>
            <w:shd w:val="clear" w:color="auto" w:fill="auto"/>
            <w:noWrap/>
            <w:vAlign w:val="center"/>
            <w:hideMark/>
          </w:tcPr>
          <w:p w14:paraId="68F23BF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1,0</w:t>
            </w:r>
          </w:p>
        </w:tc>
        <w:tc>
          <w:tcPr>
            <w:tcW w:w="800" w:type="dxa"/>
            <w:tcBorders>
              <w:top w:val="nil"/>
              <w:left w:val="nil"/>
              <w:bottom w:val="nil"/>
              <w:right w:val="nil"/>
            </w:tcBorders>
            <w:shd w:val="clear" w:color="auto" w:fill="auto"/>
            <w:noWrap/>
            <w:vAlign w:val="center"/>
            <w:hideMark/>
          </w:tcPr>
          <w:p w14:paraId="2FF43E4A"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673" w:type="dxa"/>
            <w:tcBorders>
              <w:top w:val="nil"/>
              <w:left w:val="nil"/>
              <w:bottom w:val="nil"/>
              <w:right w:val="nil"/>
            </w:tcBorders>
            <w:shd w:val="clear" w:color="auto" w:fill="auto"/>
            <w:noWrap/>
            <w:vAlign w:val="center"/>
            <w:hideMark/>
          </w:tcPr>
          <w:p w14:paraId="48066D81"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c>
          <w:tcPr>
            <w:tcW w:w="709" w:type="dxa"/>
            <w:tcBorders>
              <w:top w:val="nil"/>
              <w:left w:val="nil"/>
              <w:bottom w:val="nil"/>
              <w:right w:val="nil"/>
            </w:tcBorders>
            <w:shd w:val="clear" w:color="auto" w:fill="auto"/>
            <w:noWrap/>
            <w:vAlign w:val="center"/>
            <w:hideMark/>
          </w:tcPr>
          <w:p w14:paraId="39A3D8C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0,0</w:t>
            </w:r>
          </w:p>
        </w:tc>
      </w:tr>
      <w:tr w:rsidR="000B10A3" w:rsidRPr="000B10A3" w14:paraId="142171BC" w14:textId="77777777" w:rsidTr="000B10A3">
        <w:trPr>
          <w:trHeight w:val="315"/>
          <w:jc w:val="center"/>
        </w:trPr>
        <w:tc>
          <w:tcPr>
            <w:tcW w:w="540" w:type="dxa"/>
            <w:tcBorders>
              <w:top w:val="nil"/>
              <w:left w:val="nil"/>
              <w:bottom w:val="nil"/>
              <w:right w:val="nil"/>
            </w:tcBorders>
            <w:shd w:val="clear" w:color="000000" w:fill="BDD6EE"/>
            <w:noWrap/>
            <w:vAlign w:val="center"/>
            <w:hideMark/>
          </w:tcPr>
          <w:p w14:paraId="3BDE8C46"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3478" w:type="dxa"/>
            <w:tcBorders>
              <w:top w:val="nil"/>
              <w:left w:val="nil"/>
              <w:bottom w:val="nil"/>
              <w:right w:val="nil"/>
            </w:tcBorders>
            <w:shd w:val="clear" w:color="000000" w:fill="95B3D7"/>
            <w:vAlign w:val="center"/>
            <w:hideMark/>
          </w:tcPr>
          <w:p w14:paraId="63B83058"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227" w:type="dxa"/>
            <w:tcBorders>
              <w:top w:val="nil"/>
              <w:left w:val="nil"/>
              <w:bottom w:val="nil"/>
              <w:right w:val="nil"/>
            </w:tcBorders>
            <w:shd w:val="clear" w:color="000000" w:fill="95B3D7"/>
            <w:vAlign w:val="center"/>
            <w:hideMark/>
          </w:tcPr>
          <w:p w14:paraId="2C2394C9"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95B3D7"/>
            <w:noWrap/>
            <w:vAlign w:val="center"/>
            <w:hideMark/>
          </w:tcPr>
          <w:p w14:paraId="6C0F9D50"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000000" w:fill="95B3D7"/>
            <w:noWrap/>
            <w:vAlign w:val="center"/>
            <w:hideMark/>
          </w:tcPr>
          <w:p w14:paraId="2E12EC0B"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w:t>
            </w:r>
          </w:p>
        </w:tc>
        <w:tc>
          <w:tcPr>
            <w:tcW w:w="800" w:type="dxa"/>
            <w:tcBorders>
              <w:top w:val="nil"/>
              <w:left w:val="nil"/>
              <w:bottom w:val="nil"/>
              <w:right w:val="nil"/>
            </w:tcBorders>
            <w:shd w:val="clear" w:color="000000" w:fill="95B3D7"/>
            <w:noWrap/>
            <w:vAlign w:val="center"/>
            <w:hideMark/>
          </w:tcPr>
          <w:p w14:paraId="26F61DB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w:t>
            </w:r>
          </w:p>
        </w:tc>
        <w:tc>
          <w:tcPr>
            <w:tcW w:w="800" w:type="dxa"/>
            <w:tcBorders>
              <w:top w:val="nil"/>
              <w:left w:val="nil"/>
              <w:bottom w:val="nil"/>
              <w:right w:val="nil"/>
            </w:tcBorders>
            <w:shd w:val="clear" w:color="000000" w:fill="95B3D7"/>
            <w:noWrap/>
            <w:vAlign w:val="center"/>
            <w:hideMark/>
          </w:tcPr>
          <w:p w14:paraId="4ADEC667"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w:t>
            </w:r>
          </w:p>
        </w:tc>
        <w:tc>
          <w:tcPr>
            <w:tcW w:w="800" w:type="dxa"/>
            <w:tcBorders>
              <w:top w:val="nil"/>
              <w:left w:val="nil"/>
              <w:bottom w:val="nil"/>
              <w:right w:val="nil"/>
            </w:tcBorders>
            <w:shd w:val="clear" w:color="000000" w:fill="95B3D7"/>
            <w:noWrap/>
            <w:vAlign w:val="center"/>
            <w:hideMark/>
          </w:tcPr>
          <w:p w14:paraId="5F6E3DD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w:t>
            </w:r>
          </w:p>
        </w:tc>
        <w:tc>
          <w:tcPr>
            <w:tcW w:w="673" w:type="dxa"/>
            <w:tcBorders>
              <w:top w:val="nil"/>
              <w:left w:val="nil"/>
              <w:bottom w:val="nil"/>
              <w:right w:val="nil"/>
            </w:tcBorders>
            <w:shd w:val="clear" w:color="000000" w:fill="95B3D7"/>
            <w:noWrap/>
            <w:vAlign w:val="center"/>
            <w:hideMark/>
          </w:tcPr>
          <w:p w14:paraId="2347A54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w:t>
            </w:r>
          </w:p>
        </w:tc>
        <w:tc>
          <w:tcPr>
            <w:tcW w:w="709" w:type="dxa"/>
            <w:tcBorders>
              <w:top w:val="nil"/>
              <w:left w:val="nil"/>
              <w:bottom w:val="nil"/>
              <w:right w:val="nil"/>
            </w:tcBorders>
            <w:shd w:val="clear" w:color="000000" w:fill="95B3D7"/>
            <w:noWrap/>
            <w:vAlign w:val="center"/>
            <w:hideMark/>
          </w:tcPr>
          <w:p w14:paraId="0E9C101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w:t>
            </w:r>
          </w:p>
        </w:tc>
      </w:tr>
      <w:tr w:rsidR="000B10A3" w:rsidRPr="000B10A3" w14:paraId="107F17CC" w14:textId="77777777" w:rsidTr="000B10A3">
        <w:trPr>
          <w:trHeight w:val="510"/>
          <w:jc w:val="center"/>
        </w:trPr>
        <w:tc>
          <w:tcPr>
            <w:tcW w:w="540" w:type="dxa"/>
            <w:tcBorders>
              <w:top w:val="nil"/>
              <w:left w:val="nil"/>
              <w:bottom w:val="nil"/>
              <w:right w:val="nil"/>
            </w:tcBorders>
            <w:shd w:val="clear" w:color="000000" w:fill="BDD6EE"/>
            <w:noWrap/>
            <w:vAlign w:val="center"/>
            <w:hideMark/>
          </w:tcPr>
          <w:p w14:paraId="6215020D"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44</w:t>
            </w:r>
          </w:p>
        </w:tc>
        <w:tc>
          <w:tcPr>
            <w:tcW w:w="3478" w:type="dxa"/>
            <w:tcBorders>
              <w:top w:val="nil"/>
              <w:left w:val="nil"/>
              <w:bottom w:val="nil"/>
              <w:right w:val="nil"/>
            </w:tcBorders>
            <w:shd w:val="clear" w:color="000000" w:fill="DCE6F1"/>
            <w:vAlign w:val="center"/>
            <w:hideMark/>
          </w:tcPr>
          <w:p w14:paraId="5AFC94DF"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proofErr w:type="spellStart"/>
            <w:r w:rsidRPr="000B10A3">
              <w:rPr>
                <w:rFonts w:eastAsia="Times New Roman" w:cs="Times New Roman"/>
                <w:sz w:val="18"/>
                <w:szCs w:val="18"/>
                <w:lang w:eastAsia="lv-LV"/>
              </w:rPr>
              <w:t>p.m</w:t>
            </w:r>
            <w:proofErr w:type="spellEnd"/>
            <w:r w:rsidRPr="000B10A3">
              <w:rPr>
                <w:rFonts w:eastAsia="Times New Roman" w:cs="Times New Roman"/>
                <w:sz w:val="18"/>
                <w:szCs w:val="18"/>
                <w:lang w:eastAsia="lv-LV"/>
              </w:rPr>
              <w:t>.: Atvasinātā procentu likme parādam (=14/DEBT(t-1))</w:t>
            </w:r>
          </w:p>
        </w:tc>
        <w:tc>
          <w:tcPr>
            <w:tcW w:w="1227" w:type="dxa"/>
            <w:tcBorders>
              <w:top w:val="nil"/>
              <w:left w:val="nil"/>
              <w:bottom w:val="nil"/>
              <w:right w:val="nil"/>
            </w:tcBorders>
            <w:shd w:val="clear" w:color="000000" w:fill="DCE6F1"/>
            <w:vAlign w:val="center"/>
            <w:hideMark/>
          </w:tcPr>
          <w:p w14:paraId="26E81B49"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1088" w:type="dxa"/>
            <w:tcBorders>
              <w:top w:val="nil"/>
              <w:left w:val="nil"/>
              <w:bottom w:val="nil"/>
              <w:right w:val="nil"/>
            </w:tcBorders>
            <w:shd w:val="clear" w:color="000000" w:fill="F2F2F2"/>
            <w:noWrap/>
            <w:vAlign w:val="center"/>
            <w:hideMark/>
          </w:tcPr>
          <w:p w14:paraId="316B850E" w14:textId="77777777" w:rsidR="000B10A3" w:rsidRPr="000B10A3" w:rsidRDefault="000B10A3" w:rsidP="000B10A3">
            <w:pPr>
              <w:spacing w:after="0" w:line="240" w:lineRule="auto"/>
              <w:ind w:firstLine="0"/>
              <w:jc w:val="left"/>
              <w:rPr>
                <w:rFonts w:eastAsia="Times New Roman" w:cs="Times New Roman"/>
                <w:color w:val="000000"/>
                <w:sz w:val="18"/>
                <w:szCs w:val="18"/>
                <w:lang w:eastAsia="lv-LV"/>
              </w:rPr>
            </w:pPr>
            <w:r w:rsidRPr="000B10A3">
              <w:rPr>
                <w:rFonts w:eastAsia="Times New Roman" w:cs="Times New Roman"/>
                <w:color w:val="000000"/>
                <w:sz w:val="18"/>
                <w:szCs w:val="18"/>
                <w:lang w:eastAsia="lv-LV"/>
              </w:rPr>
              <w:t> </w:t>
            </w:r>
          </w:p>
        </w:tc>
        <w:tc>
          <w:tcPr>
            <w:tcW w:w="800" w:type="dxa"/>
            <w:tcBorders>
              <w:top w:val="nil"/>
              <w:left w:val="nil"/>
              <w:bottom w:val="nil"/>
              <w:right w:val="nil"/>
            </w:tcBorders>
            <w:shd w:val="clear" w:color="auto" w:fill="auto"/>
            <w:noWrap/>
            <w:vAlign w:val="center"/>
            <w:hideMark/>
          </w:tcPr>
          <w:p w14:paraId="04DC3325"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1,6</w:t>
            </w:r>
          </w:p>
        </w:tc>
        <w:tc>
          <w:tcPr>
            <w:tcW w:w="800" w:type="dxa"/>
            <w:tcBorders>
              <w:top w:val="nil"/>
              <w:left w:val="nil"/>
              <w:bottom w:val="nil"/>
              <w:right w:val="nil"/>
            </w:tcBorders>
            <w:shd w:val="clear" w:color="auto" w:fill="auto"/>
            <w:noWrap/>
            <w:vAlign w:val="center"/>
            <w:hideMark/>
          </w:tcPr>
          <w:p w14:paraId="0EA2C9BE"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2,6</w:t>
            </w:r>
          </w:p>
        </w:tc>
        <w:tc>
          <w:tcPr>
            <w:tcW w:w="800" w:type="dxa"/>
            <w:tcBorders>
              <w:top w:val="nil"/>
              <w:left w:val="nil"/>
              <w:bottom w:val="nil"/>
              <w:right w:val="nil"/>
            </w:tcBorders>
            <w:shd w:val="clear" w:color="auto" w:fill="auto"/>
            <w:noWrap/>
            <w:vAlign w:val="center"/>
            <w:hideMark/>
          </w:tcPr>
          <w:p w14:paraId="16223373"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2,7</w:t>
            </w:r>
          </w:p>
        </w:tc>
        <w:tc>
          <w:tcPr>
            <w:tcW w:w="800" w:type="dxa"/>
            <w:tcBorders>
              <w:top w:val="nil"/>
              <w:left w:val="nil"/>
              <w:bottom w:val="nil"/>
              <w:right w:val="nil"/>
            </w:tcBorders>
            <w:shd w:val="clear" w:color="auto" w:fill="auto"/>
            <w:noWrap/>
            <w:vAlign w:val="center"/>
            <w:hideMark/>
          </w:tcPr>
          <w:p w14:paraId="391C89CF"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2,9</w:t>
            </w:r>
          </w:p>
        </w:tc>
        <w:tc>
          <w:tcPr>
            <w:tcW w:w="673" w:type="dxa"/>
            <w:tcBorders>
              <w:top w:val="nil"/>
              <w:left w:val="nil"/>
              <w:bottom w:val="nil"/>
              <w:right w:val="nil"/>
            </w:tcBorders>
            <w:shd w:val="clear" w:color="auto" w:fill="auto"/>
            <w:noWrap/>
            <w:vAlign w:val="center"/>
            <w:hideMark/>
          </w:tcPr>
          <w:p w14:paraId="16DFAB89"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3,0</w:t>
            </w:r>
          </w:p>
        </w:tc>
        <w:tc>
          <w:tcPr>
            <w:tcW w:w="709" w:type="dxa"/>
            <w:tcBorders>
              <w:top w:val="nil"/>
              <w:left w:val="nil"/>
              <w:bottom w:val="nil"/>
              <w:right w:val="nil"/>
            </w:tcBorders>
            <w:shd w:val="clear" w:color="auto" w:fill="auto"/>
            <w:noWrap/>
            <w:vAlign w:val="center"/>
            <w:hideMark/>
          </w:tcPr>
          <w:p w14:paraId="1DC45860" w14:textId="77777777" w:rsidR="000B10A3" w:rsidRPr="000B10A3" w:rsidRDefault="000B10A3" w:rsidP="000B10A3">
            <w:pPr>
              <w:spacing w:after="0" w:line="240" w:lineRule="auto"/>
              <w:ind w:firstLine="0"/>
              <w:jc w:val="center"/>
              <w:rPr>
                <w:rFonts w:eastAsia="Times New Roman" w:cs="Times New Roman"/>
                <w:color w:val="000000"/>
                <w:sz w:val="18"/>
                <w:szCs w:val="18"/>
                <w:lang w:eastAsia="lv-LV"/>
              </w:rPr>
            </w:pPr>
            <w:r w:rsidRPr="000B10A3">
              <w:rPr>
                <w:rFonts w:eastAsia="Times New Roman" w:cs="Times New Roman"/>
                <w:color w:val="000000"/>
                <w:sz w:val="18"/>
                <w:szCs w:val="18"/>
                <w:lang w:eastAsia="lv-LV"/>
              </w:rPr>
              <w:t>3,1</w:t>
            </w:r>
          </w:p>
        </w:tc>
      </w:tr>
    </w:tbl>
    <w:p w14:paraId="51D28DBB" w14:textId="77777777" w:rsidR="008E63A3" w:rsidRDefault="008E63A3" w:rsidP="008E63A3">
      <w:pPr>
        <w:spacing w:line="240" w:lineRule="auto"/>
        <w:ind w:firstLine="0"/>
        <w:rPr>
          <w:rFonts w:cs="Times New Roman"/>
          <w:b/>
          <w:bCs/>
          <w:lang w:eastAsia="lv-LV"/>
        </w:rPr>
      </w:pPr>
    </w:p>
    <w:p w14:paraId="70F10C4A" w14:textId="77777777" w:rsidR="008E63A3" w:rsidRPr="00AB1ADE" w:rsidRDefault="008E63A3" w:rsidP="008403D0">
      <w:pPr>
        <w:spacing w:after="0" w:line="240" w:lineRule="auto"/>
        <w:jc w:val="right"/>
        <w:rPr>
          <w:rFonts w:cs="Times New Roman"/>
          <w:b/>
          <w:bCs/>
          <w:lang w:eastAsia="lv-LV"/>
        </w:rPr>
      </w:pPr>
    </w:p>
    <w:p w14:paraId="58A8260D" w14:textId="0BFB2F74" w:rsidR="004965BC" w:rsidRDefault="004965BC" w:rsidP="006357B3">
      <w:pPr>
        <w:spacing w:line="240" w:lineRule="auto"/>
        <w:jc w:val="right"/>
        <w:rPr>
          <w:noProof/>
        </w:rPr>
      </w:pPr>
      <w:r w:rsidRPr="00AB1ADE">
        <w:rPr>
          <w:rFonts w:cs="Times New Roman"/>
          <w:b/>
          <w:bCs/>
          <w:lang w:eastAsia="lv-LV"/>
        </w:rPr>
        <w:t>7.a tabula. Parāda un nominālās bilances prognozes un būtiskie pamatā esošie pieņēmumi (saskaņā ar plānoto fiskālo virzību)</w:t>
      </w:r>
      <w:r w:rsidR="00C33FA0" w:rsidRPr="00C33FA0">
        <w:rPr>
          <w:noProof/>
        </w:rPr>
        <w:t xml:space="preserve"> </w:t>
      </w:r>
    </w:p>
    <w:tbl>
      <w:tblPr>
        <w:tblW w:w="10440" w:type="dxa"/>
        <w:jc w:val="center"/>
        <w:tblLook w:val="04A0" w:firstRow="1" w:lastRow="0" w:firstColumn="1" w:lastColumn="0" w:noHBand="0" w:noVBand="1"/>
      </w:tblPr>
      <w:tblGrid>
        <w:gridCol w:w="460"/>
        <w:gridCol w:w="1540"/>
        <w:gridCol w:w="1080"/>
        <w:gridCol w:w="920"/>
        <w:gridCol w:w="920"/>
        <w:gridCol w:w="920"/>
        <w:gridCol w:w="920"/>
        <w:gridCol w:w="920"/>
        <w:gridCol w:w="920"/>
        <w:gridCol w:w="920"/>
        <w:gridCol w:w="920"/>
      </w:tblGrid>
      <w:tr w:rsidR="00EA75C8" w:rsidRPr="00EA75C8" w14:paraId="5A929CE6" w14:textId="77777777" w:rsidTr="008403D0">
        <w:trPr>
          <w:trHeight w:val="315"/>
          <w:tblHeader/>
          <w:jc w:val="center"/>
        </w:trPr>
        <w:tc>
          <w:tcPr>
            <w:tcW w:w="460" w:type="dxa"/>
            <w:tcBorders>
              <w:top w:val="nil"/>
              <w:left w:val="nil"/>
              <w:bottom w:val="nil"/>
              <w:right w:val="nil"/>
            </w:tcBorders>
            <w:shd w:val="clear" w:color="auto" w:fill="BDD6EE"/>
            <w:noWrap/>
            <w:vAlign w:val="center"/>
            <w:hideMark/>
          </w:tcPr>
          <w:p w14:paraId="4546262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 </w:t>
            </w:r>
          </w:p>
        </w:tc>
        <w:tc>
          <w:tcPr>
            <w:tcW w:w="1540" w:type="dxa"/>
            <w:tcBorders>
              <w:top w:val="nil"/>
              <w:left w:val="nil"/>
              <w:bottom w:val="nil"/>
              <w:right w:val="nil"/>
            </w:tcBorders>
            <w:shd w:val="clear" w:color="auto" w:fill="BDD6EE"/>
            <w:noWrap/>
            <w:vAlign w:val="center"/>
            <w:hideMark/>
          </w:tcPr>
          <w:p w14:paraId="2F33466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 </w:t>
            </w:r>
          </w:p>
        </w:tc>
        <w:tc>
          <w:tcPr>
            <w:tcW w:w="1080" w:type="dxa"/>
            <w:tcBorders>
              <w:top w:val="nil"/>
              <w:left w:val="nil"/>
              <w:bottom w:val="nil"/>
              <w:right w:val="nil"/>
            </w:tcBorders>
            <w:shd w:val="clear" w:color="auto" w:fill="BDD6EE"/>
            <w:vAlign w:val="center"/>
            <w:hideMark/>
          </w:tcPr>
          <w:p w14:paraId="5D2147F1" w14:textId="77777777" w:rsidR="00EA75C8" w:rsidRPr="00EA75C8" w:rsidRDefault="00EA75C8" w:rsidP="006357B3">
            <w:pPr>
              <w:spacing w:after="0" w:line="240" w:lineRule="auto"/>
              <w:ind w:firstLine="0"/>
              <w:jc w:val="center"/>
              <w:rPr>
                <w:rFonts w:eastAsia="Times New Roman" w:cs="Times New Roman"/>
                <w:color w:val="FFFFFF"/>
                <w:sz w:val="18"/>
                <w:szCs w:val="18"/>
                <w:lang w:eastAsia="lv-LV"/>
              </w:rPr>
            </w:pPr>
            <w:r w:rsidRPr="00EA75C8">
              <w:rPr>
                <w:rFonts w:eastAsia="Times New Roman" w:cs="Times New Roman"/>
                <w:color w:val="FFFFFF"/>
                <w:sz w:val="18"/>
                <w:szCs w:val="18"/>
                <w:lang w:eastAsia="lv-LV"/>
              </w:rPr>
              <w:t> </w:t>
            </w:r>
          </w:p>
        </w:tc>
        <w:tc>
          <w:tcPr>
            <w:tcW w:w="920" w:type="dxa"/>
            <w:tcBorders>
              <w:top w:val="nil"/>
              <w:left w:val="nil"/>
              <w:bottom w:val="nil"/>
              <w:right w:val="nil"/>
            </w:tcBorders>
            <w:shd w:val="clear" w:color="auto" w:fill="BDD6EE"/>
            <w:noWrap/>
            <w:vAlign w:val="center"/>
            <w:hideMark/>
          </w:tcPr>
          <w:p w14:paraId="60D1D6EB"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2023</w:t>
            </w:r>
          </w:p>
        </w:tc>
        <w:tc>
          <w:tcPr>
            <w:tcW w:w="920" w:type="dxa"/>
            <w:tcBorders>
              <w:top w:val="nil"/>
              <w:left w:val="nil"/>
              <w:bottom w:val="nil"/>
              <w:right w:val="nil"/>
            </w:tcBorders>
            <w:shd w:val="clear" w:color="auto" w:fill="BDD6EE"/>
            <w:noWrap/>
            <w:vAlign w:val="center"/>
            <w:hideMark/>
          </w:tcPr>
          <w:p w14:paraId="6D2EE490"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2024</w:t>
            </w:r>
          </w:p>
        </w:tc>
        <w:tc>
          <w:tcPr>
            <w:tcW w:w="920" w:type="dxa"/>
            <w:tcBorders>
              <w:top w:val="nil"/>
              <w:left w:val="nil"/>
              <w:bottom w:val="nil"/>
              <w:right w:val="nil"/>
            </w:tcBorders>
            <w:shd w:val="clear" w:color="auto" w:fill="BDD6EE"/>
            <w:noWrap/>
            <w:vAlign w:val="center"/>
            <w:hideMark/>
          </w:tcPr>
          <w:p w14:paraId="3B03576F"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2025</w:t>
            </w:r>
          </w:p>
        </w:tc>
        <w:tc>
          <w:tcPr>
            <w:tcW w:w="920" w:type="dxa"/>
            <w:tcBorders>
              <w:top w:val="nil"/>
              <w:left w:val="nil"/>
              <w:bottom w:val="nil"/>
              <w:right w:val="nil"/>
            </w:tcBorders>
            <w:shd w:val="clear" w:color="auto" w:fill="BDD6EE"/>
            <w:noWrap/>
            <w:vAlign w:val="center"/>
            <w:hideMark/>
          </w:tcPr>
          <w:p w14:paraId="0A3DFF31"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2026</w:t>
            </w:r>
          </w:p>
        </w:tc>
        <w:tc>
          <w:tcPr>
            <w:tcW w:w="920" w:type="dxa"/>
            <w:tcBorders>
              <w:top w:val="nil"/>
              <w:left w:val="nil"/>
              <w:bottom w:val="nil"/>
              <w:right w:val="nil"/>
            </w:tcBorders>
            <w:shd w:val="clear" w:color="auto" w:fill="BDD6EE"/>
            <w:noWrap/>
            <w:vAlign w:val="center"/>
            <w:hideMark/>
          </w:tcPr>
          <w:p w14:paraId="0773A151"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2027</w:t>
            </w:r>
          </w:p>
        </w:tc>
        <w:tc>
          <w:tcPr>
            <w:tcW w:w="920" w:type="dxa"/>
            <w:tcBorders>
              <w:top w:val="nil"/>
              <w:left w:val="nil"/>
              <w:bottom w:val="nil"/>
              <w:right w:val="nil"/>
            </w:tcBorders>
            <w:shd w:val="clear" w:color="auto" w:fill="BDD6EE"/>
            <w:noWrap/>
            <w:vAlign w:val="center"/>
            <w:hideMark/>
          </w:tcPr>
          <w:p w14:paraId="7A0061D6"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2028</w:t>
            </w:r>
          </w:p>
        </w:tc>
        <w:tc>
          <w:tcPr>
            <w:tcW w:w="920" w:type="dxa"/>
            <w:tcBorders>
              <w:top w:val="nil"/>
              <w:left w:val="nil"/>
              <w:bottom w:val="nil"/>
              <w:right w:val="nil"/>
            </w:tcBorders>
            <w:shd w:val="clear" w:color="auto" w:fill="BDD6EE"/>
            <w:noWrap/>
            <w:vAlign w:val="center"/>
            <w:hideMark/>
          </w:tcPr>
          <w:p w14:paraId="7BB63E88"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2029</w:t>
            </w:r>
          </w:p>
        </w:tc>
        <w:tc>
          <w:tcPr>
            <w:tcW w:w="920" w:type="dxa"/>
            <w:tcBorders>
              <w:top w:val="nil"/>
              <w:left w:val="nil"/>
              <w:bottom w:val="nil"/>
              <w:right w:val="nil"/>
            </w:tcBorders>
            <w:shd w:val="clear" w:color="auto" w:fill="BDD6EE"/>
            <w:noWrap/>
            <w:vAlign w:val="center"/>
            <w:hideMark/>
          </w:tcPr>
          <w:p w14:paraId="1989E7E9"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2030</w:t>
            </w:r>
          </w:p>
        </w:tc>
      </w:tr>
      <w:tr w:rsidR="00EA75C8" w:rsidRPr="00EA75C8" w14:paraId="1A5AE103" w14:textId="77777777" w:rsidTr="00EA75C8">
        <w:trPr>
          <w:trHeight w:val="315"/>
          <w:jc w:val="center"/>
        </w:trPr>
        <w:tc>
          <w:tcPr>
            <w:tcW w:w="460" w:type="dxa"/>
            <w:tcBorders>
              <w:top w:val="nil"/>
              <w:left w:val="nil"/>
              <w:bottom w:val="nil"/>
              <w:right w:val="nil"/>
            </w:tcBorders>
            <w:shd w:val="clear" w:color="auto" w:fill="BDD6EE"/>
            <w:noWrap/>
            <w:vAlign w:val="center"/>
            <w:hideMark/>
          </w:tcPr>
          <w:p w14:paraId="459A19C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w:t>
            </w:r>
          </w:p>
        </w:tc>
        <w:tc>
          <w:tcPr>
            <w:tcW w:w="1540" w:type="dxa"/>
            <w:tcBorders>
              <w:top w:val="nil"/>
              <w:left w:val="nil"/>
              <w:bottom w:val="nil"/>
              <w:right w:val="nil"/>
            </w:tcBorders>
            <w:shd w:val="clear" w:color="auto" w:fill="DCE6F1"/>
            <w:vAlign w:val="center"/>
            <w:hideMark/>
          </w:tcPr>
          <w:p w14:paraId="43DC4C59"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Bruto parāds</w:t>
            </w:r>
          </w:p>
        </w:tc>
        <w:tc>
          <w:tcPr>
            <w:tcW w:w="1080" w:type="dxa"/>
            <w:tcBorders>
              <w:top w:val="nil"/>
              <w:left w:val="nil"/>
              <w:bottom w:val="nil"/>
              <w:right w:val="nil"/>
            </w:tcBorders>
            <w:shd w:val="clear" w:color="auto" w:fill="DCE6F1"/>
            <w:noWrap/>
            <w:vAlign w:val="center"/>
            <w:hideMark/>
          </w:tcPr>
          <w:p w14:paraId="7569D6BC"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785FD36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43,6</w:t>
            </w:r>
          </w:p>
        </w:tc>
        <w:tc>
          <w:tcPr>
            <w:tcW w:w="920" w:type="dxa"/>
            <w:tcBorders>
              <w:top w:val="nil"/>
              <w:left w:val="nil"/>
              <w:bottom w:val="nil"/>
              <w:right w:val="nil"/>
            </w:tcBorders>
            <w:shd w:val="clear" w:color="auto" w:fill="auto"/>
            <w:noWrap/>
            <w:vAlign w:val="center"/>
            <w:hideMark/>
          </w:tcPr>
          <w:p w14:paraId="0F3EAA1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45,8</w:t>
            </w:r>
          </w:p>
        </w:tc>
        <w:tc>
          <w:tcPr>
            <w:tcW w:w="920" w:type="dxa"/>
            <w:tcBorders>
              <w:top w:val="nil"/>
              <w:left w:val="nil"/>
              <w:bottom w:val="nil"/>
              <w:right w:val="nil"/>
            </w:tcBorders>
            <w:shd w:val="clear" w:color="auto" w:fill="auto"/>
            <w:noWrap/>
            <w:vAlign w:val="center"/>
            <w:hideMark/>
          </w:tcPr>
          <w:p w14:paraId="720FA4F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47,5</w:t>
            </w:r>
          </w:p>
        </w:tc>
        <w:tc>
          <w:tcPr>
            <w:tcW w:w="920" w:type="dxa"/>
            <w:tcBorders>
              <w:top w:val="nil"/>
              <w:left w:val="nil"/>
              <w:bottom w:val="nil"/>
              <w:right w:val="nil"/>
            </w:tcBorders>
            <w:shd w:val="clear" w:color="auto" w:fill="auto"/>
            <w:noWrap/>
            <w:vAlign w:val="center"/>
            <w:hideMark/>
          </w:tcPr>
          <w:p w14:paraId="5D399B6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48,5</w:t>
            </w:r>
          </w:p>
        </w:tc>
        <w:tc>
          <w:tcPr>
            <w:tcW w:w="920" w:type="dxa"/>
            <w:tcBorders>
              <w:top w:val="nil"/>
              <w:left w:val="nil"/>
              <w:bottom w:val="nil"/>
              <w:right w:val="nil"/>
            </w:tcBorders>
            <w:shd w:val="clear" w:color="auto" w:fill="auto"/>
            <w:noWrap/>
            <w:vAlign w:val="center"/>
            <w:hideMark/>
          </w:tcPr>
          <w:p w14:paraId="060BDDC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49,7</w:t>
            </w:r>
          </w:p>
        </w:tc>
        <w:tc>
          <w:tcPr>
            <w:tcW w:w="920" w:type="dxa"/>
            <w:tcBorders>
              <w:top w:val="nil"/>
              <w:left w:val="nil"/>
              <w:bottom w:val="nil"/>
              <w:right w:val="nil"/>
            </w:tcBorders>
            <w:shd w:val="clear" w:color="auto" w:fill="auto"/>
            <w:noWrap/>
            <w:vAlign w:val="center"/>
            <w:hideMark/>
          </w:tcPr>
          <w:p w14:paraId="104875A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50,8</w:t>
            </w:r>
          </w:p>
        </w:tc>
        <w:tc>
          <w:tcPr>
            <w:tcW w:w="920" w:type="dxa"/>
            <w:tcBorders>
              <w:top w:val="nil"/>
              <w:left w:val="nil"/>
              <w:bottom w:val="nil"/>
              <w:right w:val="nil"/>
            </w:tcBorders>
            <w:shd w:val="clear" w:color="auto" w:fill="auto"/>
            <w:noWrap/>
            <w:vAlign w:val="center"/>
            <w:hideMark/>
          </w:tcPr>
          <w:p w14:paraId="46D5AD3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51,9</w:t>
            </w:r>
          </w:p>
        </w:tc>
        <w:tc>
          <w:tcPr>
            <w:tcW w:w="920" w:type="dxa"/>
            <w:tcBorders>
              <w:top w:val="nil"/>
              <w:left w:val="nil"/>
              <w:bottom w:val="nil"/>
              <w:right w:val="nil"/>
            </w:tcBorders>
            <w:shd w:val="clear" w:color="auto" w:fill="auto"/>
            <w:noWrap/>
            <w:vAlign w:val="center"/>
            <w:hideMark/>
          </w:tcPr>
          <w:p w14:paraId="0E63810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53,0</w:t>
            </w:r>
          </w:p>
        </w:tc>
      </w:tr>
      <w:tr w:rsidR="00EA75C8" w:rsidRPr="00EA75C8" w14:paraId="52B7E4A2"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2B76EB4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w:t>
            </w:r>
          </w:p>
        </w:tc>
        <w:tc>
          <w:tcPr>
            <w:tcW w:w="1540" w:type="dxa"/>
            <w:tcBorders>
              <w:top w:val="nil"/>
              <w:left w:val="nil"/>
              <w:bottom w:val="nil"/>
              <w:right w:val="nil"/>
            </w:tcBorders>
            <w:shd w:val="clear" w:color="auto" w:fill="DCE6F1"/>
            <w:vAlign w:val="center"/>
            <w:hideMark/>
          </w:tcPr>
          <w:p w14:paraId="0C2D1608"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Vispārējās valdības bilance</w:t>
            </w:r>
          </w:p>
        </w:tc>
        <w:tc>
          <w:tcPr>
            <w:tcW w:w="1080" w:type="dxa"/>
            <w:tcBorders>
              <w:top w:val="nil"/>
              <w:left w:val="nil"/>
              <w:bottom w:val="nil"/>
              <w:right w:val="nil"/>
            </w:tcBorders>
            <w:shd w:val="clear" w:color="auto" w:fill="DCE6F1"/>
            <w:noWrap/>
            <w:vAlign w:val="center"/>
            <w:hideMark/>
          </w:tcPr>
          <w:p w14:paraId="38B2E176"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41803A5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-2,2</w:t>
            </w:r>
          </w:p>
        </w:tc>
        <w:tc>
          <w:tcPr>
            <w:tcW w:w="920" w:type="dxa"/>
            <w:tcBorders>
              <w:top w:val="nil"/>
              <w:left w:val="nil"/>
              <w:bottom w:val="nil"/>
              <w:right w:val="nil"/>
            </w:tcBorders>
            <w:shd w:val="clear" w:color="auto" w:fill="auto"/>
            <w:noWrap/>
            <w:vAlign w:val="center"/>
            <w:hideMark/>
          </w:tcPr>
          <w:p w14:paraId="6F4A161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-2,6</w:t>
            </w:r>
          </w:p>
        </w:tc>
        <w:tc>
          <w:tcPr>
            <w:tcW w:w="920" w:type="dxa"/>
            <w:tcBorders>
              <w:top w:val="nil"/>
              <w:left w:val="nil"/>
              <w:bottom w:val="nil"/>
              <w:right w:val="nil"/>
            </w:tcBorders>
            <w:shd w:val="clear" w:color="auto" w:fill="auto"/>
            <w:noWrap/>
            <w:vAlign w:val="center"/>
            <w:hideMark/>
          </w:tcPr>
          <w:p w14:paraId="083E099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4F03616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4FBC0A4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7BE219A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2C001FA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1BCAEB7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r>
      <w:tr w:rsidR="00EA75C8" w:rsidRPr="00EA75C8" w14:paraId="64590923"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73CB01B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w:t>
            </w:r>
          </w:p>
        </w:tc>
        <w:tc>
          <w:tcPr>
            <w:tcW w:w="1540" w:type="dxa"/>
            <w:tcBorders>
              <w:top w:val="nil"/>
              <w:left w:val="nil"/>
              <w:bottom w:val="nil"/>
              <w:right w:val="nil"/>
            </w:tcBorders>
            <w:shd w:val="clear" w:color="auto" w:fill="DCE6F1"/>
            <w:vAlign w:val="center"/>
            <w:hideMark/>
          </w:tcPr>
          <w:p w14:paraId="4E0E2578"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Strukturālā primārā bilance</w:t>
            </w:r>
          </w:p>
        </w:tc>
        <w:tc>
          <w:tcPr>
            <w:tcW w:w="1080" w:type="dxa"/>
            <w:tcBorders>
              <w:top w:val="nil"/>
              <w:left w:val="nil"/>
              <w:bottom w:val="nil"/>
              <w:right w:val="nil"/>
            </w:tcBorders>
            <w:shd w:val="clear" w:color="auto" w:fill="DCE6F1"/>
            <w:vAlign w:val="center"/>
            <w:hideMark/>
          </w:tcPr>
          <w:p w14:paraId="0FC051D3"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xml:space="preserve">% no </w:t>
            </w:r>
            <w:proofErr w:type="spellStart"/>
            <w:r w:rsidRPr="00EA75C8">
              <w:rPr>
                <w:rFonts w:eastAsia="Times New Roman" w:cs="Times New Roman"/>
                <w:color w:val="000000"/>
                <w:sz w:val="18"/>
                <w:szCs w:val="18"/>
                <w:lang w:eastAsia="lv-LV"/>
              </w:rPr>
              <w:t>pot</w:t>
            </w:r>
            <w:proofErr w:type="spellEnd"/>
            <w:r w:rsidRPr="00EA75C8">
              <w:rPr>
                <w:rFonts w:eastAsia="Times New Roman" w:cs="Times New Roman"/>
                <w:color w:val="000000"/>
                <w:sz w:val="18"/>
                <w:szCs w:val="18"/>
                <w:lang w:eastAsia="lv-LV"/>
              </w:rPr>
              <w:t>. IKP</w:t>
            </w:r>
          </w:p>
        </w:tc>
        <w:tc>
          <w:tcPr>
            <w:tcW w:w="920" w:type="dxa"/>
            <w:tcBorders>
              <w:top w:val="nil"/>
              <w:left w:val="nil"/>
              <w:bottom w:val="nil"/>
              <w:right w:val="nil"/>
            </w:tcBorders>
            <w:shd w:val="clear" w:color="auto" w:fill="auto"/>
            <w:noWrap/>
            <w:vAlign w:val="center"/>
            <w:hideMark/>
          </w:tcPr>
          <w:p w14:paraId="600FCE5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596BAC6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-0,8</w:t>
            </w:r>
          </w:p>
        </w:tc>
        <w:tc>
          <w:tcPr>
            <w:tcW w:w="920" w:type="dxa"/>
            <w:tcBorders>
              <w:top w:val="nil"/>
              <w:left w:val="nil"/>
              <w:bottom w:val="nil"/>
              <w:right w:val="nil"/>
            </w:tcBorders>
            <w:shd w:val="clear" w:color="auto" w:fill="auto"/>
            <w:noWrap/>
            <w:vAlign w:val="center"/>
            <w:hideMark/>
          </w:tcPr>
          <w:p w14:paraId="12C1F29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3584586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3140678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0ED1309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0A40E1D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7624298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r>
      <w:tr w:rsidR="00EA75C8" w:rsidRPr="00EA75C8" w14:paraId="2C7EA904"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46C0647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w:t>
            </w:r>
          </w:p>
        </w:tc>
        <w:tc>
          <w:tcPr>
            <w:tcW w:w="1540" w:type="dxa"/>
            <w:tcBorders>
              <w:top w:val="nil"/>
              <w:left w:val="nil"/>
              <w:bottom w:val="nil"/>
              <w:right w:val="nil"/>
            </w:tcBorders>
            <w:shd w:val="clear" w:color="auto" w:fill="DCE6F1"/>
            <w:vAlign w:val="center"/>
            <w:hideMark/>
          </w:tcPr>
          <w:p w14:paraId="5DDA565C"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Cikliskais komponents</w:t>
            </w:r>
          </w:p>
        </w:tc>
        <w:tc>
          <w:tcPr>
            <w:tcW w:w="1080" w:type="dxa"/>
            <w:tcBorders>
              <w:top w:val="nil"/>
              <w:left w:val="nil"/>
              <w:bottom w:val="nil"/>
              <w:right w:val="nil"/>
            </w:tcBorders>
            <w:shd w:val="clear" w:color="auto" w:fill="DCE6F1"/>
            <w:vAlign w:val="center"/>
            <w:hideMark/>
          </w:tcPr>
          <w:p w14:paraId="1C2FE54F"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xml:space="preserve">% no </w:t>
            </w:r>
            <w:proofErr w:type="spellStart"/>
            <w:r w:rsidRPr="00EA75C8">
              <w:rPr>
                <w:rFonts w:eastAsia="Times New Roman" w:cs="Times New Roman"/>
                <w:color w:val="000000"/>
                <w:sz w:val="18"/>
                <w:szCs w:val="18"/>
                <w:lang w:eastAsia="lv-LV"/>
              </w:rPr>
              <w:t>pot</w:t>
            </w:r>
            <w:proofErr w:type="spellEnd"/>
            <w:r w:rsidRPr="00EA75C8">
              <w:rPr>
                <w:rFonts w:eastAsia="Times New Roman" w:cs="Times New Roman"/>
                <w:color w:val="000000"/>
                <w:sz w:val="18"/>
                <w:szCs w:val="18"/>
                <w:lang w:eastAsia="lv-LV"/>
              </w:rPr>
              <w:t>. IKP</w:t>
            </w:r>
          </w:p>
        </w:tc>
        <w:tc>
          <w:tcPr>
            <w:tcW w:w="920" w:type="dxa"/>
            <w:tcBorders>
              <w:top w:val="nil"/>
              <w:left w:val="nil"/>
              <w:bottom w:val="nil"/>
              <w:right w:val="nil"/>
            </w:tcBorders>
            <w:shd w:val="clear" w:color="auto" w:fill="auto"/>
            <w:noWrap/>
            <w:vAlign w:val="center"/>
            <w:hideMark/>
          </w:tcPr>
          <w:p w14:paraId="747CD20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0,4</w:t>
            </w:r>
          </w:p>
        </w:tc>
        <w:tc>
          <w:tcPr>
            <w:tcW w:w="920" w:type="dxa"/>
            <w:tcBorders>
              <w:top w:val="nil"/>
              <w:left w:val="nil"/>
              <w:bottom w:val="nil"/>
              <w:right w:val="nil"/>
            </w:tcBorders>
            <w:shd w:val="clear" w:color="auto" w:fill="auto"/>
            <w:noWrap/>
            <w:vAlign w:val="center"/>
            <w:hideMark/>
          </w:tcPr>
          <w:p w14:paraId="7392379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0,7</w:t>
            </w:r>
          </w:p>
        </w:tc>
        <w:tc>
          <w:tcPr>
            <w:tcW w:w="920" w:type="dxa"/>
            <w:tcBorders>
              <w:top w:val="nil"/>
              <w:left w:val="nil"/>
              <w:bottom w:val="nil"/>
              <w:right w:val="nil"/>
            </w:tcBorders>
            <w:shd w:val="clear" w:color="auto" w:fill="auto"/>
            <w:noWrap/>
            <w:vAlign w:val="center"/>
            <w:hideMark/>
          </w:tcPr>
          <w:p w14:paraId="4B6AE4E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0,4</w:t>
            </w:r>
          </w:p>
        </w:tc>
        <w:tc>
          <w:tcPr>
            <w:tcW w:w="920" w:type="dxa"/>
            <w:tcBorders>
              <w:top w:val="nil"/>
              <w:left w:val="nil"/>
              <w:bottom w:val="nil"/>
              <w:right w:val="nil"/>
            </w:tcBorders>
            <w:shd w:val="clear" w:color="auto" w:fill="auto"/>
            <w:noWrap/>
            <w:vAlign w:val="center"/>
            <w:hideMark/>
          </w:tcPr>
          <w:p w14:paraId="5EDD794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0,3</w:t>
            </w:r>
          </w:p>
        </w:tc>
        <w:tc>
          <w:tcPr>
            <w:tcW w:w="920" w:type="dxa"/>
            <w:tcBorders>
              <w:top w:val="nil"/>
              <w:left w:val="nil"/>
              <w:bottom w:val="nil"/>
              <w:right w:val="nil"/>
            </w:tcBorders>
            <w:shd w:val="clear" w:color="auto" w:fill="auto"/>
            <w:noWrap/>
            <w:vAlign w:val="center"/>
            <w:hideMark/>
          </w:tcPr>
          <w:p w14:paraId="71821AB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0,2</w:t>
            </w:r>
          </w:p>
        </w:tc>
        <w:tc>
          <w:tcPr>
            <w:tcW w:w="920" w:type="dxa"/>
            <w:tcBorders>
              <w:top w:val="nil"/>
              <w:left w:val="nil"/>
              <w:bottom w:val="nil"/>
              <w:right w:val="nil"/>
            </w:tcBorders>
            <w:shd w:val="clear" w:color="auto" w:fill="auto"/>
            <w:noWrap/>
            <w:vAlign w:val="center"/>
            <w:hideMark/>
          </w:tcPr>
          <w:p w14:paraId="2748BA3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0,1</w:t>
            </w:r>
          </w:p>
        </w:tc>
        <w:tc>
          <w:tcPr>
            <w:tcW w:w="920" w:type="dxa"/>
            <w:tcBorders>
              <w:top w:val="nil"/>
              <w:left w:val="nil"/>
              <w:bottom w:val="nil"/>
              <w:right w:val="nil"/>
            </w:tcBorders>
            <w:shd w:val="clear" w:color="auto" w:fill="auto"/>
            <w:noWrap/>
            <w:vAlign w:val="center"/>
            <w:hideMark/>
          </w:tcPr>
          <w:p w14:paraId="2C1CF66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0,1</w:t>
            </w:r>
          </w:p>
        </w:tc>
        <w:tc>
          <w:tcPr>
            <w:tcW w:w="920" w:type="dxa"/>
            <w:tcBorders>
              <w:top w:val="nil"/>
              <w:left w:val="nil"/>
              <w:bottom w:val="nil"/>
              <w:right w:val="nil"/>
            </w:tcBorders>
            <w:shd w:val="clear" w:color="auto" w:fill="auto"/>
            <w:noWrap/>
            <w:vAlign w:val="center"/>
            <w:hideMark/>
          </w:tcPr>
          <w:p w14:paraId="6E256AC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r>
      <w:tr w:rsidR="00EA75C8" w:rsidRPr="00EA75C8" w14:paraId="2D88DBC6"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1226CC0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w:t>
            </w:r>
          </w:p>
        </w:tc>
        <w:tc>
          <w:tcPr>
            <w:tcW w:w="1540" w:type="dxa"/>
            <w:tcBorders>
              <w:top w:val="nil"/>
              <w:left w:val="nil"/>
              <w:bottom w:val="nil"/>
              <w:right w:val="nil"/>
            </w:tcBorders>
            <w:shd w:val="clear" w:color="auto" w:fill="DCE6F1"/>
            <w:vAlign w:val="center"/>
            <w:hideMark/>
          </w:tcPr>
          <w:p w14:paraId="756D1C20"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Vienreizēji pasākumi</w:t>
            </w:r>
          </w:p>
        </w:tc>
        <w:tc>
          <w:tcPr>
            <w:tcW w:w="1080" w:type="dxa"/>
            <w:tcBorders>
              <w:top w:val="nil"/>
              <w:left w:val="nil"/>
              <w:bottom w:val="nil"/>
              <w:right w:val="nil"/>
            </w:tcBorders>
            <w:shd w:val="clear" w:color="auto" w:fill="DCE6F1"/>
            <w:noWrap/>
            <w:vAlign w:val="center"/>
            <w:hideMark/>
          </w:tcPr>
          <w:p w14:paraId="75DCE8B0"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36D7ABE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AE9F85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4CE9B38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3C99B85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704170B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198EF70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1CA77E7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60AB7A8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r>
      <w:tr w:rsidR="00EA75C8" w:rsidRPr="00EA75C8" w14:paraId="7A6B742F" w14:textId="77777777" w:rsidTr="00EA75C8">
        <w:trPr>
          <w:trHeight w:val="315"/>
          <w:jc w:val="center"/>
        </w:trPr>
        <w:tc>
          <w:tcPr>
            <w:tcW w:w="460" w:type="dxa"/>
            <w:tcBorders>
              <w:top w:val="nil"/>
              <w:left w:val="nil"/>
              <w:bottom w:val="nil"/>
              <w:right w:val="nil"/>
            </w:tcBorders>
            <w:shd w:val="clear" w:color="auto" w:fill="BDD6EE"/>
            <w:noWrap/>
            <w:vAlign w:val="center"/>
            <w:hideMark/>
          </w:tcPr>
          <w:p w14:paraId="7663F40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6</w:t>
            </w:r>
          </w:p>
        </w:tc>
        <w:tc>
          <w:tcPr>
            <w:tcW w:w="1540" w:type="dxa"/>
            <w:tcBorders>
              <w:top w:val="nil"/>
              <w:left w:val="nil"/>
              <w:bottom w:val="nil"/>
              <w:right w:val="nil"/>
            </w:tcBorders>
            <w:shd w:val="clear" w:color="auto" w:fill="DCE6F1"/>
            <w:vAlign w:val="center"/>
            <w:hideMark/>
          </w:tcPr>
          <w:p w14:paraId="739573C0"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Procentu izdevumi</w:t>
            </w:r>
          </w:p>
        </w:tc>
        <w:tc>
          <w:tcPr>
            <w:tcW w:w="1080" w:type="dxa"/>
            <w:tcBorders>
              <w:top w:val="nil"/>
              <w:left w:val="nil"/>
              <w:bottom w:val="nil"/>
              <w:right w:val="nil"/>
            </w:tcBorders>
            <w:shd w:val="clear" w:color="auto" w:fill="DCE6F1"/>
            <w:noWrap/>
            <w:vAlign w:val="center"/>
            <w:hideMark/>
          </w:tcPr>
          <w:p w14:paraId="47868A68"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0F7882C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0,6</w:t>
            </w:r>
          </w:p>
        </w:tc>
        <w:tc>
          <w:tcPr>
            <w:tcW w:w="920" w:type="dxa"/>
            <w:tcBorders>
              <w:top w:val="nil"/>
              <w:left w:val="nil"/>
              <w:bottom w:val="nil"/>
              <w:right w:val="nil"/>
            </w:tcBorders>
            <w:shd w:val="clear" w:color="auto" w:fill="auto"/>
            <w:noWrap/>
            <w:vAlign w:val="center"/>
            <w:hideMark/>
          </w:tcPr>
          <w:p w14:paraId="1D3E2C0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1,1</w:t>
            </w:r>
          </w:p>
        </w:tc>
        <w:tc>
          <w:tcPr>
            <w:tcW w:w="920" w:type="dxa"/>
            <w:tcBorders>
              <w:top w:val="nil"/>
              <w:left w:val="nil"/>
              <w:bottom w:val="nil"/>
              <w:right w:val="nil"/>
            </w:tcBorders>
            <w:shd w:val="clear" w:color="auto" w:fill="auto"/>
            <w:noWrap/>
            <w:vAlign w:val="center"/>
            <w:hideMark/>
          </w:tcPr>
          <w:p w14:paraId="752C5F5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4253438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0F53979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c>
          <w:tcPr>
            <w:tcW w:w="920" w:type="dxa"/>
            <w:tcBorders>
              <w:top w:val="nil"/>
              <w:left w:val="nil"/>
              <w:bottom w:val="nil"/>
              <w:right w:val="nil"/>
            </w:tcBorders>
            <w:shd w:val="clear" w:color="auto" w:fill="auto"/>
            <w:noWrap/>
            <w:vAlign w:val="center"/>
            <w:hideMark/>
          </w:tcPr>
          <w:p w14:paraId="14EB897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1,5</w:t>
            </w:r>
          </w:p>
        </w:tc>
        <w:tc>
          <w:tcPr>
            <w:tcW w:w="920" w:type="dxa"/>
            <w:tcBorders>
              <w:top w:val="nil"/>
              <w:left w:val="nil"/>
              <w:bottom w:val="nil"/>
              <w:right w:val="nil"/>
            </w:tcBorders>
            <w:shd w:val="clear" w:color="auto" w:fill="auto"/>
            <w:noWrap/>
            <w:vAlign w:val="center"/>
            <w:hideMark/>
          </w:tcPr>
          <w:p w14:paraId="2B05A5F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1,6</w:t>
            </w:r>
          </w:p>
        </w:tc>
        <w:tc>
          <w:tcPr>
            <w:tcW w:w="920" w:type="dxa"/>
            <w:tcBorders>
              <w:top w:val="nil"/>
              <w:left w:val="nil"/>
              <w:bottom w:val="nil"/>
              <w:right w:val="nil"/>
            </w:tcBorders>
            <w:shd w:val="clear" w:color="auto" w:fill="auto"/>
            <w:noWrap/>
            <w:vAlign w:val="center"/>
            <w:hideMark/>
          </w:tcPr>
          <w:p w14:paraId="12BD121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1,6</w:t>
            </w:r>
          </w:p>
        </w:tc>
      </w:tr>
      <w:tr w:rsidR="00EA75C8" w:rsidRPr="00EA75C8" w14:paraId="6355F135"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075536F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7</w:t>
            </w:r>
          </w:p>
        </w:tc>
        <w:tc>
          <w:tcPr>
            <w:tcW w:w="1540" w:type="dxa"/>
            <w:tcBorders>
              <w:top w:val="nil"/>
              <w:left w:val="nil"/>
              <w:bottom w:val="nil"/>
              <w:right w:val="nil"/>
            </w:tcBorders>
            <w:shd w:val="clear" w:color="auto" w:fill="DCE6F1"/>
            <w:vAlign w:val="center"/>
            <w:hideMark/>
          </w:tcPr>
          <w:p w14:paraId="6B2B9B4B"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Ilgtermiņa procentu likme</w:t>
            </w:r>
          </w:p>
        </w:tc>
        <w:tc>
          <w:tcPr>
            <w:tcW w:w="1080" w:type="dxa"/>
            <w:tcBorders>
              <w:top w:val="nil"/>
              <w:left w:val="nil"/>
              <w:bottom w:val="nil"/>
              <w:right w:val="nil"/>
            </w:tcBorders>
            <w:shd w:val="clear" w:color="auto" w:fill="DCE6F1"/>
            <w:noWrap/>
            <w:vAlign w:val="center"/>
            <w:hideMark/>
          </w:tcPr>
          <w:p w14:paraId="02F1711B"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w:t>
            </w:r>
          </w:p>
        </w:tc>
        <w:tc>
          <w:tcPr>
            <w:tcW w:w="920" w:type="dxa"/>
            <w:tcBorders>
              <w:top w:val="nil"/>
              <w:left w:val="nil"/>
              <w:bottom w:val="nil"/>
              <w:right w:val="nil"/>
            </w:tcBorders>
            <w:shd w:val="clear" w:color="auto" w:fill="auto"/>
            <w:noWrap/>
            <w:vAlign w:val="center"/>
            <w:hideMark/>
          </w:tcPr>
          <w:p w14:paraId="038CB8C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3,9</w:t>
            </w:r>
          </w:p>
        </w:tc>
        <w:tc>
          <w:tcPr>
            <w:tcW w:w="920" w:type="dxa"/>
            <w:tcBorders>
              <w:top w:val="nil"/>
              <w:left w:val="nil"/>
              <w:bottom w:val="nil"/>
              <w:right w:val="nil"/>
            </w:tcBorders>
            <w:shd w:val="clear" w:color="auto" w:fill="auto"/>
            <w:noWrap/>
            <w:vAlign w:val="center"/>
            <w:hideMark/>
          </w:tcPr>
          <w:p w14:paraId="489A7FD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3,5</w:t>
            </w:r>
          </w:p>
        </w:tc>
        <w:tc>
          <w:tcPr>
            <w:tcW w:w="920" w:type="dxa"/>
            <w:tcBorders>
              <w:top w:val="nil"/>
              <w:left w:val="nil"/>
              <w:bottom w:val="nil"/>
              <w:right w:val="nil"/>
            </w:tcBorders>
            <w:shd w:val="clear" w:color="auto" w:fill="auto"/>
            <w:noWrap/>
            <w:vAlign w:val="center"/>
            <w:hideMark/>
          </w:tcPr>
          <w:p w14:paraId="6A26629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3,6</w:t>
            </w:r>
          </w:p>
        </w:tc>
        <w:tc>
          <w:tcPr>
            <w:tcW w:w="920" w:type="dxa"/>
            <w:tcBorders>
              <w:top w:val="nil"/>
              <w:left w:val="nil"/>
              <w:bottom w:val="nil"/>
              <w:right w:val="nil"/>
            </w:tcBorders>
            <w:shd w:val="clear" w:color="auto" w:fill="auto"/>
            <w:noWrap/>
            <w:vAlign w:val="center"/>
            <w:hideMark/>
          </w:tcPr>
          <w:p w14:paraId="5DA1E89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3,7</w:t>
            </w:r>
          </w:p>
        </w:tc>
        <w:tc>
          <w:tcPr>
            <w:tcW w:w="920" w:type="dxa"/>
            <w:tcBorders>
              <w:top w:val="nil"/>
              <w:left w:val="nil"/>
              <w:bottom w:val="nil"/>
              <w:right w:val="nil"/>
            </w:tcBorders>
            <w:shd w:val="clear" w:color="auto" w:fill="auto"/>
            <w:noWrap/>
            <w:vAlign w:val="center"/>
            <w:hideMark/>
          </w:tcPr>
          <w:p w14:paraId="2764D49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3,7</w:t>
            </w:r>
          </w:p>
        </w:tc>
        <w:tc>
          <w:tcPr>
            <w:tcW w:w="920" w:type="dxa"/>
            <w:tcBorders>
              <w:top w:val="nil"/>
              <w:left w:val="nil"/>
              <w:bottom w:val="nil"/>
              <w:right w:val="nil"/>
            </w:tcBorders>
            <w:shd w:val="clear" w:color="auto" w:fill="auto"/>
            <w:noWrap/>
            <w:vAlign w:val="center"/>
            <w:hideMark/>
          </w:tcPr>
          <w:p w14:paraId="623CF96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c>
          <w:tcPr>
            <w:tcW w:w="920" w:type="dxa"/>
            <w:tcBorders>
              <w:top w:val="nil"/>
              <w:left w:val="nil"/>
              <w:bottom w:val="nil"/>
              <w:right w:val="nil"/>
            </w:tcBorders>
            <w:shd w:val="clear" w:color="auto" w:fill="auto"/>
            <w:noWrap/>
            <w:vAlign w:val="center"/>
            <w:hideMark/>
          </w:tcPr>
          <w:p w14:paraId="5839B08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c>
          <w:tcPr>
            <w:tcW w:w="920" w:type="dxa"/>
            <w:tcBorders>
              <w:top w:val="nil"/>
              <w:left w:val="nil"/>
              <w:bottom w:val="nil"/>
              <w:right w:val="nil"/>
            </w:tcBorders>
            <w:shd w:val="clear" w:color="auto" w:fill="auto"/>
            <w:noWrap/>
            <w:vAlign w:val="center"/>
            <w:hideMark/>
          </w:tcPr>
          <w:p w14:paraId="3834F98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r>
      <w:tr w:rsidR="00EA75C8" w:rsidRPr="00EA75C8" w14:paraId="3B6F2C9A"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7313626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lastRenderedPageBreak/>
              <w:t>8</w:t>
            </w:r>
          </w:p>
        </w:tc>
        <w:tc>
          <w:tcPr>
            <w:tcW w:w="1540" w:type="dxa"/>
            <w:tcBorders>
              <w:top w:val="nil"/>
              <w:left w:val="nil"/>
              <w:bottom w:val="nil"/>
              <w:right w:val="nil"/>
            </w:tcBorders>
            <w:shd w:val="clear" w:color="auto" w:fill="DCE6F1"/>
            <w:vAlign w:val="center"/>
            <w:hideMark/>
          </w:tcPr>
          <w:p w14:paraId="49B4108B"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Īstermiņa procentu likme</w:t>
            </w:r>
          </w:p>
        </w:tc>
        <w:tc>
          <w:tcPr>
            <w:tcW w:w="1080" w:type="dxa"/>
            <w:tcBorders>
              <w:top w:val="nil"/>
              <w:left w:val="nil"/>
              <w:bottom w:val="nil"/>
              <w:right w:val="nil"/>
            </w:tcBorders>
            <w:shd w:val="clear" w:color="auto" w:fill="DCE6F1"/>
            <w:noWrap/>
            <w:vAlign w:val="center"/>
            <w:hideMark/>
          </w:tcPr>
          <w:p w14:paraId="1BEB84A2"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w:t>
            </w:r>
          </w:p>
        </w:tc>
        <w:tc>
          <w:tcPr>
            <w:tcW w:w="920" w:type="dxa"/>
            <w:tcBorders>
              <w:top w:val="nil"/>
              <w:left w:val="nil"/>
              <w:bottom w:val="nil"/>
              <w:right w:val="nil"/>
            </w:tcBorders>
            <w:shd w:val="clear" w:color="auto" w:fill="auto"/>
            <w:noWrap/>
            <w:vAlign w:val="center"/>
            <w:hideMark/>
          </w:tcPr>
          <w:p w14:paraId="354BF00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c>
          <w:tcPr>
            <w:tcW w:w="920" w:type="dxa"/>
            <w:tcBorders>
              <w:top w:val="nil"/>
              <w:left w:val="nil"/>
              <w:bottom w:val="nil"/>
              <w:right w:val="nil"/>
            </w:tcBorders>
            <w:shd w:val="clear" w:color="auto" w:fill="auto"/>
            <w:noWrap/>
            <w:vAlign w:val="center"/>
            <w:hideMark/>
          </w:tcPr>
          <w:p w14:paraId="3D44FB3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3,5</w:t>
            </w:r>
          </w:p>
        </w:tc>
        <w:tc>
          <w:tcPr>
            <w:tcW w:w="920" w:type="dxa"/>
            <w:tcBorders>
              <w:top w:val="nil"/>
              <w:left w:val="nil"/>
              <w:bottom w:val="nil"/>
              <w:right w:val="nil"/>
            </w:tcBorders>
            <w:shd w:val="clear" w:color="auto" w:fill="auto"/>
            <w:noWrap/>
            <w:vAlign w:val="center"/>
            <w:hideMark/>
          </w:tcPr>
          <w:p w14:paraId="1A66345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2,8</w:t>
            </w:r>
          </w:p>
        </w:tc>
        <w:tc>
          <w:tcPr>
            <w:tcW w:w="920" w:type="dxa"/>
            <w:tcBorders>
              <w:top w:val="nil"/>
              <w:left w:val="nil"/>
              <w:bottom w:val="nil"/>
              <w:right w:val="nil"/>
            </w:tcBorders>
            <w:shd w:val="clear" w:color="auto" w:fill="auto"/>
            <w:noWrap/>
            <w:vAlign w:val="center"/>
            <w:hideMark/>
          </w:tcPr>
          <w:p w14:paraId="5DF1B7E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2,8</w:t>
            </w:r>
          </w:p>
        </w:tc>
        <w:tc>
          <w:tcPr>
            <w:tcW w:w="920" w:type="dxa"/>
            <w:tcBorders>
              <w:top w:val="nil"/>
              <w:left w:val="nil"/>
              <w:bottom w:val="nil"/>
              <w:right w:val="nil"/>
            </w:tcBorders>
            <w:shd w:val="clear" w:color="auto" w:fill="auto"/>
            <w:noWrap/>
            <w:vAlign w:val="center"/>
            <w:hideMark/>
          </w:tcPr>
          <w:p w14:paraId="1D2906C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2,8</w:t>
            </w:r>
          </w:p>
        </w:tc>
        <w:tc>
          <w:tcPr>
            <w:tcW w:w="920" w:type="dxa"/>
            <w:tcBorders>
              <w:top w:val="nil"/>
              <w:left w:val="nil"/>
              <w:bottom w:val="nil"/>
              <w:right w:val="nil"/>
            </w:tcBorders>
            <w:shd w:val="clear" w:color="auto" w:fill="auto"/>
            <w:noWrap/>
            <w:vAlign w:val="center"/>
            <w:hideMark/>
          </w:tcPr>
          <w:p w14:paraId="49F54B9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2,8</w:t>
            </w:r>
          </w:p>
        </w:tc>
        <w:tc>
          <w:tcPr>
            <w:tcW w:w="920" w:type="dxa"/>
            <w:tcBorders>
              <w:top w:val="nil"/>
              <w:left w:val="nil"/>
              <w:bottom w:val="nil"/>
              <w:right w:val="nil"/>
            </w:tcBorders>
            <w:shd w:val="clear" w:color="auto" w:fill="auto"/>
            <w:noWrap/>
            <w:vAlign w:val="center"/>
            <w:hideMark/>
          </w:tcPr>
          <w:p w14:paraId="6262D20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2,8</w:t>
            </w:r>
          </w:p>
        </w:tc>
        <w:tc>
          <w:tcPr>
            <w:tcW w:w="920" w:type="dxa"/>
            <w:tcBorders>
              <w:top w:val="nil"/>
              <w:left w:val="nil"/>
              <w:bottom w:val="nil"/>
              <w:right w:val="nil"/>
            </w:tcBorders>
            <w:shd w:val="clear" w:color="auto" w:fill="auto"/>
            <w:noWrap/>
            <w:vAlign w:val="center"/>
            <w:hideMark/>
          </w:tcPr>
          <w:p w14:paraId="041F2F8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2,8</w:t>
            </w:r>
          </w:p>
        </w:tc>
      </w:tr>
      <w:tr w:rsidR="00EA75C8" w:rsidRPr="00EA75C8" w14:paraId="7F42F3D6"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330EF2A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9</w:t>
            </w:r>
          </w:p>
        </w:tc>
        <w:tc>
          <w:tcPr>
            <w:tcW w:w="1540" w:type="dxa"/>
            <w:tcBorders>
              <w:top w:val="nil"/>
              <w:left w:val="nil"/>
              <w:bottom w:val="nil"/>
              <w:right w:val="nil"/>
            </w:tcBorders>
            <w:shd w:val="clear" w:color="auto" w:fill="DCE6F1"/>
            <w:vAlign w:val="center"/>
            <w:hideMark/>
          </w:tcPr>
          <w:p w14:paraId="5F7EC66E"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Atvasinātā vidējā procentu likme</w:t>
            </w:r>
          </w:p>
        </w:tc>
        <w:tc>
          <w:tcPr>
            <w:tcW w:w="1080" w:type="dxa"/>
            <w:tcBorders>
              <w:top w:val="nil"/>
              <w:left w:val="nil"/>
              <w:bottom w:val="nil"/>
              <w:right w:val="nil"/>
            </w:tcBorders>
            <w:shd w:val="clear" w:color="auto" w:fill="DCE6F1"/>
            <w:noWrap/>
            <w:vAlign w:val="center"/>
            <w:hideMark/>
          </w:tcPr>
          <w:p w14:paraId="1D8F4FCA"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w:t>
            </w:r>
          </w:p>
        </w:tc>
        <w:tc>
          <w:tcPr>
            <w:tcW w:w="920" w:type="dxa"/>
            <w:tcBorders>
              <w:top w:val="nil"/>
              <w:left w:val="nil"/>
              <w:bottom w:val="nil"/>
              <w:right w:val="nil"/>
            </w:tcBorders>
            <w:shd w:val="clear" w:color="auto" w:fill="auto"/>
            <w:noWrap/>
            <w:vAlign w:val="center"/>
            <w:hideMark/>
          </w:tcPr>
          <w:p w14:paraId="1DF4CC7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1,6</w:t>
            </w:r>
          </w:p>
        </w:tc>
        <w:tc>
          <w:tcPr>
            <w:tcW w:w="920" w:type="dxa"/>
            <w:tcBorders>
              <w:top w:val="nil"/>
              <w:left w:val="nil"/>
              <w:bottom w:val="nil"/>
              <w:right w:val="nil"/>
            </w:tcBorders>
            <w:shd w:val="clear" w:color="auto" w:fill="auto"/>
            <w:noWrap/>
            <w:vAlign w:val="center"/>
            <w:hideMark/>
          </w:tcPr>
          <w:p w14:paraId="5354505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2,6</w:t>
            </w:r>
          </w:p>
        </w:tc>
        <w:tc>
          <w:tcPr>
            <w:tcW w:w="920" w:type="dxa"/>
            <w:tcBorders>
              <w:top w:val="nil"/>
              <w:left w:val="nil"/>
              <w:bottom w:val="nil"/>
              <w:right w:val="nil"/>
            </w:tcBorders>
            <w:shd w:val="clear" w:color="auto" w:fill="auto"/>
            <w:noWrap/>
            <w:vAlign w:val="center"/>
            <w:hideMark/>
          </w:tcPr>
          <w:p w14:paraId="649AD70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2,7</w:t>
            </w:r>
          </w:p>
        </w:tc>
        <w:tc>
          <w:tcPr>
            <w:tcW w:w="920" w:type="dxa"/>
            <w:tcBorders>
              <w:top w:val="nil"/>
              <w:left w:val="nil"/>
              <w:bottom w:val="nil"/>
              <w:right w:val="nil"/>
            </w:tcBorders>
            <w:shd w:val="clear" w:color="auto" w:fill="auto"/>
            <w:noWrap/>
            <w:vAlign w:val="center"/>
            <w:hideMark/>
          </w:tcPr>
          <w:p w14:paraId="2338BF1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530816D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3,0</w:t>
            </w:r>
          </w:p>
        </w:tc>
        <w:tc>
          <w:tcPr>
            <w:tcW w:w="920" w:type="dxa"/>
            <w:tcBorders>
              <w:top w:val="nil"/>
              <w:left w:val="nil"/>
              <w:bottom w:val="nil"/>
              <w:right w:val="nil"/>
            </w:tcBorders>
            <w:shd w:val="clear" w:color="auto" w:fill="auto"/>
            <w:noWrap/>
            <w:vAlign w:val="center"/>
            <w:hideMark/>
          </w:tcPr>
          <w:p w14:paraId="78604FF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3,1</w:t>
            </w:r>
          </w:p>
        </w:tc>
        <w:tc>
          <w:tcPr>
            <w:tcW w:w="920" w:type="dxa"/>
            <w:tcBorders>
              <w:top w:val="nil"/>
              <w:left w:val="nil"/>
              <w:bottom w:val="nil"/>
              <w:right w:val="nil"/>
            </w:tcBorders>
            <w:shd w:val="clear" w:color="auto" w:fill="auto"/>
            <w:noWrap/>
            <w:vAlign w:val="center"/>
            <w:hideMark/>
          </w:tcPr>
          <w:p w14:paraId="21E913E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3,2</w:t>
            </w:r>
          </w:p>
        </w:tc>
        <w:tc>
          <w:tcPr>
            <w:tcW w:w="920" w:type="dxa"/>
            <w:tcBorders>
              <w:top w:val="nil"/>
              <w:left w:val="nil"/>
              <w:bottom w:val="nil"/>
              <w:right w:val="nil"/>
            </w:tcBorders>
            <w:shd w:val="clear" w:color="auto" w:fill="auto"/>
            <w:noWrap/>
            <w:vAlign w:val="center"/>
            <w:hideMark/>
          </w:tcPr>
          <w:p w14:paraId="05AE000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3,3</w:t>
            </w:r>
          </w:p>
        </w:tc>
      </w:tr>
      <w:tr w:rsidR="00EA75C8" w:rsidRPr="00EA75C8" w14:paraId="38A38183"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469151E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10</w:t>
            </w:r>
          </w:p>
        </w:tc>
        <w:tc>
          <w:tcPr>
            <w:tcW w:w="1540" w:type="dxa"/>
            <w:tcBorders>
              <w:top w:val="nil"/>
              <w:left w:val="nil"/>
              <w:bottom w:val="nil"/>
              <w:right w:val="nil"/>
            </w:tcBorders>
            <w:shd w:val="clear" w:color="auto" w:fill="DCE6F1"/>
            <w:vAlign w:val="center"/>
            <w:hideMark/>
          </w:tcPr>
          <w:p w14:paraId="4FFFD9D1"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Atlikumu un plūsmu korekcija</w:t>
            </w:r>
          </w:p>
        </w:tc>
        <w:tc>
          <w:tcPr>
            <w:tcW w:w="1080" w:type="dxa"/>
            <w:tcBorders>
              <w:top w:val="nil"/>
              <w:left w:val="nil"/>
              <w:bottom w:val="nil"/>
              <w:right w:val="nil"/>
            </w:tcBorders>
            <w:shd w:val="clear" w:color="auto" w:fill="DCE6F1"/>
            <w:noWrap/>
            <w:vAlign w:val="center"/>
            <w:hideMark/>
          </w:tcPr>
          <w:p w14:paraId="25540B08"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2437FF2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1,6</w:t>
            </w:r>
          </w:p>
        </w:tc>
        <w:tc>
          <w:tcPr>
            <w:tcW w:w="920" w:type="dxa"/>
            <w:tcBorders>
              <w:top w:val="nil"/>
              <w:left w:val="nil"/>
              <w:bottom w:val="nil"/>
              <w:right w:val="nil"/>
            </w:tcBorders>
            <w:shd w:val="clear" w:color="auto" w:fill="auto"/>
            <w:noWrap/>
            <w:vAlign w:val="center"/>
            <w:hideMark/>
          </w:tcPr>
          <w:p w14:paraId="134485C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46CD4B3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1,0</w:t>
            </w:r>
          </w:p>
        </w:tc>
        <w:tc>
          <w:tcPr>
            <w:tcW w:w="920" w:type="dxa"/>
            <w:tcBorders>
              <w:top w:val="nil"/>
              <w:left w:val="nil"/>
              <w:bottom w:val="nil"/>
              <w:right w:val="nil"/>
            </w:tcBorders>
            <w:shd w:val="clear" w:color="auto" w:fill="auto"/>
            <w:noWrap/>
            <w:vAlign w:val="center"/>
            <w:hideMark/>
          </w:tcPr>
          <w:p w14:paraId="4CCB0C4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24A268A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595308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477443F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525F99F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r>
      <w:tr w:rsidR="00EA75C8" w:rsidRPr="00EA75C8" w14:paraId="535753AF"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73AC491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11</w:t>
            </w:r>
          </w:p>
        </w:tc>
        <w:tc>
          <w:tcPr>
            <w:tcW w:w="1540" w:type="dxa"/>
            <w:tcBorders>
              <w:top w:val="nil"/>
              <w:left w:val="nil"/>
              <w:bottom w:val="nil"/>
              <w:right w:val="nil"/>
            </w:tcBorders>
            <w:shd w:val="clear" w:color="auto" w:fill="DCE6F1"/>
            <w:vAlign w:val="center"/>
            <w:hideMark/>
          </w:tcPr>
          <w:p w14:paraId="337C0025"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Potenciālais IKP</w:t>
            </w:r>
          </w:p>
        </w:tc>
        <w:tc>
          <w:tcPr>
            <w:tcW w:w="1080" w:type="dxa"/>
            <w:tcBorders>
              <w:top w:val="nil"/>
              <w:left w:val="nil"/>
              <w:bottom w:val="nil"/>
              <w:right w:val="nil"/>
            </w:tcBorders>
            <w:shd w:val="clear" w:color="auto" w:fill="DCE6F1"/>
            <w:vAlign w:val="center"/>
            <w:hideMark/>
          </w:tcPr>
          <w:p w14:paraId="371E65BB"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24318C0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2,3</w:t>
            </w:r>
          </w:p>
        </w:tc>
        <w:tc>
          <w:tcPr>
            <w:tcW w:w="920" w:type="dxa"/>
            <w:tcBorders>
              <w:top w:val="nil"/>
              <w:left w:val="nil"/>
              <w:bottom w:val="nil"/>
              <w:right w:val="nil"/>
            </w:tcBorders>
            <w:shd w:val="clear" w:color="auto" w:fill="auto"/>
            <w:noWrap/>
            <w:vAlign w:val="center"/>
            <w:hideMark/>
          </w:tcPr>
          <w:p w14:paraId="1BD6B5C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2,2</w:t>
            </w:r>
          </w:p>
        </w:tc>
        <w:tc>
          <w:tcPr>
            <w:tcW w:w="920" w:type="dxa"/>
            <w:tcBorders>
              <w:top w:val="nil"/>
              <w:left w:val="nil"/>
              <w:bottom w:val="nil"/>
              <w:right w:val="nil"/>
            </w:tcBorders>
            <w:shd w:val="clear" w:color="auto" w:fill="auto"/>
            <w:noWrap/>
            <w:vAlign w:val="center"/>
            <w:hideMark/>
          </w:tcPr>
          <w:p w14:paraId="1707573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2,1</w:t>
            </w:r>
          </w:p>
        </w:tc>
        <w:tc>
          <w:tcPr>
            <w:tcW w:w="920" w:type="dxa"/>
            <w:tcBorders>
              <w:top w:val="nil"/>
              <w:left w:val="nil"/>
              <w:bottom w:val="nil"/>
              <w:right w:val="nil"/>
            </w:tcBorders>
            <w:shd w:val="clear" w:color="auto" w:fill="auto"/>
            <w:noWrap/>
            <w:vAlign w:val="center"/>
            <w:hideMark/>
          </w:tcPr>
          <w:p w14:paraId="0FAA02B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08362A1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0,9</w:t>
            </w:r>
          </w:p>
        </w:tc>
        <w:tc>
          <w:tcPr>
            <w:tcW w:w="920" w:type="dxa"/>
            <w:tcBorders>
              <w:top w:val="nil"/>
              <w:left w:val="nil"/>
              <w:bottom w:val="nil"/>
              <w:right w:val="nil"/>
            </w:tcBorders>
            <w:shd w:val="clear" w:color="auto" w:fill="auto"/>
            <w:noWrap/>
            <w:vAlign w:val="center"/>
            <w:hideMark/>
          </w:tcPr>
          <w:p w14:paraId="20F9ED3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0,9</w:t>
            </w:r>
          </w:p>
        </w:tc>
        <w:tc>
          <w:tcPr>
            <w:tcW w:w="920" w:type="dxa"/>
            <w:tcBorders>
              <w:top w:val="nil"/>
              <w:left w:val="nil"/>
              <w:bottom w:val="nil"/>
              <w:right w:val="nil"/>
            </w:tcBorders>
            <w:shd w:val="clear" w:color="auto" w:fill="auto"/>
            <w:noWrap/>
            <w:vAlign w:val="center"/>
            <w:hideMark/>
          </w:tcPr>
          <w:p w14:paraId="2F0DC1D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1,0</w:t>
            </w:r>
          </w:p>
        </w:tc>
        <w:tc>
          <w:tcPr>
            <w:tcW w:w="920" w:type="dxa"/>
            <w:tcBorders>
              <w:top w:val="nil"/>
              <w:left w:val="nil"/>
              <w:bottom w:val="nil"/>
              <w:right w:val="nil"/>
            </w:tcBorders>
            <w:shd w:val="clear" w:color="auto" w:fill="auto"/>
            <w:noWrap/>
            <w:vAlign w:val="center"/>
            <w:hideMark/>
          </w:tcPr>
          <w:p w14:paraId="3DD2997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1,1</w:t>
            </w:r>
          </w:p>
        </w:tc>
      </w:tr>
      <w:tr w:rsidR="00EA75C8" w:rsidRPr="00EA75C8" w14:paraId="50DF1029"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5832436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1540" w:type="dxa"/>
            <w:tcBorders>
              <w:top w:val="nil"/>
              <w:left w:val="nil"/>
              <w:bottom w:val="nil"/>
              <w:right w:val="nil"/>
            </w:tcBorders>
            <w:shd w:val="clear" w:color="auto" w:fill="DCE6F1"/>
            <w:vAlign w:val="center"/>
            <w:hideMark/>
          </w:tcPr>
          <w:p w14:paraId="1B50B6AA"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Reālais IKP</w:t>
            </w:r>
          </w:p>
        </w:tc>
        <w:tc>
          <w:tcPr>
            <w:tcW w:w="1080" w:type="dxa"/>
            <w:tcBorders>
              <w:top w:val="nil"/>
              <w:left w:val="nil"/>
              <w:bottom w:val="nil"/>
              <w:right w:val="nil"/>
            </w:tcBorders>
            <w:shd w:val="clear" w:color="auto" w:fill="DCE6F1"/>
            <w:vAlign w:val="center"/>
            <w:hideMark/>
          </w:tcPr>
          <w:p w14:paraId="027C4EFC"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75EEC80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-0,3</w:t>
            </w:r>
          </w:p>
        </w:tc>
        <w:tc>
          <w:tcPr>
            <w:tcW w:w="920" w:type="dxa"/>
            <w:tcBorders>
              <w:top w:val="nil"/>
              <w:left w:val="nil"/>
              <w:bottom w:val="nil"/>
              <w:right w:val="nil"/>
            </w:tcBorders>
            <w:shd w:val="clear" w:color="auto" w:fill="auto"/>
            <w:noWrap/>
            <w:vAlign w:val="center"/>
            <w:hideMark/>
          </w:tcPr>
          <w:p w14:paraId="647B998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c>
          <w:tcPr>
            <w:tcW w:w="920" w:type="dxa"/>
            <w:tcBorders>
              <w:top w:val="nil"/>
              <w:left w:val="nil"/>
              <w:bottom w:val="nil"/>
              <w:right w:val="nil"/>
            </w:tcBorders>
            <w:shd w:val="clear" w:color="auto" w:fill="auto"/>
            <w:noWrap/>
            <w:vAlign w:val="center"/>
            <w:hideMark/>
          </w:tcPr>
          <w:p w14:paraId="74BD54E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1E6F676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1,6</w:t>
            </w:r>
          </w:p>
        </w:tc>
        <w:tc>
          <w:tcPr>
            <w:tcW w:w="920" w:type="dxa"/>
            <w:tcBorders>
              <w:top w:val="nil"/>
              <w:left w:val="nil"/>
              <w:bottom w:val="nil"/>
              <w:right w:val="nil"/>
            </w:tcBorders>
            <w:shd w:val="clear" w:color="auto" w:fill="auto"/>
            <w:noWrap/>
            <w:vAlign w:val="center"/>
            <w:hideMark/>
          </w:tcPr>
          <w:p w14:paraId="32DFB94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4BD4D71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1,1</w:t>
            </w:r>
          </w:p>
        </w:tc>
        <w:tc>
          <w:tcPr>
            <w:tcW w:w="920" w:type="dxa"/>
            <w:tcBorders>
              <w:top w:val="nil"/>
              <w:left w:val="nil"/>
              <w:bottom w:val="nil"/>
              <w:right w:val="nil"/>
            </w:tcBorders>
            <w:shd w:val="clear" w:color="auto" w:fill="auto"/>
            <w:noWrap/>
            <w:vAlign w:val="center"/>
            <w:hideMark/>
          </w:tcPr>
          <w:p w14:paraId="3F4BE9C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5E53D35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r>
      <w:tr w:rsidR="00EA75C8" w:rsidRPr="00EA75C8" w14:paraId="5D85F0FA"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187BDC2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1540" w:type="dxa"/>
            <w:tcBorders>
              <w:top w:val="nil"/>
              <w:left w:val="nil"/>
              <w:bottom w:val="nil"/>
              <w:right w:val="nil"/>
            </w:tcBorders>
            <w:shd w:val="clear" w:color="auto" w:fill="DCE6F1"/>
            <w:vAlign w:val="center"/>
            <w:hideMark/>
          </w:tcPr>
          <w:p w14:paraId="62B95CD1"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 xml:space="preserve">IKP </w:t>
            </w:r>
            <w:proofErr w:type="spellStart"/>
            <w:r w:rsidRPr="00EA75C8">
              <w:rPr>
                <w:rFonts w:eastAsia="Times New Roman" w:cs="Times New Roman"/>
                <w:sz w:val="18"/>
                <w:szCs w:val="18"/>
                <w:lang w:eastAsia="lv-LV"/>
              </w:rPr>
              <w:t>deflators</w:t>
            </w:r>
            <w:proofErr w:type="spellEnd"/>
          </w:p>
        </w:tc>
        <w:tc>
          <w:tcPr>
            <w:tcW w:w="1080" w:type="dxa"/>
            <w:tcBorders>
              <w:top w:val="nil"/>
              <w:left w:val="nil"/>
              <w:bottom w:val="nil"/>
              <w:right w:val="nil"/>
            </w:tcBorders>
            <w:shd w:val="clear" w:color="auto" w:fill="DCE6F1"/>
            <w:vAlign w:val="center"/>
            <w:hideMark/>
          </w:tcPr>
          <w:p w14:paraId="7C2AB4E9"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0D6B399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5,4</w:t>
            </w:r>
          </w:p>
        </w:tc>
        <w:tc>
          <w:tcPr>
            <w:tcW w:w="920" w:type="dxa"/>
            <w:tcBorders>
              <w:top w:val="nil"/>
              <w:left w:val="nil"/>
              <w:bottom w:val="nil"/>
              <w:right w:val="nil"/>
            </w:tcBorders>
            <w:shd w:val="clear" w:color="auto" w:fill="auto"/>
            <w:noWrap/>
            <w:vAlign w:val="center"/>
            <w:hideMark/>
          </w:tcPr>
          <w:p w14:paraId="658C514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2,4</w:t>
            </w:r>
          </w:p>
        </w:tc>
        <w:tc>
          <w:tcPr>
            <w:tcW w:w="920" w:type="dxa"/>
            <w:tcBorders>
              <w:top w:val="nil"/>
              <w:left w:val="nil"/>
              <w:bottom w:val="nil"/>
              <w:right w:val="nil"/>
            </w:tcBorders>
            <w:shd w:val="clear" w:color="auto" w:fill="auto"/>
            <w:noWrap/>
            <w:vAlign w:val="center"/>
            <w:hideMark/>
          </w:tcPr>
          <w:p w14:paraId="5318112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5D57BE2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0A26604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7D47EDD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4B7C227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7443865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r>
      <w:tr w:rsidR="00EA75C8" w:rsidRPr="00EA75C8" w14:paraId="3B8E41FD" w14:textId="77777777" w:rsidTr="00EA75C8">
        <w:trPr>
          <w:trHeight w:val="480"/>
          <w:jc w:val="center"/>
        </w:trPr>
        <w:tc>
          <w:tcPr>
            <w:tcW w:w="460" w:type="dxa"/>
            <w:tcBorders>
              <w:top w:val="nil"/>
              <w:left w:val="nil"/>
              <w:bottom w:val="nil"/>
              <w:right w:val="nil"/>
            </w:tcBorders>
            <w:shd w:val="clear" w:color="auto" w:fill="BDD6EE"/>
            <w:noWrap/>
            <w:vAlign w:val="center"/>
            <w:hideMark/>
          </w:tcPr>
          <w:p w14:paraId="767A8F5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c>
          <w:tcPr>
            <w:tcW w:w="1540" w:type="dxa"/>
            <w:tcBorders>
              <w:top w:val="nil"/>
              <w:left w:val="nil"/>
              <w:bottom w:val="nil"/>
              <w:right w:val="nil"/>
            </w:tcBorders>
            <w:shd w:val="clear" w:color="auto" w:fill="DCE6F1"/>
            <w:vAlign w:val="center"/>
            <w:hideMark/>
          </w:tcPr>
          <w:p w14:paraId="56DA0BB8"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Nominālais IKP</w:t>
            </w:r>
          </w:p>
        </w:tc>
        <w:tc>
          <w:tcPr>
            <w:tcW w:w="1080" w:type="dxa"/>
            <w:tcBorders>
              <w:top w:val="nil"/>
              <w:left w:val="nil"/>
              <w:bottom w:val="nil"/>
              <w:right w:val="nil"/>
            </w:tcBorders>
            <w:shd w:val="clear" w:color="auto" w:fill="DCE6F1"/>
            <w:vAlign w:val="center"/>
            <w:hideMark/>
          </w:tcPr>
          <w:p w14:paraId="0600694A"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58D3EE6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5,1</w:t>
            </w:r>
          </w:p>
        </w:tc>
        <w:tc>
          <w:tcPr>
            <w:tcW w:w="920" w:type="dxa"/>
            <w:tcBorders>
              <w:top w:val="nil"/>
              <w:left w:val="nil"/>
              <w:bottom w:val="nil"/>
              <w:right w:val="nil"/>
            </w:tcBorders>
            <w:shd w:val="clear" w:color="auto" w:fill="auto"/>
            <w:noWrap/>
            <w:vAlign w:val="center"/>
            <w:hideMark/>
          </w:tcPr>
          <w:p w14:paraId="556D0FC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c>
          <w:tcPr>
            <w:tcW w:w="920" w:type="dxa"/>
            <w:tcBorders>
              <w:top w:val="nil"/>
              <w:left w:val="nil"/>
              <w:bottom w:val="nil"/>
              <w:right w:val="nil"/>
            </w:tcBorders>
            <w:shd w:val="clear" w:color="auto" w:fill="auto"/>
            <w:noWrap/>
            <w:vAlign w:val="center"/>
            <w:hideMark/>
          </w:tcPr>
          <w:p w14:paraId="5403078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5,5</w:t>
            </w:r>
          </w:p>
        </w:tc>
        <w:tc>
          <w:tcPr>
            <w:tcW w:w="920" w:type="dxa"/>
            <w:tcBorders>
              <w:top w:val="nil"/>
              <w:left w:val="nil"/>
              <w:bottom w:val="nil"/>
              <w:right w:val="nil"/>
            </w:tcBorders>
            <w:shd w:val="clear" w:color="auto" w:fill="auto"/>
            <w:noWrap/>
            <w:vAlign w:val="center"/>
            <w:hideMark/>
          </w:tcPr>
          <w:p w14:paraId="1344B5C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4,1</w:t>
            </w:r>
          </w:p>
        </w:tc>
        <w:tc>
          <w:tcPr>
            <w:tcW w:w="920" w:type="dxa"/>
            <w:tcBorders>
              <w:top w:val="nil"/>
              <w:left w:val="nil"/>
              <w:bottom w:val="nil"/>
              <w:right w:val="nil"/>
            </w:tcBorders>
            <w:shd w:val="clear" w:color="auto" w:fill="auto"/>
            <w:noWrap/>
            <w:vAlign w:val="center"/>
            <w:hideMark/>
          </w:tcPr>
          <w:p w14:paraId="4DFDCD0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3,7</w:t>
            </w:r>
          </w:p>
        </w:tc>
        <w:tc>
          <w:tcPr>
            <w:tcW w:w="920" w:type="dxa"/>
            <w:tcBorders>
              <w:top w:val="nil"/>
              <w:left w:val="nil"/>
              <w:bottom w:val="nil"/>
              <w:right w:val="nil"/>
            </w:tcBorders>
            <w:shd w:val="clear" w:color="auto" w:fill="auto"/>
            <w:noWrap/>
            <w:vAlign w:val="center"/>
            <w:hideMark/>
          </w:tcPr>
          <w:p w14:paraId="1CAEB76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3,6</w:t>
            </w:r>
          </w:p>
        </w:tc>
        <w:tc>
          <w:tcPr>
            <w:tcW w:w="920" w:type="dxa"/>
            <w:tcBorders>
              <w:top w:val="nil"/>
              <w:left w:val="nil"/>
              <w:bottom w:val="nil"/>
              <w:right w:val="nil"/>
            </w:tcBorders>
            <w:shd w:val="clear" w:color="auto" w:fill="auto"/>
            <w:noWrap/>
            <w:vAlign w:val="center"/>
            <w:hideMark/>
          </w:tcPr>
          <w:p w14:paraId="75BE663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3,7</w:t>
            </w:r>
          </w:p>
        </w:tc>
        <w:tc>
          <w:tcPr>
            <w:tcW w:w="920" w:type="dxa"/>
            <w:tcBorders>
              <w:top w:val="nil"/>
              <w:left w:val="nil"/>
              <w:bottom w:val="nil"/>
              <w:right w:val="nil"/>
            </w:tcBorders>
            <w:shd w:val="clear" w:color="auto" w:fill="auto"/>
            <w:noWrap/>
            <w:vAlign w:val="center"/>
            <w:hideMark/>
          </w:tcPr>
          <w:p w14:paraId="24646BF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r>
      <w:tr w:rsidR="00EA75C8" w:rsidRPr="00EA75C8" w14:paraId="057C8102" w14:textId="77777777" w:rsidTr="00EA75C8">
        <w:tblPrEx>
          <w:jc w:val="left"/>
        </w:tblPrEx>
        <w:trPr>
          <w:trHeight w:val="315"/>
        </w:trPr>
        <w:tc>
          <w:tcPr>
            <w:tcW w:w="460" w:type="dxa"/>
            <w:tcBorders>
              <w:top w:val="nil"/>
              <w:left w:val="nil"/>
              <w:bottom w:val="nil"/>
              <w:right w:val="nil"/>
            </w:tcBorders>
            <w:shd w:val="clear" w:color="auto" w:fill="BDD6EE"/>
            <w:noWrap/>
            <w:vAlign w:val="center"/>
            <w:hideMark/>
          </w:tcPr>
          <w:p w14:paraId="68B1F30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 </w:t>
            </w:r>
          </w:p>
        </w:tc>
        <w:tc>
          <w:tcPr>
            <w:tcW w:w="1540" w:type="dxa"/>
            <w:tcBorders>
              <w:top w:val="nil"/>
              <w:left w:val="nil"/>
              <w:bottom w:val="nil"/>
              <w:right w:val="nil"/>
            </w:tcBorders>
            <w:shd w:val="clear" w:color="auto" w:fill="BDD6EE"/>
            <w:noWrap/>
            <w:vAlign w:val="center"/>
            <w:hideMark/>
          </w:tcPr>
          <w:p w14:paraId="0DC503F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 </w:t>
            </w:r>
          </w:p>
        </w:tc>
        <w:tc>
          <w:tcPr>
            <w:tcW w:w="1080" w:type="dxa"/>
            <w:tcBorders>
              <w:top w:val="nil"/>
              <w:left w:val="nil"/>
              <w:bottom w:val="nil"/>
              <w:right w:val="nil"/>
            </w:tcBorders>
            <w:shd w:val="clear" w:color="auto" w:fill="BDD6EE"/>
            <w:vAlign w:val="center"/>
            <w:hideMark/>
          </w:tcPr>
          <w:p w14:paraId="5A3541CA" w14:textId="77777777" w:rsidR="00EA75C8" w:rsidRPr="00EA75C8" w:rsidRDefault="00EA75C8" w:rsidP="006357B3">
            <w:pPr>
              <w:spacing w:after="0" w:line="240" w:lineRule="auto"/>
              <w:ind w:firstLine="0"/>
              <w:jc w:val="center"/>
              <w:rPr>
                <w:rFonts w:eastAsia="Times New Roman" w:cs="Times New Roman"/>
                <w:color w:val="FFFFFF"/>
                <w:sz w:val="18"/>
                <w:szCs w:val="18"/>
                <w:lang w:eastAsia="lv-LV"/>
              </w:rPr>
            </w:pPr>
            <w:r w:rsidRPr="00EA75C8">
              <w:rPr>
                <w:rFonts w:eastAsia="Times New Roman" w:cs="Times New Roman"/>
                <w:color w:val="FFFFFF"/>
                <w:sz w:val="18"/>
                <w:szCs w:val="18"/>
                <w:lang w:eastAsia="lv-LV"/>
              </w:rPr>
              <w:t> </w:t>
            </w:r>
          </w:p>
        </w:tc>
        <w:tc>
          <w:tcPr>
            <w:tcW w:w="920" w:type="dxa"/>
            <w:tcBorders>
              <w:top w:val="nil"/>
              <w:left w:val="nil"/>
              <w:bottom w:val="nil"/>
              <w:right w:val="nil"/>
            </w:tcBorders>
            <w:shd w:val="clear" w:color="auto" w:fill="BDD6EE"/>
            <w:noWrap/>
            <w:vAlign w:val="center"/>
            <w:hideMark/>
          </w:tcPr>
          <w:p w14:paraId="4829CB48"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2031</w:t>
            </w:r>
          </w:p>
        </w:tc>
        <w:tc>
          <w:tcPr>
            <w:tcW w:w="920" w:type="dxa"/>
            <w:tcBorders>
              <w:top w:val="nil"/>
              <w:left w:val="nil"/>
              <w:bottom w:val="nil"/>
              <w:right w:val="nil"/>
            </w:tcBorders>
            <w:shd w:val="clear" w:color="auto" w:fill="BDD6EE"/>
            <w:noWrap/>
            <w:vAlign w:val="center"/>
            <w:hideMark/>
          </w:tcPr>
          <w:p w14:paraId="06686E63"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2032</w:t>
            </w:r>
          </w:p>
        </w:tc>
        <w:tc>
          <w:tcPr>
            <w:tcW w:w="920" w:type="dxa"/>
            <w:tcBorders>
              <w:top w:val="nil"/>
              <w:left w:val="nil"/>
              <w:bottom w:val="nil"/>
              <w:right w:val="nil"/>
            </w:tcBorders>
            <w:shd w:val="clear" w:color="auto" w:fill="BDD6EE"/>
            <w:noWrap/>
            <w:vAlign w:val="center"/>
            <w:hideMark/>
          </w:tcPr>
          <w:p w14:paraId="6F5F8EA6"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2033</w:t>
            </w:r>
          </w:p>
        </w:tc>
        <w:tc>
          <w:tcPr>
            <w:tcW w:w="920" w:type="dxa"/>
            <w:tcBorders>
              <w:top w:val="nil"/>
              <w:left w:val="nil"/>
              <w:bottom w:val="nil"/>
              <w:right w:val="nil"/>
            </w:tcBorders>
            <w:shd w:val="clear" w:color="auto" w:fill="BDD6EE"/>
            <w:noWrap/>
            <w:vAlign w:val="center"/>
            <w:hideMark/>
          </w:tcPr>
          <w:p w14:paraId="3FF06978"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2034</w:t>
            </w:r>
          </w:p>
        </w:tc>
        <w:tc>
          <w:tcPr>
            <w:tcW w:w="920" w:type="dxa"/>
            <w:tcBorders>
              <w:top w:val="nil"/>
              <w:left w:val="nil"/>
              <w:bottom w:val="nil"/>
              <w:right w:val="nil"/>
            </w:tcBorders>
            <w:shd w:val="clear" w:color="auto" w:fill="BDD6EE"/>
            <w:noWrap/>
            <w:vAlign w:val="center"/>
            <w:hideMark/>
          </w:tcPr>
          <w:p w14:paraId="050B017B"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2035</w:t>
            </w:r>
          </w:p>
        </w:tc>
        <w:tc>
          <w:tcPr>
            <w:tcW w:w="920" w:type="dxa"/>
            <w:tcBorders>
              <w:top w:val="nil"/>
              <w:left w:val="nil"/>
              <w:bottom w:val="nil"/>
              <w:right w:val="nil"/>
            </w:tcBorders>
            <w:shd w:val="clear" w:color="auto" w:fill="BDD6EE"/>
            <w:noWrap/>
            <w:vAlign w:val="center"/>
            <w:hideMark/>
          </w:tcPr>
          <w:p w14:paraId="124479D8"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2036</w:t>
            </w:r>
          </w:p>
        </w:tc>
        <w:tc>
          <w:tcPr>
            <w:tcW w:w="920" w:type="dxa"/>
            <w:tcBorders>
              <w:top w:val="nil"/>
              <w:left w:val="nil"/>
              <w:bottom w:val="nil"/>
              <w:right w:val="nil"/>
            </w:tcBorders>
            <w:shd w:val="clear" w:color="auto" w:fill="BDD6EE"/>
            <w:noWrap/>
            <w:vAlign w:val="center"/>
            <w:hideMark/>
          </w:tcPr>
          <w:p w14:paraId="680302BF"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2037</w:t>
            </w:r>
          </w:p>
        </w:tc>
        <w:tc>
          <w:tcPr>
            <w:tcW w:w="920" w:type="dxa"/>
            <w:tcBorders>
              <w:top w:val="nil"/>
              <w:left w:val="nil"/>
              <w:bottom w:val="nil"/>
              <w:right w:val="nil"/>
            </w:tcBorders>
            <w:shd w:val="clear" w:color="auto" w:fill="BDD6EE"/>
            <w:noWrap/>
            <w:vAlign w:val="center"/>
            <w:hideMark/>
          </w:tcPr>
          <w:p w14:paraId="568D4AD4" w14:textId="77777777" w:rsidR="00EA75C8" w:rsidRPr="00EA75C8" w:rsidRDefault="00EA75C8" w:rsidP="006357B3">
            <w:pPr>
              <w:spacing w:after="0" w:line="240" w:lineRule="auto"/>
              <w:ind w:firstLine="0"/>
              <w:jc w:val="center"/>
              <w:rPr>
                <w:rFonts w:eastAsia="Times New Roman" w:cs="Times New Roman"/>
                <w:b/>
                <w:bCs/>
                <w:color w:val="000000"/>
                <w:sz w:val="18"/>
                <w:szCs w:val="18"/>
                <w:lang w:eastAsia="lv-LV"/>
              </w:rPr>
            </w:pPr>
            <w:r w:rsidRPr="00EA75C8">
              <w:rPr>
                <w:rFonts w:eastAsia="Times New Roman" w:cs="Times New Roman"/>
                <w:b/>
                <w:bCs/>
                <w:color w:val="000000"/>
                <w:sz w:val="18"/>
                <w:szCs w:val="18"/>
                <w:lang w:eastAsia="lv-LV"/>
              </w:rPr>
              <w:t>2038</w:t>
            </w:r>
          </w:p>
        </w:tc>
      </w:tr>
      <w:tr w:rsidR="00EA75C8" w:rsidRPr="00EA75C8" w14:paraId="31C028CC" w14:textId="77777777" w:rsidTr="00EA75C8">
        <w:tblPrEx>
          <w:jc w:val="left"/>
        </w:tblPrEx>
        <w:trPr>
          <w:trHeight w:val="315"/>
        </w:trPr>
        <w:tc>
          <w:tcPr>
            <w:tcW w:w="460" w:type="dxa"/>
            <w:tcBorders>
              <w:top w:val="nil"/>
              <w:left w:val="nil"/>
              <w:bottom w:val="nil"/>
              <w:right w:val="nil"/>
            </w:tcBorders>
            <w:shd w:val="clear" w:color="auto" w:fill="BDD6EE"/>
            <w:noWrap/>
            <w:vAlign w:val="center"/>
            <w:hideMark/>
          </w:tcPr>
          <w:p w14:paraId="146DE2F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w:t>
            </w:r>
          </w:p>
        </w:tc>
        <w:tc>
          <w:tcPr>
            <w:tcW w:w="1540" w:type="dxa"/>
            <w:tcBorders>
              <w:top w:val="nil"/>
              <w:left w:val="nil"/>
              <w:bottom w:val="nil"/>
              <w:right w:val="nil"/>
            </w:tcBorders>
            <w:shd w:val="clear" w:color="auto" w:fill="DCE6F1"/>
            <w:vAlign w:val="center"/>
            <w:hideMark/>
          </w:tcPr>
          <w:p w14:paraId="56A93B9A"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Bruto parāds</w:t>
            </w:r>
          </w:p>
        </w:tc>
        <w:tc>
          <w:tcPr>
            <w:tcW w:w="1080" w:type="dxa"/>
            <w:tcBorders>
              <w:top w:val="nil"/>
              <w:left w:val="nil"/>
              <w:bottom w:val="nil"/>
              <w:right w:val="nil"/>
            </w:tcBorders>
            <w:shd w:val="clear" w:color="auto" w:fill="DCE6F1"/>
            <w:noWrap/>
            <w:vAlign w:val="center"/>
            <w:hideMark/>
          </w:tcPr>
          <w:p w14:paraId="35607849"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50F34D3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53,9</w:t>
            </w:r>
          </w:p>
        </w:tc>
        <w:tc>
          <w:tcPr>
            <w:tcW w:w="920" w:type="dxa"/>
            <w:tcBorders>
              <w:top w:val="nil"/>
              <w:left w:val="nil"/>
              <w:bottom w:val="nil"/>
              <w:right w:val="nil"/>
            </w:tcBorders>
            <w:shd w:val="clear" w:color="auto" w:fill="auto"/>
            <w:noWrap/>
            <w:vAlign w:val="center"/>
            <w:hideMark/>
          </w:tcPr>
          <w:p w14:paraId="20E6999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54,9</w:t>
            </w:r>
          </w:p>
        </w:tc>
        <w:tc>
          <w:tcPr>
            <w:tcW w:w="920" w:type="dxa"/>
            <w:tcBorders>
              <w:top w:val="nil"/>
              <w:left w:val="nil"/>
              <w:bottom w:val="nil"/>
              <w:right w:val="nil"/>
            </w:tcBorders>
            <w:shd w:val="clear" w:color="auto" w:fill="auto"/>
            <w:noWrap/>
            <w:vAlign w:val="center"/>
            <w:hideMark/>
          </w:tcPr>
          <w:p w14:paraId="499E0DF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55,9</w:t>
            </w:r>
          </w:p>
        </w:tc>
        <w:tc>
          <w:tcPr>
            <w:tcW w:w="920" w:type="dxa"/>
            <w:tcBorders>
              <w:top w:val="nil"/>
              <w:left w:val="nil"/>
              <w:bottom w:val="nil"/>
              <w:right w:val="nil"/>
            </w:tcBorders>
            <w:shd w:val="clear" w:color="auto" w:fill="auto"/>
            <w:noWrap/>
            <w:vAlign w:val="center"/>
            <w:hideMark/>
          </w:tcPr>
          <w:p w14:paraId="4F89AE3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56,8</w:t>
            </w:r>
          </w:p>
        </w:tc>
        <w:tc>
          <w:tcPr>
            <w:tcW w:w="920" w:type="dxa"/>
            <w:tcBorders>
              <w:top w:val="nil"/>
              <w:left w:val="nil"/>
              <w:bottom w:val="nil"/>
              <w:right w:val="nil"/>
            </w:tcBorders>
            <w:shd w:val="clear" w:color="auto" w:fill="auto"/>
            <w:noWrap/>
            <w:vAlign w:val="center"/>
            <w:hideMark/>
          </w:tcPr>
          <w:p w14:paraId="6FED61B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57,7</w:t>
            </w:r>
          </w:p>
        </w:tc>
        <w:tc>
          <w:tcPr>
            <w:tcW w:w="920" w:type="dxa"/>
            <w:tcBorders>
              <w:top w:val="nil"/>
              <w:left w:val="nil"/>
              <w:bottom w:val="nil"/>
              <w:right w:val="nil"/>
            </w:tcBorders>
            <w:shd w:val="clear" w:color="auto" w:fill="auto"/>
            <w:noWrap/>
            <w:vAlign w:val="center"/>
            <w:hideMark/>
          </w:tcPr>
          <w:p w14:paraId="00CBE09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58,5</w:t>
            </w:r>
          </w:p>
        </w:tc>
        <w:tc>
          <w:tcPr>
            <w:tcW w:w="920" w:type="dxa"/>
            <w:tcBorders>
              <w:top w:val="nil"/>
              <w:left w:val="nil"/>
              <w:bottom w:val="nil"/>
              <w:right w:val="nil"/>
            </w:tcBorders>
            <w:shd w:val="clear" w:color="auto" w:fill="auto"/>
            <w:noWrap/>
            <w:vAlign w:val="center"/>
            <w:hideMark/>
          </w:tcPr>
          <w:p w14:paraId="2872B7A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59,2</w:t>
            </w:r>
          </w:p>
        </w:tc>
        <w:tc>
          <w:tcPr>
            <w:tcW w:w="920" w:type="dxa"/>
            <w:tcBorders>
              <w:top w:val="nil"/>
              <w:left w:val="nil"/>
              <w:bottom w:val="nil"/>
              <w:right w:val="nil"/>
            </w:tcBorders>
            <w:shd w:val="clear" w:color="auto" w:fill="auto"/>
            <w:noWrap/>
            <w:vAlign w:val="center"/>
            <w:hideMark/>
          </w:tcPr>
          <w:p w14:paraId="53FD26A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59,9</w:t>
            </w:r>
          </w:p>
        </w:tc>
      </w:tr>
      <w:tr w:rsidR="00EA75C8" w:rsidRPr="00EA75C8" w14:paraId="1DC1A3E7"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33E9F9B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w:t>
            </w:r>
          </w:p>
        </w:tc>
        <w:tc>
          <w:tcPr>
            <w:tcW w:w="1540" w:type="dxa"/>
            <w:tcBorders>
              <w:top w:val="nil"/>
              <w:left w:val="nil"/>
              <w:bottom w:val="nil"/>
              <w:right w:val="nil"/>
            </w:tcBorders>
            <w:shd w:val="clear" w:color="auto" w:fill="DCE6F1"/>
            <w:vAlign w:val="center"/>
            <w:hideMark/>
          </w:tcPr>
          <w:p w14:paraId="321DD8FE"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Vispārējās valdības bilance</w:t>
            </w:r>
          </w:p>
        </w:tc>
        <w:tc>
          <w:tcPr>
            <w:tcW w:w="1080" w:type="dxa"/>
            <w:tcBorders>
              <w:top w:val="nil"/>
              <w:left w:val="nil"/>
              <w:bottom w:val="nil"/>
              <w:right w:val="nil"/>
            </w:tcBorders>
            <w:shd w:val="clear" w:color="auto" w:fill="DCE6F1"/>
            <w:noWrap/>
            <w:vAlign w:val="center"/>
            <w:hideMark/>
          </w:tcPr>
          <w:p w14:paraId="3E1A5740"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1391F6F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c>
          <w:tcPr>
            <w:tcW w:w="920" w:type="dxa"/>
            <w:tcBorders>
              <w:top w:val="nil"/>
              <w:left w:val="nil"/>
              <w:bottom w:val="nil"/>
              <w:right w:val="nil"/>
            </w:tcBorders>
            <w:shd w:val="clear" w:color="auto" w:fill="auto"/>
            <w:noWrap/>
            <w:vAlign w:val="center"/>
            <w:hideMark/>
          </w:tcPr>
          <w:p w14:paraId="61BC047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-3,0</w:t>
            </w:r>
          </w:p>
        </w:tc>
        <w:tc>
          <w:tcPr>
            <w:tcW w:w="920" w:type="dxa"/>
            <w:tcBorders>
              <w:top w:val="nil"/>
              <w:left w:val="nil"/>
              <w:bottom w:val="nil"/>
              <w:right w:val="nil"/>
            </w:tcBorders>
            <w:shd w:val="clear" w:color="auto" w:fill="auto"/>
            <w:noWrap/>
            <w:vAlign w:val="center"/>
            <w:hideMark/>
          </w:tcPr>
          <w:p w14:paraId="050560C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-3,0</w:t>
            </w:r>
          </w:p>
        </w:tc>
        <w:tc>
          <w:tcPr>
            <w:tcW w:w="920" w:type="dxa"/>
            <w:tcBorders>
              <w:top w:val="nil"/>
              <w:left w:val="nil"/>
              <w:bottom w:val="nil"/>
              <w:right w:val="nil"/>
            </w:tcBorders>
            <w:shd w:val="clear" w:color="auto" w:fill="auto"/>
            <w:noWrap/>
            <w:vAlign w:val="center"/>
            <w:hideMark/>
          </w:tcPr>
          <w:p w14:paraId="3A5E16D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-3,0</w:t>
            </w:r>
          </w:p>
        </w:tc>
        <w:tc>
          <w:tcPr>
            <w:tcW w:w="920" w:type="dxa"/>
            <w:tcBorders>
              <w:top w:val="nil"/>
              <w:left w:val="nil"/>
              <w:bottom w:val="nil"/>
              <w:right w:val="nil"/>
            </w:tcBorders>
            <w:shd w:val="clear" w:color="auto" w:fill="auto"/>
            <w:noWrap/>
            <w:vAlign w:val="center"/>
            <w:hideMark/>
          </w:tcPr>
          <w:p w14:paraId="46A0306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-3,0</w:t>
            </w:r>
          </w:p>
        </w:tc>
        <w:tc>
          <w:tcPr>
            <w:tcW w:w="920" w:type="dxa"/>
            <w:tcBorders>
              <w:top w:val="nil"/>
              <w:left w:val="nil"/>
              <w:bottom w:val="nil"/>
              <w:right w:val="nil"/>
            </w:tcBorders>
            <w:shd w:val="clear" w:color="auto" w:fill="auto"/>
            <w:noWrap/>
            <w:vAlign w:val="center"/>
            <w:hideMark/>
          </w:tcPr>
          <w:p w14:paraId="0A6E56A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-3,0</w:t>
            </w:r>
          </w:p>
        </w:tc>
        <w:tc>
          <w:tcPr>
            <w:tcW w:w="920" w:type="dxa"/>
            <w:tcBorders>
              <w:top w:val="nil"/>
              <w:left w:val="nil"/>
              <w:bottom w:val="nil"/>
              <w:right w:val="nil"/>
            </w:tcBorders>
            <w:shd w:val="clear" w:color="auto" w:fill="auto"/>
            <w:noWrap/>
            <w:vAlign w:val="center"/>
            <w:hideMark/>
          </w:tcPr>
          <w:p w14:paraId="46003AE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-3,0</w:t>
            </w:r>
          </w:p>
        </w:tc>
        <w:tc>
          <w:tcPr>
            <w:tcW w:w="920" w:type="dxa"/>
            <w:tcBorders>
              <w:top w:val="nil"/>
              <w:left w:val="nil"/>
              <w:bottom w:val="nil"/>
              <w:right w:val="nil"/>
            </w:tcBorders>
            <w:shd w:val="clear" w:color="auto" w:fill="auto"/>
            <w:noWrap/>
            <w:vAlign w:val="center"/>
            <w:hideMark/>
          </w:tcPr>
          <w:p w14:paraId="11E1C7F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-2,9</w:t>
            </w:r>
          </w:p>
        </w:tc>
      </w:tr>
      <w:tr w:rsidR="00EA75C8" w:rsidRPr="00EA75C8" w14:paraId="63FC9A3B"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28B9A5D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w:t>
            </w:r>
          </w:p>
        </w:tc>
        <w:tc>
          <w:tcPr>
            <w:tcW w:w="1540" w:type="dxa"/>
            <w:tcBorders>
              <w:top w:val="nil"/>
              <w:left w:val="nil"/>
              <w:bottom w:val="nil"/>
              <w:right w:val="nil"/>
            </w:tcBorders>
            <w:shd w:val="clear" w:color="auto" w:fill="DCE6F1"/>
            <w:vAlign w:val="center"/>
            <w:hideMark/>
          </w:tcPr>
          <w:p w14:paraId="751C0989"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Strukturālā primārā bilance</w:t>
            </w:r>
          </w:p>
        </w:tc>
        <w:tc>
          <w:tcPr>
            <w:tcW w:w="1080" w:type="dxa"/>
            <w:tcBorders>
              <w:top w:val="nil"/>
              <w:left w:val="nil"/>
              <w:bottom w:val="nil"/>
              <w:right w:val="nil"/>
            </w:tcBorders>
            <w:shd w:val="clear" w:color="auto" w:fill="DCE6F1"/>
            <w:vAlign w:val="center"/>
            <w:hideMark/>
          </w:tcPr>
          <w:p w14:paraId="4FA6C434"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xml:space="preserve">% no </w:t>
            </w:r>
            <w:proofErr w:type="spellStart"/>
            <w:r w:rsidRPr="00EA75C8">
              <w:rPr>
                <w:rFonts w:eastAsia="Times New Roman" w:cs="Times New Roman"/>
                <w:color w:val="000000"/>
                <w:sz w:val="18"/>
                <w:szCs w:val="18"/>
                <w:lang w:eastAsia="lv-LV"/>
              </w:rPr>
              <w:t>pot</w:t>
            </w:r>
            <w:proofErr w:type="spellEnd"/>
            <w:r w:rsidRPr="00EA75C8">
              <w:rPr>
                <w:rFonts w:eastAsia="Times New Roman" w:cs="Times New Roman"/>
                <w:color w:val="000000"/>
                <w:sz w:val="18"/>
                <w:szCs w:val="18"/>
                <w:lang w:eastAsia="lv-LV"/>
              </w:rPr>
              <w:t>. IKP</w:t>
            </w:r>
          </w:p>
        </w:tc>
        <w:tc>
          <w:tcPr>
            <w:tcW w:w="920" w:type="dxa"/>
            <w:tcBorders>
              <w:top w:val="nil"/>
              <w:left w:val="nil"/>
              <w:bottom w:val="nil"/>
              <w:right w:val="nil"/>
            </w:tcBorders>
            <w:shd w:val="clear" w:color="auto" w:fill="auto"/>
            <w:noWrap/>
            <w:vAlign w:val="center"/>
            <w:hideMark/>
          </w:tcPr>
          <w:p w14:paraId="4BC1ED6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69BDABE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2C78F08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36B0073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1A11AE3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3355104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615F4D2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201F188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r>
      <w:tr w:rsidR="00EA75C8" w:rsidRPr="00EA75C8" w14:paraId="191BFF71"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6CB5A33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w:t>
            </w:r>
          </w:p>
        </w:tc>
        <w:tc>
          <w:tcPr>
            <w:tcW w:w="1540" w:type="dxa"/>
            <w:tcBorders>
              <w:top w:val="nil"/>
              <w:left w:val="nil"/>
              <w:bottom w:val="nil"/>
              <w:right w:val="nil"/>
            </w:tcBorders>
            <w:shd w:val="clear" w:color="auto" w:fill="DCE6F1"/>
            <w:vAlign w:val="center"/>
            <w:hideMark/>
          </w:tcPr>
          <w:p w14:paraId="0F42A63C"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Cikliskais komponents</w:t>
            </w:r>
          </w:p>
        </w:tc>
        <w:tc>
          <w:tcPr>
            <w:tcW w:w="1080" w:type="dxa"/>
            <w:tcBorders>
              <w:top w:val="nil"/>
              <w:left w:val="nil"/>
              <w:bottom w:val="nil"/>
              <w:right w:val="nil"/>
            </w:tcBorders>
            <w:shd w:val="clear" w:color="auto" w:fill="DCE6F1"/>
            <w:vAlign w:val="center"/>
            <w:hideMark/>
          </w:tcPr>
          <w:p w14:paraId="0AF00306"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xml:space="preserve">% no </w:t>
            </w:r>
            <w:proofErr w:type="spellStart"/>
            <w:r w:rsidRPr="00EA75C8">
              <w:rPr>
                <w:rFonts w:eastAsia="Times New Roman" w:cs="Times New Roman"/>
                <w:color w:val="000000"/>
                <w:sz w:val="18"/>
                <w:szCs w:val="18"/>
                <w:lang w:eastAsia="lv-LV"/>
              </w:rPr>
              <w:t>pot</w:t>
            </w:r>
            <w:proofErr w:type="spellEnd"/>
            <w:r w:rsidRPr="00EA75C8">
              <w:rPr>
                <w:rFonts w:eastAsia="Times New Roman" w:cs="Times New Roman"/>
                <w:color w:val="000000"/>
                <w:sz w:val="18"/>
                <w:szCs w:val="18"/>
                <w:lang w:eastAsia="lv-LV"/>
              </w:rPr>
              <w:t>. IKP</w:t>
            </w:r>
          </w:p>
        </w:tc>
        <w:tc>
          <w:tcPr>
            <w:tcW w:w="920" w:type="dxa"/>
            <w:tcBorders>
              <w:top w:val="nil"/>
              <w:left w:val="nil"/>
              <w:bottom w:val="nil"/>
              <w:right w:val="nil"/>
            </w:tcBorders>
            <w:shd w:val="clear" w:color="auto" w:fill="auto"/>
            <w:noWrap/>
            <w:vAlign w:val="center"/>
            <w:hideMark/>
          </w:tcPr>
          <w:p w14:paraId="34B0ABA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78B5575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5FE5921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522F17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289581E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AA4319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580F1EB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5719F01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r>
      <w:tr w:rsidR="00EA75C8" w:rsidRPr="00EA75C8" w14:paraId="0EFBEE24"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6223532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5</w:t>
            </w:r>
          </w:p>
        </w:tc>
        <w:tc>
          <w:tcPr>
            <w:tcW w:w="1540" w:type="dxa"/>
            <w:tcBorders>
              <w:top w:val="nil"/>
              <w:left w:val="nil"/>
              <w:bottom w:val="nil"/>
              <w:right w:val="nil"/>
            </w:tcBorders>
            <w:shd w:val="clear" w:color="auto" w:fill="DCE6F1"/>
            <w:vAlign w:val="center"/>
            <w:hideMark/>
          </w:tcPr>
          <w:p w14:paraId="003A462F"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Vienreizēji pasākumi</w:t>
            </w:r>
          </w:p>
        </w:tc>
        <w:tc>
          <w:tcPr>
            <w:tcW w:w="1080" w:type="dxa"/>
            <w:tcBorders>
              <w:top w:val="nil"/>
              <w:left w:val="nil"/>
              <w:bottom w:val="nil"/>
              <w:right w:val="nil"/>
            </w:tcBorders>
            <w:shd w:val="clear" w:color="auto" w:fill="DCE6F1"/>
            <w:noWrap/>
            <w:vAlign w:val="center"/>
            <w:hideMark/>
          </w:tcPr>
          <w:p w14:paraId="56A316F8"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49B5142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42D28E7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22AFEF2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5275898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22AA16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387F4C6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6A1FC2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F536FF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r>
      <w:tr w:rsidR="00EA75C8" w:rsidRPr="00EA75C8" w14:paraId="600B7E58" w14:textId="77777777" w:rsidTr="00EA75C8">
        <w:tblPrEx>
          <w:jc w:val="left"/>
        </w:tblPrEx>
        <w:trPr>
          <w:trHeight w:val="315"/>
        </w:trPr>
        <w:tc>
          <w:tcPr>
            <w:tcW w:w="460" w:type="dxa"/>
            <w:tcBorders>
              <w:top w:val="nil"/>
              <w:left w:val="nil"/>
              <w:bottom w:val="nil"/>
              <w:right w:val="nil"/>
            </w:tcBorders>
            <w:shd w:val="clear" w:color="auto" w:fill="BDD6EE"/>
            <w:noWrap/>
            <w:vAlign w:val="center"/>
            <w:hideMark/>
          </w:tcPr>
          <w:p w14:paraId="71EB9B8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6</w:t>
            </w:r>
          </w:p>
        </w:tc>
        <w:tc>
          <w:tcPr>
            <w:tcW w:w="1540" w:type="dxa"/>
            <w:tcBorders>
              <w:top w:val="nil"/>
              <w:left w:val="nil"/>
              <w:bottom w:val="nil"/>
              <w:right w:val="nil"/>
            </w:tcBorders>
            <w:shd w:val="clear" w:color="auto" w:fill="DCE6F1"/>
            <w:vAlign w:val="center"/>
            <w:hideMark/>
          </w:tcPr>
          <w:p w14:paraId="76B9F8E2"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Procentu izdevumi</w:t>
            </w:r>
          </w:p>
        </w:tc>
        <w:tc>
          <w:tcPr>
            <w:tcW w:w="1080" w:type="dxa"/>
            <w:tcBorders>
              <w:top w:val="nil"/>
              <w:left w:val="nil"/>
              <w:bottom w:val="nil"/>
              <w:right w:val="nil"/>
            </w:tcBorders>
            <w:shd w:val="clear" w:color="auto" w:fill="DCE6F1"/>
            <w:noWrap/>
            <w:vAlign w:val="center"/>
            <w:hideMark/>
          </w:tcPr>
          <w:p w14:paraId="578DDF86"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78C5076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1,7</w:t>
            </w:r>
          </w:p>
        </w:tc>
        <w:tc>
          <w:tcPr>
            <w:tcW w:w="920" w:type="dxa"/>
            <w:tcBorders>
              <w:top w:val="nil"/>
              <w:left w:val="nil"/>
              <w:bottom w:val="nil"/>
              <w:right w:val="nil"/>
            </w:tcBorders>
            <w:shd w:val="clear" w:color="auto" w:fill="auto"/>
            <w:noWrap/>
            <w:vAlign w:val="center"/>
            <w:hideMark/>
          </w:tcPr>
          <w:p w14:paraId="39B9A73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1,8</w:t>
            </w:r>
          </w:p>
        </w:tc>
        <w:tc>
          <w:tcPr>
            <w:tcW w:w="920" w:type="dxa"/>
            <w:tcBorders>
              <w:top w:val="nil"/>
              <w:left w:val="nil"/>
              <w:bottom w:val="nil"/>
              <w:right w:val="nil"/>
            </w:tcBorders>
            <w:shd w:val="clear" w:color="auto" w:fill="auto"/>
            <w:noWrap/>
            <w:vAlign w:val="center"/>
            <w:hideMark/>
          </w:tcPr>
          <w:p w14:paraId="2251278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1,9</w:t>
            </w:r>
          </w:p>
        </w:tc>
        <w:tc>
          <w:tcPr>
            <w:tcW w:w="920" w:type="dxa"/>
            <w:tcBorders>
              <w:top w:val="nil"/>
              <w:left w:val="nil"/>
              <w:bottom w:val="nil"/>
              <w:right w:val="nil"/>
            </w:tcBorders>
            <w:shd w:val="clear" w:color="auto" w:fill="auto"/>
            <w:noWrap/>
            <w:vAlign w:val="center"/>
            <w:hideMark/>
          </w:tcPr>
          <w:p w14:paraId="1E66162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1,9</w:t>
            </w:r>
          </w:p>
        </w:tc>
        <w:tc>
          <w:tcPr>
            <w:tcW w:w="920" w:type="dxa"/>
            <w:tcBorders>
              <w:top w:val="nil"/>
              <w:left w:val="nil"/>
              <w:bottom w:val="nil"/>
              <w:right w:val="nil"/>
            </w:tcBorders>
            <w:shd w:val="clear" w:color="auto" w:fill="auto"/>
            <w:noWrap/>
            <w:vAlign w:val="center"/>
            <w:hideMark/>
          </w:tcPr>
          <w:p w14:paraId="4D6C7AC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2,0</w:t>
            </w:r>
          </w:p>
        </w:tc>
        <w:tc>
          <w:tcPr>
            <w:tcW w:w="920" w:type="dxa"/>
            <w:tcBorders>
              <w:top w:val="nil"/>
              <w:left w:val="nil"/>
              <w:bottom w:val="nil"/>
              <w:right w:val="nil"/>
            </w:tcBorders>
            <w:shd w:val="clear" w:color="auto" w:fill="auto"/>
            <w:noWrap/>
            <w:vAlign w:val="center"/>
            <w:hideMark/>
          </w:tcPr>
          <w:p w14:paraId="55B02A3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2,0</w:t>
            </w:r>
          </w:p>
        </w:tc>
        <w:tc>
          <w:tcPr>
            <w:tcW w:w="920" w:type="dxa"/>
            <w:tcBorders>
              <w:top w:val="nil"/>
              <w:left w:val="nil"/>
              <w:bottom w:val="nil"/>
              <w:right w:val="nil"/>
            </w:tcBorders>
            <w:shd w:val="clear" w:color="auto" w:fill="auto"/>
            <w:noWrap/>
            <w:vAlign w:val="center"/>
            <w:hideMark/>
          </w:tcPr>
          <w:p w14:paraId="62508A1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2,1</w:t>
            </w:r>
          </w:p>
        </w:tc>
        <w:tc>
          <w:tcPr>
            <w:tcW w:w="920" w:type="dxa"/>
            <w:tcBorders>
              <w:top w:val="nil"/>
              <w:left w:val="nil"/>
              <w:bottom w:val="nil"/>
              <w:right w:val="nil"/>
            </w:tcBorders>
            <w:shd w:val="clear" w:color="auto" w:fill="auto"/>
            <w:noWrap/>
            <w:vAlign w:val="center"/>
            <w:hideMark/>
          </w:tcPr>
          <w:p w14:paraId="46CDCBA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2,1</w:t>
            </w:r>
          </w:p>
        </w:tc>
      </w:tr>
      <w:tr w:rsidR="00EA75C8" w:rsidRPr="00EA75C8" w14:paraId="5A1CB108"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33FACF4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7</w:t>
            </w:r>
          </w:p>
        </w:tc>
        <w:tc>
          <w:tcPr>
            <w:tcW w:w="1540" w:type="dxa"/>
            <w:tcBorders>
              <w:top w:val="nil"/>
              <w:left w:val="nil"/>
              <w:bottom w:val="nil"/>
              <w:right w:val="nil"/>
            </w:tcBorders>
            <w:shd w:val="clear" w:color="auto" w:fill="DCE6F1"/>
            <w:vAlign w:val="center"/>
            <w:hideMark/>
          </w:tcPr>
          <w:p w14:paraId="37EEEAC7"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Ilgtermiņa procentu likme</w:t>
            </w:r>
          </w:p>
        </w:tc>
        <w:tc>
          <w:tcPr>
            <w:tcW w:w="1080" w:type="dxa"/>
            <w:tcBorders>
              <w:top w:val="nil"/>
              <w:left w:val="nil"/>
              <w:bottom w:val="nil"/>
              <w:right w:val="nil"/>
            </w:tcBorders>
            <w:shd w:val="clear" w:color="auto" w:fill="DCE6F1"/>
            <w:noWrap/>
            <w:vAlign w:val="center"/>
            <w:hideMark/>
          </w:tcPr>
          <w:p w14:paraId="63B1A42A"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w:t>
            </w:r>
          </w:p>
        </w:tc>
        <w:tc>
          <w:tcPr>
            <w:tcW w:w="920" w:type="dxa"/>
            <w:tcBorders>
              <w:top w:val="nil"/>
              <w:left w:val="nil"/>
              <w:bottom w:val="nil"/>
              <w:right w:val="nil"/>
            </w:tcBorders>
            <w:shd w:val="clear" w:color="auto" w:fill="auto"/>
            <w:noWrap/>
            <w:vAlign w:val="center"/>
            <w:hideMark/>
          </w:tcPr>
          <w:p w14:paraId="30F3D13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3,9</w:t>
            </w:r>
          </w:p>
        </w:tc>
        <w:tc>
          <w:tcPr>
            <w:tcW w:w="920" w:type="dxa"/>
            <w:tcBorders>
              <w:top w:val="nil"/>
              <w:left w:val="nil"/>
              <w:bottom w:val="nil"/>
              <w:right w:val="nil"/>
            </w:tcBorders>
            <w:shd w:val="clear" w:color="auto" w:fill="auto"/>
            <w:noWrap/>
            <w:vAlign w:val="center"/>
            <w:hideMark/>
          </w:tcPr>
          <w:p w14:paraId="14AE5C1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3,9</w:t>
            </w:r>
          </w:p>
        </w:tc>
        <w:tc>
          <w:tcPr>
            <w:tcW w:w="920" w:type="dxa"/>
            <w:tcBorders>
              <w:top w:val="nil"/>
              <w:left w:val="nil"/>
              <w:bottom w:val="nil"/>
              <w:right w:val="nil"/>
            </w:tcBorders>
            <w:shd w:val="clear" w:color="auto" w:fill="auto"/>
            <w:noWrap/>
            <w:vAlign w:val="center"/>
            <w:hideMark/>
          </w:tcPr>
          <w:p w14:paraId="0010874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c>
          <w:tcPr>
            <w:tcW w:w="920" w:type="dxa"/>
            <w:tcBorders>
              <w:top w:val="nil"/>
              <w:left w:val="nil"/>
              <w:bottom w:val="nil"/>
              <w:right w:val="nil"/>
            </w:tcBorders>
            <w:shd w:val="clear" w:color="auto" w:fill="auto"/>
            <w:noWrap/>
            <w:vAlign w:val="center"/>
            <w:hideMark/>
          </w:tcPr>
          <w:p w14:paraId="1523426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c>
          <w:tcPr>
            <w:tcW w:w="920" w:type="dxa"/>
            <w:tcBorders>
              <w:top w:val="nil"/>
              <w:left w:val="nil"/>
              <w:bottom w:val="nil"/>
              <w:right w:val="nil"/>
            </w:tcBorders>
            <w:shd w:val="clear" w:color="auto" w:fill="auto"/>
            <w:noWrap/>
            <w:vAlign w:val="center"/>
            <w:hideMark/>
          </w:tcPr>
          <w:p w14:paraId="04B65FE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c>
          <w:tcPr>
            <w:tcW w:w="920" w:type="dxa"/>
            <w:tcBorders>
              <w:top w:val="nil"/>
              <w:left w:val="nil"/>
              <w:bottom w:val="nil"/>
              <w:right w:val="nil"/>
            </w:tcBorders>
            <w:shd w:val="clear" w:color="auto" w:fill="auto"/>
            <w:noWrap/>
            <w:vAlign w:val="center"/>
            <w:hideMark/>
          </w:tcPr>
          <w:p w14:paraId="638AE2A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c>
          <w:tcPr>
            <w:tcW w:w="920" w:type="dxa"/>
            <w:tcBorders>
              <w:top w:val="nil"/>
              <w:left w:val="nil"/>
              <w:bottom w:val="nil"/>
              <w:right w:val="nil"/>
            </w:tcBorders>
            <w:shd w:val="clear" w:color="auto" w:fill="auto"/>
            <w:noWrap/>
            <w:vAlign w:val="center"/>
            <w:hideMark/>
          </w:tcPr>
          <w:p w14:paraId="6226FDD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c>
          <w:tcPr>
            <w:tcW w:w="920" w:type="dxa"/>
            <w:tcBorders>
              <w:top w:val="nil"/>
              <w:left w:val="nil"/>
              <w:bottom w:val="nil"/>
              <w:right w:val="nil"/>
            </w:tcBorders>
            <w:shd w:val="clear" w:color="auto" w:fill="auto"/>
            <w:noWrap/>
            <w:vAlign w:val="center"/>
            <w:hideMark/>
          </w:tcPr>
          <w:p w14:paraId="0CE5774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r>
      <w:tr w:rsidR="00EA75C8" w:rsidRPr="00EA75C8" w14:paraId="7DBD63E9"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19C0777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8</w:t>
            </w:r>
          </w:p>
        </w:tc>
        <w:tc>
          <w:tcPr>
            <w:tcW w:w="1540" w:type="dxa"/>
            <w:tcBorders>
              <w:top w:val="nil"/>
              <w:left w:val="nil"/>
              <w:bottom w:val="nil"/>
              <w:right w:val="nil"/>
            </w:tcBorders>
            <w:shd w:val="clear" w:color="auto" w:fill="DCE6F1"/>
            <w:vAlign w:val="center"/>
            <w:hideMark/>
          </w:tcPr>
          <w:p w14:paraId="07B4F2B8"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Īstermiņa procentu likme</w:t>
            </w:r>
          </w:p>
        </w:tc>
        <w:tc>
          <w:tcPr>
            <w:tcW w:w="1080" w:type="dxa"/>
            <w:tcBorders>
              <w:top w:val="nil"/>
              <w:left w:val="nil"/>
              <w:bottom w:val="nil"/>
              <w:right w:val="nil"/>
            </w:tcBorders>
            <w:shd w:val="clear" w:color="auto" w:fill="DCE6F1"/>
            <w:noWrap/>
            <w:vAlign w:val="center"/>
            <w:hideMark/>
          </w:tcPr>
          <w:p w14:paraId="43D03D6F"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w:t>
            </w:r>
          </w:p>
        </w:tc>
        <w:tc>
          <w:tcPr>
            <w:tcW w:w="920" w:type="dxa"/>
            <w:tcBorders>
              <w:top w:val="nil"/>
              <w:left w:val="nil"/>
              <w:bottom w:val="nil"/>
              <w:right w:val="nil"/>
            </w:tcBorders>
            <w:shd w:val="clear" w:color="auto" w:fill="auto"/>
            <w:noWrap/>
            <w:vAlign w:val="center"/>
            <w:hideMark/>
          </w:tcPr>
          <w:p w14:paraId="26D194D5"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2,7</w:t>
            </w:r>
          </w:p>
        </w:tc>
        <w:tc>
          <w:tcPr>
            <w:tcW w:w="920" w:type="dxa"/>
            <w:tcBorders>
              <w:top w:val="nil"/>
              <w:left w:val="nil"/>
              <w:bottom w:val="nil"/>
              <w:right w:val="nil"/>
            </w:tcBorders>
            <w:shd w:val="clear" w:color="auto" w:fill="auto"/>
            <w:noWrap/>
            <w:vAlign w:val="center"/>
            <w:hideMark/>
          </w:tcPr>
          <w:p w14:paraId="51476A1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2,7</w:t>
            </w:r>
          </w:p>
        </w:tc>
        <w:tc>
          <w:tcPr>
            <w:tcW w:w="920" w:type="dxa"/>
            <w:tcBorders>
              <w:top w:val="nil"/>
              <w:left w:val="nil"/>
              <w:bottom w:val="nil"/>
              <w:right w:val="nil"/>
            </w:tcBorders>
            <w:shd w:val="clear" w:color="auto" w:fill="auto"/>
            <w:noWrap/>
            <w:vAlign w:val="center"/>
            <w:hideMark/>
          </w:tcPr>
          <w:p w14:paraId="3BBF10B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2,7</w:t>
            </w:r>
          </w:p>
        </w:tc>
        <w:tc>
          <w:tcPr>
            <w:tcW w:w="920" w:type="dxa"/>
            <w:tcBorders>
              <w:top w:val="nil"/>
              <w:left w:val="nil"/>
              <w:bottom w:val="nil"/>
              <w:right w:val="nil"/>
            </w:tcBorders>
            <w:shd w:val="clear" w:color="auto" w:fill="auto"/>
            <w:noWrap/>
            <w:vAlign w:val="center"/>
            <w:hideMark/>
          </w:tcPr>
          <w:p w14:paraId="2BEFF93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2,7</w:t>
            </w:r>
          </w:p>
        </w:tc>
        <w:tc>
          <w:tcPr>
            <w:tcW w:w="920" w:type="dxa"/>
            <w:tcBorders>
              <w:top w:val="nil"/>
              <w:left w:val="nil"/>
              <w:bottom w:val="nil"/>
              <w:right w:val="nil"/>
            </w:tcBorders>
            <w:shd w:val="clear" w:color="auto" w:fill="auto"/>
            <w:noWrap/>
            <w:vAlign w:val="center"/>
            <w:hideMark/>
          </w:tcPr>
          <w:p w14:paraId="3038A58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2,7</w:t>
            </w:r>
          </w:p>
        </w:tc>
        <w:tc>
          <w:tcPr>
            <w:tcW w:w="920" w:type="dxa"/>
            <w:tcBorders>
              <w:top w:val="nil"/>
              <w:left w:val="nil"/>
              <w:bottom w:val="nil"/>
              <w:right w:val="nil"/>
            </w:tcBorders>
            <w:shd w:val="clear" w:color="auto" w:fill="auto"/>
            <w:noWrap/>
            <w:vAlign w:val="center"/>
            <w:hideMark/>
          </w:tcPr>
          <w:p w14:paraId="0833BB4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2,6</w:t>
            </w:r>
          </w:p>
        </w:tc>
        <w:tc>
          <w:tcPr>
            <w:tcW w:w="920" w:type="dxa"/>
            <w:tcBorders>
              <w:top w:val="nil"/>
              <w:left w:val="nil"/>
              <w:bottom w:val="nil"/>
              <w:right w:val="nil"/>
            </w:tcBorders>
            <w:shd w:val="clear" w:color="auto" w:fill="auto"/>
            <w:noWrap/>
            <w:vAlign w:val="center"/>
            <w:hideMark/>
          </w:tcPr>
          <w:p w14:paraId="43A4A7A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2,6</w:t>
            </w:r>
          </w:p>
        </w:tc>
        <w:tc>
          <w:tcPr>
            <w:tcW w:w="920" w:type="dxa"/>
            <w:tcBorders>
              <w:top w:val="nil"/>
              <w:left w:val="nil"/>
              <w:bottom w:val="nil"/>
              <w:right w:val="nil"/>
            </w:tcBorders>
            <w:shd w:val="clear" w:color="auto" w:fill="auto"/>
            <w:noWrap/>
            <w:vAlign w:val="center"/>
            <w:hideMark/>
          </w:tcPr>
          <w:p w14:paraId="1EC16E9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r>
      <w:tr w:rsidR="00EA75C8" w:rsidRPr="00EA75C8" w14:paraId="6F2AAF1D"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65AECA8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9</w:t>
            </w:r>
          </w:p>
        </w:tc>
        <w:tc>
          <w:tcPr>
            <w:tcW w:w="1540" w:type="dxa"/>
            <w:tcBorders>
              <w:top w:val="nil"/>
              <w:left w:val="nil"/>
              <w:bottom w:val="nil"/>
              <w:right w:val="nil"/>
            </w:tcBorders>
            <w:shd w:val="clear" w:color="auto" w:fill="DCE6F1"/>
            <w:vAlign w:val="center"/>
            <w:hideMark/>
          </w:tcPr>
          <w:p w14:paraId="7D9D1BB9"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Atvasinātā vidējā procentu likme</w:t>
            </w:r>
          </w:p>
        </w:tc>
        <w:tc>
          <w:tcPr>
            <w:tcW w:w="1080" w:type="dxa"/>
            <w:tcBorders>
              <w:top w:val="nil"/>
              <w:left w:val="nil"/>
              <w:bottom w:val="nil"/>
              <w:right w:val="nil"/>
            </w:tcBorders>
            <w:shd w:val="clear" w:color="auto" w:fill="DCE6F1"/>
            <w:noWrap/>
            <w:vAlign w:val="center"/>
            <w:hideMark/>
          </w:tcPr>
          <w:p w14:paraId="0F3D7143"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w:t>
            </w:r>
          </w:p>
        </w:tc>
        <w:tc>
          <w:tcPr>
            <w:tcW w:w="920" w:type="dxa"/>
            <w:tcBorders>
              <w:top w:val="nil"/>
              <w:left w:val="nil"/>
              <w:bottom w:val="nil"/>
              <w:right w:val="nil"/>
            </w:tcBorders>
            <w:shd w:val="clear" w:color="auto" w:fill="auto"/>
            <w:noWrap/>
            <w:vAlign w:val="center"/>
            <w:hideMark/>
          </w:tcPr>
          <w:p w14:paraId="432EBDE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3,4</w:t>
            </w:r>
          </w:p>
        </w:tc>
        <w:tc>
          <w:tcPr>
            <w:tcW w:w="920" w:type="dxa"/>
            <w:tcBorders>
              <w:top w:val="nil"/>
              <w:left w:val="nil"/>
              <w:bottom w:val="nil"/>
              <w:right w:val="nil"/>
            </w:tcBorders>
            <w:shd w:val="clear" w:color="auto" w:fill="auto"/>
            <w:noWrap/>
            <w:vAlign w:val="center"/>
            <w:hideMark/>
          </w:tcPr>
          <w:p w14:paraId="73391BD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3,4</w:t>
            </w:r>
          </w:p>
        </w:tc>
        <w:tc>
          <w:tcPr>
            <w:tcW w:w="920" w:type="dxa"/>
            <w:tcBorders>
              <w:top w:val="nil"/>
              <w:left w:val="nil"/>
              <w:bottom w:val="nil"/>
              <w:right w:val="nil"/>
            </w:tcBorders>
            <w:shd w:val="clear" w:color="auto" w:fill="auto"/>
            <w:noWrap/>
            <w:vAlign w:val="center"/>
            <w:hideMark/>
          </w:tcPr>
          <w:p w14:paraId="70EDF2C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3,5</w:t>
            </w:r>
          </w:p>
        </w:tc>
        <w:tc>
          <w:tcPr>
            <w:tcW w:w="920" w:type="dxa"/>
            <w:tcBorders>
              <w:top w:val="nil"/>
              <w:left w:val="nil"/>
              <w:bottom w:val="nil"/>
              <w:right w:val="nil"/>
            </w:tcBorders>
            <w:shd w:val="clear" w:color="auto" w:fill="auto"/>
            <w:noWrap/>
            <w:vAlign w:val="center"/>
            <w:hideMark/>
          </w:tcPr>
          <w:p w14:paraId="738796E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3,6</w:t>
            </w:r>
          </w:p>
        </w:tc>
        <w:tc>
          <w:tcPr>
            <w:tcW w:w="920" w:type="dxa"/>
            <w:tcBorders>
              <w:top w:val="nil"/>
              <w:left w:val="nil"/>
              <w:bottom w:val="nil"/>
              <w:right w:val="nil"/>
            </w:tcBorders>
            <w:shd w:val="clear" w:color="auto" w:fill="auto"/>
            <w:noWrap/>
            <w:vAlign w:val="center"/>
            <w:hideMark/>
          </w:tcPr>
          <w:p w14:paraId="33B426C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3,6</w:t>
            </w:r>
          </w:p>
        </w:tc>
        <w:tc>
          <w:tcPr>
            <w:tcW w:w="920" w:type="dxa"/>
            <w:tcBorders>
              <w:top w:val="nil"/>
              <w:left w:val="nil"/>
              <w:bottom w:val="nil"/>
              <w:right w:val="nil"/>
            </w:tcBorders>
            <w:shd w:val="clear" w:color="auto" w:fill="auto"/>
            <w:noWrap/>
            <w:vAlign w:val="center"/>
            <w:hideMark/>
          </w:tcPr>
          <w:p w14:paraId="21418A6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3,7</w:t>
            </w:r>
          </w:p>
        </w:tc>
        <w:tc>
          <w:tcPr>
            <w:tcW w:w="920" w:type="dxa"/>
            <w:tcBorders>
              <w:top w:val="nil"/>
              <w:left w:val="nil"/>
              <w:bottom w:val="nil"/>
              <w:right w:val="nil"/>
            </w:tcBorders>
            <w:shd w:val="clear" w:color="auto" w:fill="auto"/>
            <w:noWrap/>
            <w:vAlign w:val="center"/>
            <w:hideMark/>
          </w:tcPr>
          <w:p w14:paraId="6A68260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3,7</w:t>
            </w:r>
          </w:p>
        </w:tc>
        <w:tc>
          <w:tcPr>
            <w:tcW w:w="920" w:type="dxa"/>
            <w:tcBorders>
              <w:top w:val="nil"/>
              <w:left w:val="nil"/>
              <w:bottom w:val="nil"/>
              <w:right w:val="nil"/>
            </w:tcBorders>
            <w:shd w:val="clear" w:color="auto" w:fill="auto"/>
            <w:noWrap/>
            <w:vAlign w:val="center"/>
            <w:hideMark/>
          </w:tcPr>
          <w:p w14:paraId="3888B23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3,7</w:t>
            </w:r>
          </w:p>
        </w:tc>
      </w:tr>
      <w:tr w:rsidR="00EA75C8" w:rsidRPr="00EA75C8" w14:paraId="096D72F7"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538CED6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10</w:t>
            </w:r>
          </w:p>
        </w:tc>
        <w:tc>
          <w:tcPr>
            <w:tcW w:w="1540" w:type="dxa"/>
            <w:tcBorders>
              <w:top w:val="nil"/>
              <w:left w:val="nil"/>
              <w:bottom w:val="nil"/>
              <w:right w:val="nil"/>
            </w:tcBorders>
            <w:shd w:val="clear" w:color="auto" w:fill="DCE6F1"/>
            <w:vAlign w:val="center"/>
            <w:hideMark/>
          </w:tcPr>
          <w:p w14:paraId="607BC08F"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Atlikumu un plūsmu korekcija</w:t>
            </w:r>
          </w:p>
        </w:tc>
        <w:tc>
          <w:tcPr>
            <w:tcW w:w="1080" w:type="dxa"/>
            <w:tcBorders>
              <w:top w:val="nil"/>
              <w:left w:val="nil"/>
              <w:bottom w:val="nil"/>
              <w:right w:val="nil"/>
            </w:tcBorders>
            <w:shd w:val="clear" w:color="auto" w:fill="DCE6F1"/>
            <w:noWrap/>
            <w:vAlign w:val="center"/>
            <w:hideMark/>
          </w:tcPr>
          <w:p w14:paraId="069726BD"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 no IKP</w:t>
            </w:r>
          </w:p>
        </w:tc>
        <w:tc>
          <w:tcPr>
            <w:tcW w:w="920" w:type="dxa"/>
            <w:tcBorders>
              <w:top w:val="nil"/>
              <w:left w:val="nil"/>
              <w:bottom w:val="nil"/>
              <w:right w:val="nil"/>
            </w:tcBorders>
            <w:shd w:val="clear" w:color="auto" w:fill="auto"/>
            <w:noWrap/>
            <w:vAlign w:val="center"/>
            <w:hideMark/>
          </w:tcPr>
          <w:p w14:paraId="6FB5CCA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2C78A15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2AD1967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458523C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1FB9472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21EB8B2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6446CEF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c>
          <w:tcPr>
            <w:tcW w:w="920" w:type="dxa"/>
            <w:tcBorders>
              <w:top w:val="nil"/>
              <w:left w:val="nil"/>
              <w:bottom w:val="nil"/>
              <w:right w:val="nil"/>
            </w:tcBorders>
            <w:shd w:val="clear" w:color="auto" w:fill="auto"/>
            <w:noWrap/>
            <w:vAlign w:val="center"/>
            <w:hideMark/>
          </w:tcPr>
          <w:p w14:paraId="0B7E5AC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0,0</w:t>
            </w:r>
          </w:p>
        </w:tc>
      </w:tr>
      <w:tr w:rsidR="00EA75C8" w:rsidRPr="00EA75C8" w14:paraId="2C9C8E04"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46E02C1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11</w:t>
            </w:r>
          </w:p>
        </w:tc>
        <w:tc>
          <w:tcPr>
            <w:tcW w:w="1540" w:type="dxa"/>
            <w:tcBorders>
              <w:top w:val="nil"/>
              <w:left w:val="nil"/>
              <w:bottom w:val="nil"/>
              <w:right w:val="nil"/>
            </w:tcBorders>
            <w:shd w:val="clear" w:color="auto" w:fill="DCE6F1"/>
            <w:vAlign w:val="center"/>
            <w:hideMark/>
          </w:tcPr>
          <w:p w14:paraId="21078D2D"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Potenciālais IKP</w:t>
            </w:r>
          </w:p>
        </w:tc>
        <w:tc>
          <w:tcPr>
            <w:tcW w:w="1080" w:type="dxa"/>
            <w:tcBorders>
              <w:top w:val="nil"/>
              <w:left w:val="nil"/>
              <w:bottom w:val="nil"/>
              <w:right w:val="nil"/>
            </w:tcBorders>
            <w:shd w:val="clear" w:color="auto" w:fill="DCE6F1"/>
            <w:vAlign w:val="center"/>
            <w:hideMark/>
          </w:tcPr>
          <w:p w14:paraId="39BFBAA2"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0B67B70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24E5BA7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1C2F848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65FB2CD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6FF3339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c>
          <w:tcPr>
            <w:tcW w:w="920" w:type="dxa"/>
            <w:tcBorders>
              <w:top w:val="nil"/>
              <w:left w:val="nil"/>
              <w:bottom w:val="nil"/>
              <w:right w:val="nil"/>
            </w:tcBorders>
            <w:shd w:val="clear" w:color="auto" w:fill="auto"/>
            <w:noWrap/>
            <w:vAlign w:val="center"/>
            <w:hideMark/>
          </w:tcPr>
          <w:p w14:paraId="600F877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1,5</w:t>
            </w:r>
          </w:p>
        </w:tc>
        <w:tc>
          <w:tcPr>
            <w:tcW w:w="920" w:type="dxa"/>
            <w:tcBorders>
              <w:top w:val="nil"/>
              <w:left w:val="nil"/>
              <w:bottom w:val="nil"/>
              <w:right w:val="nil"/>
            </w:tcBorders>
            <w:shd w:val="clear" w:color="auto" w:fill="auto"/>
            <w:noWrap/>
            <w:vAlign w:val="center"/>
            <w:hideMark/>
          </w:tcPr>
          <w:p w14:paraId="4ECBD47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1,5</w:t>
            </w:r>
          </w:p>
        </w:tc>
        <w:tc>
          <w:tcPr>
            <w:tcW w:w="920" w:type="dxa"/>
            <w:tcBorders>
              <w:top w:val="nil"/>
              <w:left w:val="nil"/>
              <w:bottom w:val="nil"/>
              <w:right w:val="nil"/>
            </w:tcBorders>
            <w:shd w:val="clear" w:color="auto" w:fill="auto"/>
            <w:noWrap/>
            <w:vAlign w:val="center"/>
            <w:hideMark/>
          </w:tcPr>
          <w:p w14:paraId="7CA3A27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r>
      <w:tr w:rsidR="00EA75C8" w:rsidRPr="00EA75C8" w14:paraId="56220F9A"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0D0100C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1540" w:type="dxa"/>
            <w:tcBorders>
              <w:top w:val="nil"/>
              <w:left w:val="nil"/>
              <w:bottom w:val="nil"/>
              <w:right w:val="nil"/>
            </w:tcBorders>
            <w:shd w:val="clear" w:color="auto" w:fill="DCE6F1"/>
            <w:vAlign w:val="center"/>
            <w:hideMark/>
          </w:tcPr>
          <w:p w14:paraId="7A86A2A8"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Reālais IKP</w:t>
            </w:r>
          </w:p>
        </w:tc>
        <w:tc>
          <w:tcPr>
            <w:tcW w:w="1080" w:type="dxa"/>
            <w:tcBorders>
              <w:top w:val="nil"/>
              <w:left w:val="nil"/>
              <w:bottom w:val="nil"/>
              <w:right w:val="nil"/>
            </w:tcBorders>
            <w:shd w:val="clear" w:color="auto" w:fill="DCE6F1"/>
            <w:vAlign w:val="center"/>
            <w:hideMark/>
          </w:tcPr>
          <w:p w14:paraId="1A1B103A"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1B4A4B07"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0C2D09B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1,2</w:t>
            </w:r>
          </w:p>
        </w:tc>
        <w:tc>
          <w:tcPr>
            <w:tcW w:w="920" w:type="dxa"/>
            <w:tcBorders>
              <w:top w:val="nil"/>
              <w:left w:val="nil"/>
              <w:bottom w:val="nil"/>
              <w:right w:val="nil"/>
            </w:tcBorders>
            <w:shd w:val="clear" w:color="auto" w:fill="auto"/>
            <w:noWrap/>
            <w:vAlign w:val="center"/>
            <w:hideMark/>
          </w:tcPr>
          <w:p w14:paraId="36DB41F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147F9F2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920" w:type="dxa"/>
            <w:tcBorders>
              <w:top w:val="nil"/>
              <w:left w:val="nil"/>
              <w:bottom w:val="nil"/>
              <w:right w:val="nil"/>
            </w:tcBorders>
            <w:shd w:val="clear" w:color="auto" w:fill="auto"/>
            <w:noWrap/>
            <w:vAlign w:val="center"/>
            <w:hideMark/>
          </w:tcPr>
          <w:p w14:paraId="7F09EBB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c>
          <w:tcPr>
            <w:tcW w:w="920" w:type="dxa"/>
            <w:tcBorders>
              <w:top w:val="nil"/>
              <w:left w:val="nil"/>
              <w:bottom w:val="nil"/>
              <w:right w:val="nil"/>
            </w:tcBorders>
            <w:shd w:val="clear" w:color="auto" w:fill="auto"/>
            <w:noWrap/>
            <w:vAlign w:val="center"/>
            <w:hideMark/>
          </w:tcPr>
          <w:p w14:paraId="3AA3D28C"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1,5</w:t>
            </w:r>
          </w:p>
        </w:tc>
        <w:tc>
          <w:tcPr>
            <w:tcW w:w="920" w:type="dxa"/>
            <w:tcBorders>
              <w:top w:val="nil"/>
              <w:left w:val="nil"/>
              <w:bottom w:val="nil"/>
              <w:right w:val="nil"/>
            </w:tcBorders>
            <w:shd w:val="clear" w:color="auto" w:fill="auto"/>
            <w:noWrap/>
            <w:vAlign w:val="center"/>
            <w:hideMark/>
          </w:tcPr>
          <w:p w14:paraId="39D1186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1,5</w:t>
            </w:r>
          </w:p>
        </w:tc>
        <w:tc>
          <w:tcPr>
            <w:tcW w:w="920" w:type="dxa"/>
            <w:tcBorders>
              <w:top w:val="nil"/>
              <w:left w:val="nil"/>
              <w:bottom w:val="nil"/>
              <w:right w:val="nil"/>
            </w:tcBorders>
            <w:shd w:val="clear" w:color="auto" w:fill="auto"/>
            <w:noWrap/>
            <w:vAlign w:val="center"/>
            <w:hideMark/>
          </w:tcPr>
          <w:p w14:paraId="25A2159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r>
      <w:tr w:rsidR="00EA75C8" w:rsidRPr="00EA75C8" w14:paraId="6093F7B1"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73BD5C1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13</w:t>
            </w:r>
          </w:p>
        </w:tc>
        <w:tc>
          <w:tcPr>
            <w:tcW w:w="1540" w:type="dxa"/>
            <w:tcBorders>
              <w:top w:val="nil"/>
              <w:left w:val="nil"/>
              <w:bottom w:val="nil"/>
              <w:right w:val="nil"/>
            </w:tcBorders>
            <w:shd w:val="clear" w:color="auto" w:fill="DCE6F1"/>
            <w:vAlign w:val="center"/>
            <w:hideMark/>
          </w:tcPr>
          <w:p w14:paraId="4281B8D7"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 xml:space="preserve">IKP </w:t>
            </w:r>
            <w:proofErr w:type="spellStart"/>
            <w:r w:rsidRPr="00EA75C8">
              <w:rPr>
                <w:rFonts w:eastAsia="Times New Roman" w:cs="Times New Roman"/>
                <w:sz w:val="18"/>
                <w:szCs w:val="18"/>
                <w:lang w:eastAsia="lv-LV"/>
              </w:rPr>
              <w:t>deflators</w:t>
            </w:r>
            <w:proofErr w:type="spellEnd"/>
          </w:p>
        </w:tc>
        <w:tc>
          <w:tcPr>
            <w:tcW w:w="1080" w:type="dxa"/>
            <w:tcBorders>
              <w:top w:val="nil"/>
              <w:left w:val="nil"/>
              <w:bottom w:val="nil"/>
              <w:right w:val="nil"/>
            </w:tcBorders>
            <w:shd w:val="clear" w:color="auto" w:fill="DCE6F1"/>
            <w:vAlign w:val="center"/>
            <w:hideMark/>
          </w:tcPr>
          <w:p w14:paraId="059CE0A8"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6E634A9F"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72329B70"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1A820443"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2,6</w:t>
            </w:r>
          </w:p>
        </w:tc>
        <w:tc>
          <w:tcPr>
            <w:tcW w:w="920" w:type="dxa"/>
            <w:tcBorders>
              <w:top w:val="nil"/>
              <w:left w:val="nil"/>
              <w:bottom w:val="nil"/>
              <w:right w:val="nil"/>
            </w:tcBorders>
            <w:shd w:val="clear" w:color="auto" w:fill="auto"/>
            <w:noWrap/>
            <w:vAlign w:val="center"/>
            <w:hideMark/>
          </w:tcPr>
          <w:p w14:paraId="08EA3976"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1CAB2369"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6C7A27D1"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2,5</w:t>
            </w:r>
          </w:p>
        </w:tc>
        <w:tc>
          <w:tcPr>
            <w:tcW w:w="920" w:type="dxa"/>
            <w:tcBorders>
              <w:top w:val="nil"/>
              <w:left w:val="nil"/>
              <w:bottom w:val="nil"/>
              <w:right w:val="nil"/>
            </w:tcBorders>
            <w:shd w:val="clear" w:color="auto" w:fill="auto"/>
            <w:noWrap/>
            <w:vAlign w:val="center"/>
            <w:hideMark/>
          </w:tcPr>
          <w:p w14:paraId="2556715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2,4</w:t>
            </w:r>
          </w:p>
        </w:tc>
        <w:tc>
          <w:tcPr>
            <w:tcW w:w="920" w:type="dxa"/>
            <w:tcBorders>
              <w:top w:val="nil"/>
              <w:left w:val="nil"/>
              <w:bottom w:val="nil"/>
              <w:right w:val="nil"/>
            </w:tcBorders>
            <w:shd w:val="clear" w:color="auto" w:fill="auto"/>
            <w:noWrap/>
            <w:vAlign w:val="center"/>
            <w:hideMark/>
          </w:tcPr>
          <w:p w14:paraId="0047E11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2,4</w:t>
            </w:r>
          </w:p>
        </w:tc>
      </w:tr>
      <w:tr w:rsidR="00EA75C8" w:rsidRPr="00EA75C8" w14:paraId="1630517E" w14:textId="77777777" w:rsidTr="00EA75C8">
        <w:tblPrEx>
          <w:jc w:val="left"/>
        </w:tblPrEx>
        <w:trPr>
          <w:trHeight w:val="480"/>
        </w:trPr>
        <w:tc>
          <w:tcPr>
            <w:tcW w:w="460" w:type="dxa"/>
            <w:tcBorders>
              <w:top w:val="nil"/>
              <w:left w:val="nil"/>
              <w:bottom w:val="nil"/>
              <w:right w:val="nil"/>
            </w:tcBorders>
            <w:shd w:val="clear" w:color="auto" w:fill="BDD6EE"/>
            <w:noWrap/>
            <w:vAlign w:val="center"/>
            <w:hideMark/>
          </w:tcPr>
          <w:p w14:paraId="2792193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14</w:t>
            </w:r>
          </w:p>
        </w:tc>
        <w:tc>
          <w:tcPr>
            <w:tcW w:w="1540" w:type="dxa"/>
            <w:tcBorders>
              <w:top w:val="nil"/>
              <w:left w:val="nil"/>
              <w:bottom w:val="nil"/>
              <w:right w:val="nil"/>
            </w:tcBorders>
            <w:shd w:val="clear" w:color="auto" w:fill="DCE6F1"/>
            <w:vAlign w:val="center"/>
            <w:hideMark/>
          </w:tcPr>
          <w:p w14:paraId="2ADD5780" w14:textId="77777777" w:rsidR="00EA75C8" w:rsidRPr="00EA75C8" w:rsidRDefault="00EA75C8" w:rsidP="006357B3">
            <w:pPr>
              <w:spacing w:after="0" w:line="240" w:lineRule="auto"/>
              <w:ind w:firstLine="0"/>
              <w:jc w:val="left"/>
              <w:rPr>
                <w:rFonts w:eastAsia="Times New Roman" w:cs="Times New Roman"/>
                <w:sz w:val="18"/>
                <w:szCs w:val="18"/>
                <w:lang w:eastAsia="lv-LV"/>
              </w:rPr>
            </w:pPr>
            <w:r w:rsidRPr="00EA75C8">
              <w:rPr>
                <w:rFonts w:eastAsia="Times New Roman" w:cs="Times New Roman"/>
                <w:sz w:val="18"/>
                <w:szCs w:val="18"/>
                <w:lang w:eastAsia="lv-LV"/>
              </w:rPr>
              <w:t>Nominālais IKP</w:t>
            </w:r>
          </w:p>
        </w:tc>
        <w:tc>
          <w:tcPr>
            <w:tcW w:w="1080" w:type="dxa"/>
            <w:tcBorders>
              <w:top w:val="nil"/>
              <w:left w:val="nil"/>
              <w:bottom w:val="nil"/>
              <w:right w:val="nil"/>
            </w:tcBorders>
            <w:shd w:val="clear" w:color="auto" w:fill="DCE6F1"/>
            <w:vAlign w:val="center"/>
            <w:hideMark/>
          </w:tcPr>
          <w:p w14:paraId="08729628" w14:textId="77777777" w:rsidR="00EA75C8" w:rsidRPr="00EA75C8" w:rsidRDefault="00EA75C8" w:rsidP="006357B3">
            <w:pPr>
              <w:spacing w:after="0" w:line="240" w:lineRule="auto"/>
              <w:ind w:firstLine="0"/>
              <w:jc w:val="left"/>
              <w:rPr>
                <w:rFonts w:eastAsia="Times New Roman" w:cs="Times New Roman"/>
                <w:color w:val="000000"/>
                <w:sz w:val="18"/>
                <w:szCs w:val="18"/>
                <w:lang w:eastAsia="lv-LV"/>
              </w:rPr>
            </w:pPr>
            <w:r w:rsidRPr="00EA75C8">
              <w:rPr>
                <w:rFonts w:eastAsia="Times New Roman" w:cs="Times New Roman"/>
                <w:color w:val="000000"/>
                <w:sz w:val="18"/>
                <w:szCs w:val="18"/>
                <w:lang w:eastAsia="lv-LV"/>
              </w:rPr>
              <w:t>pieauguma temps</w:t>
            </w:r>
          </w:p>
        </w:tc>
        <w:tc>
          <w:tcPr>
            <w:tcW w:w="920" w:type="dxa"/>
            <w:tcBorders>
              <w:top w:val="nil"/>
              <w:left w:val="nil"/>
              <w:bottom w:val="nil"/>
              <w:right w:val="nil"/>
            </w:tcBorders>
            <w:shd w:val="clear" w:color="auto" w:fill="auto"/>
            <w:noWrap/>
            <w:vAlign w:val="center"/>
            <w:hideMark/>
          </w:tcPr>
          <w:p w14:paraId="2EF7290A"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c>
          <w:tcPr>
            <w:tcW w:w="920" w:type="dxa"/>
            <w:tcBorders>
              <w:top w:val="nil"/>
              <w:left w:val="nil"/>
              <w:bottom w:val="nil"/>
              <w:right w:val="nil"/>
            </w:tcBorders>
            <w:shd w:val="clear" w:color="auto" w:fill="auto"/>
            <w:noWrap/>
            <w:vAlign w:val="center"/>
            <w:hideMark/>
          </w:tcPr>
          <w:p w14:paraId="5AEE3A6D"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3,8</w:t>
            </w:r>
          </w:p>
        </w:tc>
        <w:tc>
          <w:tcPr>
            <w:tcW w:w="920" w:type="dxa"/>
            <w:tcBorders>
              <w:top w:val="nil"/>
              <w:left w:val="nil"/>
              <w:bottom w:val="nil"/>
              <w:right w:val="nil"/>
            </w:tcBorders>
            <w:shd w:val="clear" w:color="auto" w:fill="auto"/>
            <w:noWrap/>
            <w:vAlign w:val="center"/>
            <w:hideMark/>
          </w:tcPr>
          <w:p w14:paraId="0044409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3,9</w:t>
            </w:r>
          </w:p>
        </w:tc>
        <w:tc>
          <w:tcPr>
            <w:tcW w:w="920" w:type="dxa"/>
            <w:tcBorders>
              <w:top w:val="nil"/>
              <w:left w:val="nil"/>
              <w:bottom w:val="nil"/>
              <w:right w:val="nil"/>
            </w:tcBorders>
            <w:shd w:val="clear" w:color="auto" w:fill="auto"/>
            <w:noWrap/>
            <w:vAlign w:val="center"/>
            <w:hideMark/>
          </w:tcPr>
          <w:p w14:paraId="556F98C8"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3,9</w:t>
            </w:r>
          </w:p>
        </w:tc>
        <w:tc>
          <w:tcPr>
            <w:tcW w:w="920" w:type="dxa"/>
            <w:tcBorders>
              <w:top w:val="nil"/>
              <w:left w:val="nil"/>
              <w:bottom w:val="nil"/>
              <w:right w:val="nil"/>
            </w:tcBorders>
            <w:shd w:val="clear" w:color="auto" w:fill="auto"/>
            <w:noWrap/>
            <w:vAlign w:val="center"/>
            <w:hideMark/>
          </w:tcPr>
          <w:p w14:paraId="35451104"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3,9</w:t>
            </w:r>
          </w:p>
        </w:tc>
        <w:tc>
          <w:tcPr>
            <w:tcW w:w="920" w:type="dxa"/>
            <w:tcBorders>
              <w:top w:val="nil"/>
              <w:left w:val="nil"/>
              <w:bottom w:val="nil"/>
              <w:right w:val="nil"/>
            </w:tcBorders>
            <w:shd w:val="clear" w:color="auto" w:fill="auto"/>
            <w:noWrap/>
            <w:vAlign w:val="center"/>
            <w:hideMark/>
          </w:tcPr>
          <w:p w14:paraId="35AA9EF2"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c>
          <w:tcPr>
            <w:tcW w:w="920" w:type="dxa"/>
            <w:tcBorders>
              <w:top w:val="nil"/>
              <w:left w:val="nil"/>
              <w:bottom w:val="nil"/>
              <w:right w:val="nil"/>
            </w:tcBorders>
            <w:shd w:val="clear" w:color="auto" w:fill="auto"/>
            <w:noWrap/>
            <w:vAlign w:val="center"/>
            <w:hideMark/>
          </w:tcPr>
          <w:p w14:paraId="6DA0713E"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4,0</w:t>
            </w:r>
          </w:p>
        </w:tc>
        <w:tc>
          <w:tcPr>
            <w:tcW w:w="920" w:type="dxa"/>
            <w:tcBorders>
              <w:top w:val="nil"/>
              <w:left w:val="nil"/>
              <w:bottom w:val="nil"/>
              <w:right w:val="nil"/>
            </w:tcBorders>
            <w:shd w:val="clear" w:color="auto" w:fill="auto"/>
            <w:noWrap/>
            <w:vAlign w:val="center"/>
            <w:hideMark/>
          </w:tcPr>
          <w:p w14:paraId="3F2554BB" w14:textId="77777777" w:rsidR="00EA75C8" w:rsidRPr="00EA75C8" w:rsidRDefault="00EA75C8" w:rsidP="006357B3">
            <w:pPr>
              <w:spacing w:after="0" w:line="240" w:lineRule="auto"/>
              <w:ind w:firstLine="0"/>
              <w:jc w:val="center"/>
              <w:rPr>
                <w:rFonts w:eastAsia="Times New Roman" w:cs="Times New Roman"/>
                <w:color w:val="000000"/>
                <w:sz w:val="18"/>
                <w:szCs w:val="18"/>
                <w:lang w:eastAsia="lv-LV"/>
              </w:rPr>
            </w:pPr>
            <w:r w:rsidRPr="00EA75C8">
              <w:rPr>
                <w:rFonts w:eastAsia="Times New Roman" w:cs="Times New Roman"/>
                <w:color w:val="000000"/>
                <w:sz w:val="18"/>
                <w:szCs w:val="18"/>
                <w:lang w:eastAsia="lv-LV"/>
              </w:rPr>
              <w:t>3,9</w:t>
            </w:r>
          </w:p>
        </w:tc>
      </w:tr>
    </w:tbl>
    <w:p w14:paraId="039272D5" w14:textId="77777777" w:rsidR="00EA75C8" w:rsidRPr="00C33FA0" w:rsidRDefault="00EA75C8" w:rsidP="006357B3">
      <w:pPr>
        <w:spacing w:line="240" w:lineRule="auto"/>
        <w:ind w:firstLine="0"/>
        <w:rPr>
          <w:b/>
          <w:bCs/>
          <w:smallCaps/>
          <w:sz w:val="28"/>
          <w:szCs w:val="20"/>
        </w:rPr>
      </w:pPr>
    </w:p>
    <w:p w14:paraId="04D86767" w14:textId="77777777" w:rsidR="008403D0" w:rsidRDefault="008403D0">
      <w:pPr>
        <w:spacing w:after="160" w:line="259"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pPr>
      <w:r>
        <w:rPr>
          <w:sz w:val="32"/>
          <w:szCs w:val="32"/>
        </w:rPr>
        <w:br w:type="page"/>
      </w:r>
    </w:p>
    <w:p w14:paraId="25CC823A" w14:textId="75D844E8" w:rsidR="00BF4753" w:rsidRPr="002869EC" w:rsidRDefault="008062C7" w:rsidP="006357B3">
      <w:pPr>
        <w:pStyle w:val="Heading1"/>
        <w:spacing w:before="0" w:after="240" w:line="240" w:lineRule="auto"/>
        <w:rPr>
          <w:sz w:val="32"/>
          <w:szCs w:val="32"/>
        </w:rPr>
      </w:pPr>
      <w:bookmarkStart w:id="29" w:name="_Toc179540627"/>
      <w:r w:rsidRPr="002869EC">
        <w:rPr>
          <w:sz w:val="32"/>
          <w:szCs w:val="32"/>
        </w:rPr>
        <w:lastRenderedPageBreak/>
        <w:t xml:space="preserve">6. </w:t>
      </w:r>
      <w:r w:rsidR="005A4348" w:rsidRPr="002869EC">
        <w:rPr>
          <w:sz w:val="32"/>
          <w:szCs w:val="32"/>
        </w:rPr>
        <w:t>Fiskāl</w:t>
      </w:r>
      <w:r w:rsidR="00FC3DA6">
        <w:rPr>
          <w:sz w:val="32"/>
          <w:szCs w:val="32"/>
        </w:rPr>
        <w:t>ās</w:t>
      </w:r>
      <w:r w:rsidR="005A4348" w:rsidRPr="002869EC">
        <w:rPr>
          <w:sz w:val="32"/>
          <w:szCs w:val="32"/>
        </w:rPr>
        <w:t xml:space="preserve"> politik</w:t>
      </w:r>
      <w:r w:rsidR="00FC3DA6">
        <w:rPr>
          <w:sz w:val="32"/>
          <w:szCs w:val="32"/>
        </w:rPr>
        <w:t>as</w:t>
      </w:r>
      <w:r w:rsidR="005A4348" w:rsidRPr="002869EC">
        <w:rPr>
          <w:sz w:val="32"/>
          <w:szCs w:val="32"/>
        </w:rPr>
        <w:t xml:space="preserve"> </w:t>
      </w:r>
      <w:r w:rsidR="00D078D1" w:rsidRPr="002869EC">
        <w:rPr>
          <w:sz w:val="32"/>
          <w:szCs w:val="32"/>
        </w:rPr>
        <w:t>noteicošie faktori</w:t>
      </w:r>
      <w:bookmarkEnd w:id="29"/>
    </w:p>
    <w:p w14:paraId="3BB6EC14" w14:textId="2D922B59" w:rsidR="00566221" w:rsidRDefault="00D078D1" w:rsidP="006357B3">
      <w:pPr>
        <w:spacing w:line="240" w:lineRule="auto"/>
      </w:pPr>
      <w:bookmarkStart w:id="30" w:name="_Toc510790668"/>
      <w:bookmarkStart w:id="31" w:name="_Toc5627375"/>
      <w:r w:rsidRPr="002869EC">
        <w:t>Latvijas fiskālo politiku attiecībā uz jauno pasākumu saturu un apjomu 2025</w:t>
      </w:r>
      <w:r w:rsidR="00FC3DA6">
        <w:t>.</w:t>
      </w:r>
      <w:r w:rsidRPr="002869EC">
        <w:t>- 2028</w:t>
      </w:r>
      <w:r w:rsidR="00FC3DA6">
        <w:t>.</w:t>
      </w:r>
      <w:r w:rsidRPr="002869EC">
        <w:t xml:space="preserve"> gadam nosaka 3 galvenie faktori: </w:t>
      </w:r>
    </w:p>
    <w:p w14:paraId="01993AA9" w14:textId="60390FDC" w:rsidR="00D078D1" w:rsidRPr="002869EC" w:rsidRDefault="00566221" w:rsidP="006357B3">
      <w:pPr>
        <w:pStyle w:val="ListParagraph"/>
        <w:spacing w:line="240" w:lineRule="auto"/>
        <w:ind w:firstLine="0"/>
      </w:pPr>
      <w:r w:rsidRPr="00566221">
        <w:t>(1)</w:t>
      </w:r>
      <w:r>
        <w:rPr>
          <w:b/>
          <w:bCs/>
        </w:rPr>
        <w:t xml:space="preserve"> </w:t>
      </w:r>
      <w:r w:rsidR="00D078D1" w:rsidRPr="00566221">
        <w:rPr>
          <w:b/>
          <w:bCs/>
        </w:rPr>
        <w:t>budžeta situācija pie nemainīgas politikas</w:t>
      </w:r>
      <w:r w:rsidR="00D078D1" w:rsidRPr="002869EC">
        <w:t>, kas saskaņā ar nacionālo fiskāl</w:t>
      </w:r>
      <w:r w:rsidR="00167AC7" w:rsidRPr="002869EC">
        <w:t>o</w:t>
      </w:r>
      <w:r w:rsidR="00D078D1" w:rsidRPr="002869EC">
        <w:t xml:space="preserve"> ietvaru nozīmē ieņēmumu un izdevumu kopumu saskaņā ar pieņemtajiem lēmumiem, bet neietverot potenciālos jaun</w:t>
      </w:r>
      <w:r w:rsidR="00167AC7" w:rsidRPr="002869EC">
        <w:t>u</w:t>
      </w:r>
      <w:r w:rsidR="00D078D1" w:rsidRPr="002869EC">
        <w:t>s lēmumus, neatkarīgi no to pieņemšanas varbūtības. Fiskālie rādītāji pie nemainīgas politikas ir sniegti 4. nodaļā.</w:t>
      </w:r>
    </w:p>
    <w:p w14:paraId="433A6A5A" w14:textId="7AB89DD4" w:rsidR="00136AA5" w:rsidRPr="002869EC" w:rsidRDefault="00566221" w:rsidP="006357B3">
      <w:pPr>
        <w:pStyle w:val="ListParagraph"/>
        <w:spacing w:line="240" w:lineRule="auto"/>
        <w:ind w:firstLine="0"/>
      </w:pPr>
      <w:r>
        <w:t xml:space="preserve">(2) </w:t>
      </w:r>
      <w:r w:rsidR="00136AA5" w:rsidRPr="00FC3DA6">
        <w:rPr>
          <w:b/>
          <w:bCs/>
        </w:rPr>
        <w:t>fiskālie nosacījumi</w:t>
      </w:r>
      <w:r w:rsidR="00136AA5" w:rsidRPr="002869EC">
        <w:t>, kas ierobežo jauno politikas pasākumu</w:t>
      </w:r>
      <w:r w:rsidR="00EE7219" w:rsidRPr="002869EC">
        <w:t xml:space="preserve"> </w:t>
      </w:r>
      <w:r w:rsidR="00136AA5" w:rsidRPr="002869EC">
        <w:t xml:space="preserve">fiskālo apjomu. Kā tālāk tiks aprakstīts </w:t>
      </w:r>
      <w:r w:rsidR="00CB514E">
        <w:t>6</w:t>
      </w:r>
      <w:r w:rsidR="001420B0" w:rsidRPr="002869EC">
        <w:t xml:space="preserve">.2. nodaļā </w:t>
      </w:r>
      <w:r w:rsidR="00136AA5" w:rsidRPr="002869EC">
        <w:t>– tiek piemēroti 3 fiskālie nosacījumi</w:t>
      </w:r>
      <w:r w:rsidR="00167AC7" w:rsidRPr="002869EC">
        <w:t>:</w:t>
      </w:r>
      <w:r w:rsidR="00136AA5" w:rsidRPr="002869EC">
        <w:t xml:space="preserve"> FDL strukturālās bilances nosacījums, ES strukturālās </w:t>
      </w:r>
      <w:r w:rsidR="00167AC7" w:rsidRPr="002869EC">
        <w:t xml:space="preserve">primārās </w:t>
      </w:r>
      <w:r w:rsidR="00136AA5" w:rsidRPr="002869EC">
        <w:t>bilances nosacījums un ES fiskālā trajektorija, kas aprakstīta iepriekšējā nodaļā.</w:t>
      </w:r>
    </w:p>
    <w:p w14:paraId="263C3BC3" w14:textId="0FDE2E05" w:rsidR="00136AA5" w:rsidRPr="002869EC" w:rsidRDefault="00566221" w:rsidP="006357B3">
      <w:pPr>
        <w:pStyle w:val="ListParagraph"/>
        <w:spacing w:line="240" w:lineRule="auto"/>
        <w:ind w:firstLine="0"/>
      </w:pPr>
      <w:r>
        <w:t xml:space="preserve">(3) </w:t>
      </w:r>
      <w:r w:rsidR="00136AA5" w:rsidRPr="00FC3DA6">
        <w:rPr>
          <w:b/>
          <w:bCs/>
        </w:rPr>
        <w:t>jauno politikas pasākumu saturs</w:t>
      </w:r>
      <w:r w:rsidR="00136AA5" w:rsidRPr="002869EC">
        <w:t>, jeb vidēja termiņa budžeta prioritātes.</w:t>
      </w:r>
    </w:p>
    <w:p w14:paraId="07755287" w14:textId="7A26279A" w:rsidR="00167AC7" w:rsidRPr="002869EC" w:rsidRDefault="00136AA5" w:rsidP="006357B3">
      <w:pPr>
        <w:spacing w:line="240" w:lineRule="auto"/>
      </w:pPr>
      <w:r w:rsidRPr="002869EC">
        <w:t>Jāatzīmē, ka šis FSP neapraksta visus politikas pasākumus 2025</w:t>
      </w:r>
      <w:r w:rsidR="00167AC7" w:rsidRPr="002869EC">
        <w:t>. –</w:t>
      </w:r>
      <w:r w:rsidRPr="002869EC">
        <w:t xml:space="preserve"> 2028</w:t>
      </w:r>
      <w:r w:rsidR="00167AC7" w:rsidRPr="002869EC">
        <w:t>.</w:t>
      </w:r>
      <w:r w:rsidRPr="002869EC">
        <w:t xml:space="preserve"> gadam. Tas ietver tikai pasākumus pie nemainīgas politikas </w:t>
      </w:r>
      <w:r w:rsidR="00167AC7" w:rsidRPr="002869EC">
        <w:t xml:space="preserve">un </w:t>
      </w:r>
      <w:r w:rsidRPr="002869EC">
        <w:t xml:space="preserve">jaunos pasākumus, kas pieņemti līdz </w:t>
      </w:r>
      <w:r w:rsidR="00167AC7" w:rsidRPr="002869EC">
        <w:t xml:space="preserve">šī dokumenta sagatavošanas </w:t>
      </w:r>
      <w:r w:rsidRPr="002869EC">
        <w:t>brīdim</w:t>
      </w:r>
      <w:r w:rsidR="00167AC7" w:rsidRPr="002869EC">
        <w:t xml:space="preserve"> (līdz 01.10.2024.)</w:t>
      </w:r>
      <w:r w:rsidRPr="002869EC">
        <w:t>. Tie nodrošina visu fiskālo nosacījumu izpildi, tai skaitā NNFPI pieauguma trajektoriju, tomēr neizslēdz, ka 2026</w:t>
      </w:r>
      <w:r w:rsidR="00167AC7" w:rsidRPr="002869EC">
        <w:t>.</w:t>
      </w:r>
      <w:r w:rsidRPr="002869EC">
        <w:t>, 2027</w:t>
      </w:r>
      <w:r w:rsidR="00167AC7" w:rsidRPr="002869EC">
        <w:t>.</w:t>
      </w:r>
      <w:r w:rsidRPr="002869EC">
        <w:t xml:space="preserve"> un 2028. gadā tiks pieņemti jauni ieņēmumu un izdevumu pasākumi, tiks izvirzītas jaunas prioritātes. Tomēr arī šajā gadījumā fiskālā politika tiks veidota tā, lai nodrošinātu atbilstību visiem fiskālajiem nosacījumiem. Bilances nosacījumu gadījumā jauno pasākumu apjoms būs atkarīgs no attiecīgā brīža ieņēmumu prognozēm, tātad arī no attiecīgā brīža m</w:t>
      </w:r>
      <w:r w:rsidR="00C466C5" w:rsidRPr="002869EC">
        <w:t>a</w:t>
      </w:r>
      <w:r w:rsidRPr="002869EC">
        <w:t xml:space="preserve">kroekonomiskajām prognozēm. Tādā ziņā </w:t>
      </w:r>
      <w:r w:rsidR="00C466C5" w:rsidRPr="002869EC">
        <w:t>šis FSP nav statisks dokuments, bet atspoguļo šī brīža situāciju attiecībā uz 2025. gada budžetu un 2025</w:t>
      </w:r>
      <w:r w:rsidR="00167AC7" w:rsidRPr="002869EC">
        <w:t>.</w:t>
      </w:r>
      <w:r w:rsidR="00C466C5" w:rsidRPr="002869EC">
        <w:t xml:space="preserve"> – 2027</w:t>
      </w:r>
      <w:r w:rsidR="00167AC7" w:rsidRPr="002869EC">
        <w:t>.</w:t>
      </w:r>
      <w:r w:rsidR="00C466C5" w:rsidRPr="002869EC">
        <w:t xml:space="preserve"> gada budžeta ietvaru.</w:t>
      </w:r>
      <w:r w:rsidRPr="002869EC">
        <w:t xml:space="preserve"> </w:t>
      </w:r>
    </w:p>
    <w:p w14:paraId="4E22FA80" w14:textId="02203EBB" w:rsidR="00200214" w:rsidRPr="00AB1ADE" w:rsidRDefault="00CD2512" w:rsidP="006357B3">
      <w:pPr>
        <w:pStyle w:val="Heading2"/>
        <w:numPr>
          <w:ilvl w:val="0"/>
          <w:numId w:val="0"/>
        </w:numPr>
        <w:spacing w:before="240" w:after="240" w:line="240" w:lineRule="auto"/>
        <w:ind w:left="578"/>
        <w:rPr>
          <w:rFonts w:eastAsia="Times New Roman" w:cs="Times New Roman"/>
          <w:sz w:val="28"/>
          <w:szCs w:val="24"/>
        </w:rPr>
      </w:pPr>
      <w:bookmarkStart w:id="32" w:name="_Toc179540628"/>
      <w:r w:rsidRPr="00AB1ADE">
        <w:rPr>
          <w:rFonts w:eastAsia="Times New Roman" w:cs="Times New Roman"/>
          <w:sz w:val="28"/>
          <w:szCs w:val="24"/>
        </w:rPr>
        <w:t>6</w:t>
      </w:r>
      <w:r w:rsidR="005A4348" w:rsidRPr="00AB1ADE">
        <w:rPr>
          <w:rFonts w:eastAsia="Times New Roman" w:cs="Times New Roman"/>
          <w:sz w:val="28"/>
          <w:szCs w:val="24"/>
        </w:rPr>
        <w:t>.1. Vidēja termiņa budžeta prioritātes</w:t>
      </w:r>
      <w:bookmarkEnd w:id="32"/>
    </w:p>
    <w:p w14:paraId="4C1242AC" w14:textId="77777777" w:rsidR="00566221" w:rsidRDefault="002407E6" w:rsidP="006357B3">
      <w:pPr>
        <w:spacing w:line="240" w:lineRule="auto"/>
        <w:rPr>
          <w:rFonts w:eastAsia="Times New Roman"/>
          <w:lang w:eastAsia="lv-LV"/>
        </w:rPr>
      </w:pPr>
      <w:r w:rsidRPr="002869EC">
        <w:rPr>
          <w:rFonts w:eastAsia="Times New Roman"/>
          <w:lang w:eastAsia="lv-LV"/>
        </w:rPr>
        <w:t xml:space="preserve">Valsts budžeta 2025. gadam un budžeta ietvara 2025., 2026. un 2027. gadam sagatavošanā par vienīgo vidēja termiņa budžeta prioritāro attīstības virzienu noteikta </w:t>
      </w:r>
      <w:r w:rsidRPr="002869EC">
        <w:rPr>
          <w:rFonts w:eastAsia="Times New Roman"/>
          <w:b/>
          <w:bCs/>
          <w:i/>
          <w:iCs/>
          <w:lang w:eastAsia="lv-LV"/>
        </w:rPr>
        <w:t>valsts drošība</w:t>
      </w:r>
      <w:r w:rsidRPr="002869EC">
        <w:rPr>
          <w:rFonts w:eastAsia="Times New Roman"/>
          <w:lang w:eastAsia="lv-LV"/>
        </w:rPr>
        <w:t xml:space="preserve"> </w:t>
      </w:r>
      <w:r w:rsidR="00167AC7" w:rsidRPr="002869EC">
        <w:rPr>
          <w:rFonts w:eastAsia="Times New Roman"/>
          <w:lang w:eastAsia="lv-LV"/>
        </w:rPr>
        <w:t>(</w:t>
      </w:r>
      <w:r w:rsidRPr="002869EC">
        <w:rPr>
          <w:rFonts w:eastAsia="Times New Roman"/>
          <w:lang w:eastAsia="lv-LV"/>
        </w:rPr>
        <w:t xml:space="preserve">2024. gada 18. jūnija MK sēdes </w:t>
      </w:r>
      <w:r w:rsidR="00167AC7" w:rsidRPr="002869EC">
        <w:rPr>
          <w:rFonts w:eastAsia="Times New Roman"/>
          <w:lang w:eastAsia="lv-LV"/>
        </w:rPr>
        <w:t>protokols Nr. 25 74. § 2. punkts). Šis jau ir trešais gads pēc kārtas, kad t.sk. ņemot vērā ģeopolitisko situāciju, drošība tiek izvirzīta par vidēja termiņa budžeta politikas prioritāro attīstības virzienu.</w:t>
      </w:r>
    </w:p>
    <w:p w14:paraId="36682D6A" w14:textId="542F88A2" w:rsidR="00566221" w:rsidRDefault="008038AE" w:rsidP="006357B3">
      <w:pPr>
        <w:spacing w:line="240" w:lineRule="auto"/>
        <w:rPr>
          <w:rFonts w:eastAsia="Times New Roman"/>
          <w:lang w:eastAsia="lv-LV"/>
        </w:rPr>
      </w:pPr>
      <w:r w:rsidRPr="002869EC">
        <w:rPr>
          <w:rFonts w:eastAsia="Times New Roman"/>
          <w:lang w:eastAsia="lv-LV"/>
        </w:rPr>
        <w:t xml:space="preserve">Valsts budžetā 2025. gadam un budžeta ietvarā 2025., 2026. un 2027. gadam </w:t>
      </w:r>
      <w:r w:rsidR="00167AC7" w:rsidRPr="002869EC">
        <w:rPr>
          <w:rFonts w:eastAsia="Times New Roman"/>
          <w:lang w:eastAsia="lv-LV"/>
        </w:rPr>
        <w:t xml:space="preserve">paredzēts finansējums prioritārajiem pasākumiem valsts drošībai, Satversmes tiesas sprieduma un likumu izpildes nodrošināšanai, neatkarīgajām iestādēm un ar nodokļu politikas izmaiņām saistītiem pasākumiem </w:t>
      </w:r>
      <w:r w:rsidR="00167AC7" w:rsidRPr="002869EC">
        <w:rPr>
          <w:rFonts w:eastAsia="Times New Roman"/>
          <w:b/>
          <w:bCs/>
          <w:lang w:eastAsia="lv-LV"/>
        </w:rPr>
        <w:t>1,</w:t>
      </w:r>
      <w:r w:rsidR="00440061">
        <w:rPr>
          <w:rFonts w:eastAsia="Times New Roman"/>
          <w:b/>
          <w:bCs/>
          <w:lang w:eastAsia="lv-LV"/>
        </w:rPr>
        <w:t>5</w:t>
      </w:r>
      <w:r w:rsidR="00167AC7" w:rsidRPr="002869EC">
        <w:rPr>
          <w:rFonts w:eastAsia="Times New Roman"/>
          <w:b/>
          <w:bCs/>
          <w:lang w:eastAsia="lv-LV"/>
        </w:rPr>
        <w:t xml:space="preserve"> mljrd.</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t.sk. 2025. gadam </w:t>
      </w:r>
      <w:r w:rsidR="00440061">
        <w:rPr>
          <w:rFonts w:eastAsia="Times New Roman"/>
          <w:b/>
          <w:bCs/>
          <w:lang w:eastAsia="lv-LV"/>
        </w:rPr>
        <w:t>392,4</w:t>
      </w:r>
      <w:r w:rsidR="00167AC7" w:rsidRPr="002869EC">
        <w:rPr>
          <w:rFonts w:eastAsia="Times New Roman"/>
          <w:b/>
          <w:bCs/>
          <w:lang w:eastAsia="lv-LV"/>
        </w:rPr>
        <w:t xml:space="preserve"> milj.</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w:t>
      </w:r>
      <w:r w:rsidR="00440061">
        <w:rPr>
          <w:rFonts w:eastAsia="Times New Roman"/>
          <w:lang w:eastAsia="lv-LV"/>
        </w:rPr>
        <w:t>0,9</w:t>
      </w:r>
      <w:r w:rsidR="00167AC7" w:rsidRPr="002869EC">
        <w:rPr>
          <w:rFonts w:eastAsia="Times New Roman"/>
          <w:lang w:eastAsia="lv-LV"/>
        </w:rPr>
        <w:t xml:space="preserve">% no IKP), 2026. gadam </w:t>
      </w:r>
      <w:r w:rsidR="00440061">
        <w:rPr>
          <w:rFonts w:eastAsia="Times New Roman"/>
          <w:b/>
          <w:bCs/>
          <w:lang w:eastAsia="lv-LV"/>
        </w:rPr>
        <w:t>389,9</w:t>
      </w:r>
      <w:r w:rsidR="00167AC7" w:rsidRPr="002869EC">
        <w:rPr>
          <w:rFonts w:eastAsia="Times New Roman"/>
          <w:b/>
          <w:bCs/>
          <w:lang w:eastAsia="lv-LV"/>
        </w:rPr>
        <w:t xml:space="preserve"> milj.</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w:t>
      </w:r>
      <w:r w:rsidR="00440061">
        <w:rPr>
          <w:rFonts w:eastAsia="Times New Roman"/>
          <w:lang w:eastAsia="lv-LV"/>
        </w:rPr>
        <w:t>0,8</w:t>
      </w:r>
      <w:r w:rsidR="00167AC7" w:rsidRPr="002869EC">
        <w:rPr>
          <w:rFonts w:eastAsia="Times New Roman"/>
          <w:lang w:eastAsia="lv-LV"/>
        </w:rPr>
        <w:t xml:space="preserve">% no IKP), 2027. gadam </w:t>
      </w:r>
      <w:r w:rsidR="00440061">
        <w:rPr>
          <w:rFonts w:eastAsia="Times New Roman"/>
          <w:b/>
          <w:bCs/>
          <w:lang w:eastAsia="lv-LV"/>
        </w:rPr>
        <w:t>398</w:t>
      </w:r>
      <w:r w:rsidR="00167AC7" w:rsidRPr="002869EC">
        <w:rPr>
          <w:rFonts w:eastAsia="Times New Roman"/>
          <w:b/>
          <w:bCs/>
          <w:lang w:eastAsia="lv-LV"/>
        </w:rPr>
        <w:t>,8 milj.</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w:t>
      </w:r>
      <w:r w:rsidR="00440061">
        <w:rPr>
          <w:rFonts w:eastAsia="Times New Roman"/>
          <w:lang w:eastAsia="lv-LV"/>
        </w:rPr>
        <w:t>0,8</w:t>
      </w:r>
      <w:r w:rsidR="00167AC7" w:rsidRPr="002869EC">
        <w:rPr>
          <w:rFonts w:eastAsia="Times New Roman"/>
          <w:lang w:eastAsia="lv-LV"/>
        </w:rPr>
        <w:t xml:space="preserve">% no IKP) un 2028. gadam </w:t>
      </w:r>
      <w:r w:rsidR="00F74D26">
        <w:rPr>
          <w:rFonts w:eastAsia="Times New Roman"/>
          <w:b/>
          <w:bCs/>
          <w:lang w:eastAsia="lv-LV"/>
        </w:rPr>
        <w:t>334,8</w:t>
      </w:r>
      <w:r w:rsidR="00167AC7" w:rsidRPr="002869EC">
        <w:rPr>
          <w:rFonts w:eastAsia="Times New Roman"/>
          <w:b/>
          <w:bCs/>
          <w:lang w:eastAsia="lv-LV"/>
        </w:rPr>
        <w:t xml:space="preserve"> milj</w:t>
      </w:r>
      <w:r w:rsidR="00B014C1">
        <w:rPr>
          <w:rFonts w:eastAsia="Times New Roman"/>
          <w:b/>
          <w:bCs/>
          <w:lang w:eastAsia="lv-LV"/>
        </w:rPr>
        <w:t>.</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(0,</w:t>
      </w:r>
      <w:r w:rsidR="00F74D26">
        <w:rPr>
          <w:rFonts w:eastAsia="Times New Roman"/>
          <w:lang w:eastAsia="lv-LV"/>
        </w:rPr>
        <w:t>6</w:t>
      </w:r>
      <w:r w:rsidR="00167AC7" w:rsidRPr="002869EC">
        <w:rPr>
          <w:rFonts w:eastAsia="Times New Roman"/>
          <w:lang w:eastAsia="lv-LV"/>
        </w:rPr>
        <w:t xml:space="preserve">% no IKP). Ņemot vērā ierobežoto fiskālo telpu, papildus jau iepriekš piešķirtajam bāzes finansējumam, prioritāro pasākumu īstenošanai tiks izmantoti vairāki kompensējošie pasākumi. </w:t>
      </w:r>
      <w:r w:rsidR="00F74D26">
        <w:rPr>
          <w:rFonts w:eastAsia="Times New Roman"/>
          <w:lang w:eastAsia="lv-LV"/>
        </w:rPr>
        <w:t>Vairāk kā puse</w:t>
      </w:r>
      <w:r w:rsidR="00167AC7" w:rsidRPr="002869EC">
        <w:rPr>
          <w:rFonts w:eastAsia="Times New Roman"/>
          <w:lang w:eastAsia="lv-LV"/>
        </w:rPr>
        <w:t xml:space="preserve"> (</w:t>
      </w:r>
      <w:r w:rsidR="00F74D26">
        <w:rPr>
          <w:rFonts w:eastAsia="Times New Roman"/>
          <w:lang w:eastAsia="lv-LV"/>
        </w:rPr>
        <w:t>57</w:t>
      </w:r>
      <w:r w:rsidR="00167AC7" w:rsidRPr="002869EC">
        <w:rPr>
          <w:rFonts w:eastAsia="Times New Roman"/>
          <w:lang w:eastAsia="lv-LV"/>
        </w:rPr>
        <w:t xml:space="preserve">%) jeb </w:t>
      </w:r>
      <w:r w:rsidR="00167AC7" w:rsidRPr="002869EC">
        <w:rPr>
          <w:rFonts w:eastAsia="Times New Roman"/>
          <w:b/>
          <w:bCs/>
          <w:lang w:eastAsia="lv-LV"/>
        </w:rPr>
        <w:t>864,5 milj.</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no minētā finansējuma iezīmēta vienīgajai vidēja termiņa budžeta prioritātei – drošībai, t.sk. </w:t>
      </w:r>
      <w:r w:rsidR="00167AC7" w:rsidRPr="002869EC">
        <w:rPr>
          <w:rFonts w:eastAsia="Times New Roman"/>
          <w:b/>
          <w:bCs/>
          <w:lang w:eastAsia="lv-LV"/>
        </w:rPr>
        <w:t>284,3 milj.</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2025. gadam (0,6% no IKP), </w:t>
      </w:r>
      <w:r w:rsidR="00167AC7" w:rsidRPr="002869EC">
        <w:rPr>
          <w:rFonts w:eastAsia="Times New Roman"/>
          <w:b/>
          <w:bCs/>
          <w:lang w:eastAsia="lv-LV"/>
        </w:rPr>
        <w:t>221,1 milj.</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(0,5% no IKP) 2026. gadam, </w:t>
      </w:r>
      <w:r w:rsidR="00167AC7" w:rsidRPr="002869EC">
        <w:rPr>
          <w:rFonts w:eastAsia="Times New Roman"/>
          <w:b/>
          <w:bCs/>
          <w:lang w:eastAsia="lv-LV"/>
        </w:rPr>
        <w:t xml:space="preserve">210,8 milj.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(0,4% no IKP) 2027. gadam un </w:t>
      </w:r>
      <w:r w:rsidR="00167AC7" w:rsidRPr="002869EC">
        <w:rPr>
          <w:rFonts w:eastAsia="Times New Roman"/>
          <w:b/>
          <w:bCs/>
          <w:lang w:eastAsia="lv-LV"/>
        </w:rPr>
        <w:t>148,2 milj.</w:t>
      </w:r>
      <w:r w:rsidR="00564D69" w:rsidRPr="002869EC">
        <w:rPr>
          <w:rFonts w:eastAsia="Times New Roman"/>
          <w:b/>
          <w:bCs/>
          <w:i/>
          <w:iCs/>
          <w:lang w:eastAsia="lv-LV"/>
        </w:rPr>
        <w:t xml:space="preserve"> </w:t>
      </w:r>
      <w:proofErr w:type="spellStart"/>
      <w:r w:rsidR="00564D69" w:rsidRPr="002869EC">
        <w:rPr>
          <w:rFonts w:eastAsia="Times New Roman"/>
          <w:b/>
          <w:bCs/>
          <w:i/>
          <w:iCs/>
          <w:lang w:eastAsia="lv-LV"/>
        </w:rPr>
        <w:t>euro</w:t>
      </w:r>
      <w:proofErr w:type="spellEnd"/>
      <w:r w:rsidR="00167AC7" w:rsidRPr="002869EC">
        <w:rPr>
          <w:rFonts w:eastAsia="Times New Roman"/>
          <w:lang w:eastAsia="lv-LV"/>
        </w:rPr>
        <w:t xml:space="preserve"> 2028. gadam (0,3% no IKP).</w:t>
      </w:r>
    </w:p>
    <w:p w14:paraId="5ED20111" w14:textId="26371C48" w:rsidR="00566221" w:rsidRDefault="004206E7" w:rsidP="006357B3">
      <w:pPr>
        <w:spacing w:line="240" w:lineRule="auto"/>
        <w:rPr>
          <w:rFonts w:eastAsia="Times New Roman"/>
          <w:lang w:eastAsia="lv-LV"/>
        </w:rPr>
      </w:pPr>
      <w:r w:rsidRPr="002869EC">
        <w:rPr>
          <w:rFonts w:eastAsia="Times New Roman"/>
          <w:lang w:eastAsia="lv-LV"/>
        </w:rPr>
        <w:t xml:space="preserve">Iekšējo risku risināšanas un drošības līmeņa paaugstināšanas nolūkā lielākie papildus resursi valsts budžetā 2025. gadam un budžeta ietvarā 2025., 2026. un 2027. gadam tika piešķirti </w:t>
      </w:r>
      <w:proofErr w:type="spellStart"/>
      <w:r w:rsidRPr="002869EC">
        <w:rPr>
          <w:rFonts w:eastAsia="Times New Roman"/>
          <w:lang w:eastAsia="lv-LV"/>
        </w:rPr>
        <w:t>Iekšlietu</w:t>
      </w:r>
      <w:proofErr w:type="spellEnd"/>
      <w:r w:rsidRPr="002869EC">
        <w:rPr>
          <w:rFonts w:eastAsia="Times New Roman"/>
          <w:lang w:eastAsia="lv-LV"/>
        </w:rPr>
        <w:t xml:space="preserve"> dienestu un Ieslodzījuma vietu pārvaldes amatpersonu ar speciālajām dienesta pakāpēm, kā arī Valsts ieņēmumu dienesta Nodokļu un muitas policijas pārvaldes atalgojuma palielināšanai par 10% un jaunās piemaksas ieviešanai par darbu dienestā 2025. – 2028. gadiem </w:t>
      </w:r>
      <w:r w:rsidRPr="002869EC">
        <w:rPr>
          <w:rFonts w:eastAsia="Times New Roman"/>
          <w:b/>
          <w:bCs/>
          <w:lang w:eastAsia="lv-LV"/>
        </w:rPr>
        <w:t xml:space="preserve">vairāk kā 360 milj. </w:t>
      </w:r>
      <w:proofErr w:type="spellStart"/>
      <w:r w:rsidRPr="002869EC">
        <w:rPr>
          <w:rFonts w:eastAsia="Times New Roman"/>
          <w:b/>
          <w:bCs/>
          <w:i/>
          <w:iCs/>
          <w:lang w:eastAsia="lv-LV"/>
        </w:rPr>
        <w:t>euro</w:t>
      </w:r>
      <w:proofErr w:type="spellEnd"/>
      <w:r w:rsidRPr="002869EC">
        <w:rPr>
          <w:rFonts w:eastAsia="Times New Roman"/>
          <w:lang w:eastAsia="lv-LV"/>
        </w:rPr>
        <w:t xml:space="preserve">, ik gadu 90,1 milj. </w:t>
      </w:r>
      <w:proofErr w:type="spellStart"/>
      <w:r w:rsidRPr="002869EC">
        <w:rPr>
          <w:rFonts w:eastAsia="Times New Roman"/>
          <w:i/>
          <w:iCs/>
          <w:lang w:eastAsia="lv-LV"/>
        </w:rPr>
        <w:t>euro</w:t>
      </w:r>
      <w:proofErr w:type="spellEnd"/>
      <w:r w:rsidRPr="002869EC">
        <w:rPr>
          <w:rFonts w:eastAsia="Times New Roman"/>
          <w:lang w:eastAsia="lv-LV"/>
        </w:rPr>
        <w:t>.</w:t>
      </w:r>
    </w:p>
    <w:p w14:paraId="16F3C6A3" w14:textId="455812B2" w:rsidR="004206E7" w:rsidRPr="002869EC" w:rsidRDefault="004206E7" w:rsidP="006357B3">
      <w:pPr>
        <w:spacing w:line="240" w:lineRule="auto"/>
        <w:rPr>
          <w:rFonts w:eastAsia="Times New Roman"/>
          <w:lang w:eastAsia="lv-LV"/>
        </w:rPr>
      </w:pPr>
      <w:r w:rsidRPr="002869EC">
        <w:rPr>
          <w:rFonts w:eastAsia="Times New Roman"/>
          <w:lang w:eastAsia="lv-LV"/>
        </w:rPr>
        <w:lastRenderedPageBreak/>
        <w:t xml:space="preserve">Apcietināto un notiesāto personu konvojēšanas funkcijas pārņemšanai no Valsts policijas uz Tieslietu ministriju ir paredzēts finansējums </w:t>
      </w:r>
      <w:r w:rsidRPr="002869EC">
        <w:rPr>
          <w:rFonts w:eastAsia="Times New Roman"/>
          <w:b/>
          <w:bCs/>
          <w:lang w:eastAsia="lv-LV"/>
        </w:rPr>
        <w:t xml:space="preserve">7,4 milj. </w:t>
      </w:r>
      <w:proofErr w:type="spellStart"/>
      <w:r w:rsidRPr="002869EC">
        <w:rPr>
          <w:rFonts w:eastAsia="Times New Roman"/>
          <w:b/>
          <w:bCs/>
          <w:i/>
          <w:iCs/>
          <w:lang w:eastAsia="lv-LV"/>
        </w:rPr>
        <w:t>euro</w:t>
      </w:r>
      <w:proofErr w:type="spellEnd"/>
      <w:r w:rsidRPr="002869EC">
        <w:rPr>
          <w:rFonts w:eastAsia="Times New Roman"/>
          <w:lang w:eastAsia="lv-LV"/>
        </w:rPr>
        <w:t xml:space="preserve">, t.sk. 3,2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1,5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2026. gadam, 1,3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ik gadu</w:t>
      </w:r>
      <w:r w:rsidRPr="002869EC">
        <w:rPr>
          <w:rFonts w:eastAsia="Times New Roman"/>
          <w:i/>
          <w:iCs/>
          <w:lang w:eastAsia="lv-LV"/>
        </w:rPr>
        <w:t xml:space="preserve"> </w:t>
      </w:r>
      <w:r w:rsidRPr="002869EC">
        <w:rPr>
          <w:rFonts w:eastAsia="Times New Roman"/>
          <w:lang w:eastAsia="lv-LV"/>
        </w:rPr>
        <w:t xml:space="preserve">2027. gadam un 2028. gadam, </w:t>
      </w:r>
    </w:p>
    <w:p w14:paraId="2118209A" w14:textId="08DA2FB9" w:rsidR="004206E7" w:rsidRPr="002869EC" w:rsidRDefault="004206E7" w:rsidP="006357B3">
      <w:pPr>
        <w:spacing w:line="240" w:lineRule="auto"/>
        <w:rPr>
          <w:rFonts w:eastAsia="Times New Roman"/>
          <w:lang w:eastAsia="lv-LV"/>
        </w:rPr>
      </w:pPr>
      <w:r w:rsidRPr="002869EC">
        <w:rPr>
          <w:rFonts w:eastAsia="Times New Roman"/>
          <w:lang w:eastAsia="lv-LV"/>
        </w:rPr>
        <w:t xml:space="preserve">Valsts budžeta 2025. gadam un budžeta ietvara 2025., 2026. un 2027. gadam sagatavošanas ietvaros ir rasts papildus finansējums </w:t>
      </w:r>
      <w:r w:rsidRPr="002869EC">
        <w:rPr>
          <w:rFonts w:eastAsia="Times New Roman"/>
          <w:b/>
          <w:bCs/>
          <w:lang w:eastAsia="lv-LV"/>
        </w:rPr>
        <w:t xml:space="preserve">231,9 milj. </w:t>
      </w:r>
      <w:proofErr w:type="spellStart"/>
      <w:r w:rsidRPr="002869EC">
        <w:rPr>
          <w:rFonts w:eastAsia="Times New Roman"/>
          <w:b/>
          <w:bCs/>
          <w:i/>
          <w:iCs/>
          <w:lang w:eastAsia="lv-LV"/>
        </w:rPr>
        <w:t>euro</w:t>
      </w:r>
      <w:proofErr w:type="spellEnd"/>
      <w:r w:rsidRPr="002869EC">
        <w:rPr>
          <w:rFonts w:eastAsia="Times New Roman"/>
          <w:b/>
          <w:bCs/>
          <w:lang w:eastAsia="lv-LV"/>
        </w:rPr>
        <w:t xml:space="preserve"> apmērā</w:t>
      </w:r>
      <w:r w:rsidRPr="002869EC">
        <w:rPr>
          <w:rFonts w:eastAsia="Times New Roman"/>
          <w:lang w:eastAsia="lv-LV"/>
        </w:rPr>
        <w:t xml:space="preserve">, t.sk.: </w:t>
      </w:r>
    </w:p>
    <w:p w14:paraId="35A76F11" w14:textId="77777777" w:rsidR="004206E7" w:rsidRPr="002869EC" w:rsidRDefault="004206E7" w:rsidP="006357B3">
      <w:pPr>
        <w:spacing w:line="240" w:lineRule="auto"/>
        <w:rPr>
          <w:rFonts w:eastAsia="Times New Roman"/>
          <w:lang w:eastAsia="lv-LV"/>
        </w:rPr>
      </w:pPr>
      <w:r w:rsidRPr="002869EC">
        <w:rPr>
          <w:rFonts w:eastAsia="Times New Roman"/>
          <w:lang w:eastAsia="lv-LV"/>
        </w:rPr>
        <w:t xml:space="preserve">23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72,2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2026. gadam, 61,1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ik gadu</w:t>
      </w:r>
      <w:r w:rsidRPr="002869EC">
        <w:rPr>
          <w:rFonts w:eastAsia="Times New Roman"/>
          <w:i/>
          <w:iCs/>
          <w:lang w:eastAsia="lv-LV"/>
        </w:rPr>
        <w:t xml:space="preserve"> </w:t>
      </w:r>
      <w:r w:rsidRPr="002869EC">
        <w:rPr>
          <w:rFonts w:eastAsia="Times New Roman"/>
          <w:lang w:eastAsia="lv-LV"/>
        </w:rPr>
        <w:t xml:space="preserve">2027. gadam un 27,6 milj. </w:t>
      </w:r>
      <w:proofErr w:type="spellStart"/>
      <w:r w:rsidRPr="002869EC">
        <w:rPr>
          <w:rFonts w:eastAsia="Times New Roman"/>
          <w:i/>
          <w:iCs/>
          <w:lang w:eastAsia="lv-LV"/>
        </w:rPr>
        <w:t>euro</w:t>
      </w:r>
      <w:proofErr w:type="spellEnd"/>
      <w:r w:rsidRPr="002869EC">
        <w:rPr>
          <w:rFonts w:eastAsia="Times New Roman"/>
          <w:lang w:eastAsia="lv-LV"/>
        </w:rPr>
        <w:t xml:space="preserve"> 2028. gadam munīcijas krājumu papildināšanai un individuālā ekipējuma nodrošināšanai;</w:t>
      </w:r>
    </w:p>
    <w:p w14:paraId="21AA6127" w14:textId="77777777" w:rsidR="00566221" w:rsidRDefault="004206E7" w:rsidP="006357B3">
      <w:pPr>
        <w:spacing w:line="240" w:lineRule="auto"/>
        <w:rPr>
          <w:rFonts w:eastAsia="Times New Roman"/>
          <w:lang w:eastAsia="lv-LV"/>
        </w:rPr>
      </w:pPr>
      <w:r w:rsidRPr="002869EC">
        <w:rPr>
          <w:rFonts w:eastAsia="Times New Roman"/>
          <w:lang w:eastAsia="lv-LV"/>
        </w:rPr>
        <w:t xml:space="preserve">15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15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2026. gadam, 18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2027. gadam papildu radaru iegādei vēja parku attīstībai.</w:t>
      </w:r>
    </w:p>
    <w:p w14:paraId="4341AD85" w14:textId="4C16CC59" w:rsidR="004206E7" w:rsidRPr="002869EC" w:rsidRDefault="004206E7" w:rsidP="006357B3">
      <w:pPr>
        <w:spacing w:line="240" w:lineRule="auto"/>
        <w:rPr>
          <w:rFonts w:eastAsia="Times New Roman"/>
          <w:lang w:eastAsia="lv-LV"/>
        </w:rPr>
      </w:pPr>
      <w:r w:rsidRPr="002869EC">
        <w:rPr>
          <w:rFonts w:eastAsia="Times New Roman"/>
          <w:lang w:eastAsia="lv-LV"/>
        </w:rPr>
        <w:t xml:space="preserve">Ir atbalstīts prioritārais pasākums ar mērķi stiprināt </w:t>
      </w:r>
      <w:proofErr w:type="spellStart"/>
      <w:r w:rsidRPr="002869EC">
        <w:rPr>
          <w:rFonts w:eastAsia="Times New Roman"/>
          <w:lang w:eastAsia="lv-LV"/>
        </w:rPr>
        <w:t>kiberdrošību</w:t>
      </w:r>
      <w:proofErr w:type="spellEnd"/>
      <w:r w:rsidRPr="002869EC">
        <w:rPr>
          <w:rFonts w:eastAsia="Times New Roman"/>
          <w:lang w:eastAsia="lv-LV"/>
        </w:rPr>
        <w:t xml:space="preserve"> tam ieplānojot papildus finansējumu</w:t>
      </w:r>
      <w:r w:rsidRPr="002869EC">
        <w:rPr>
          <w:rFonts w:eastAsia="Times New Roman"/>
          <w:b/>
          <w:bCs/>
          <w:lang w:eastAsia="lv-LV"/>
        </w:rPr>
        <w:t xml:space="preserve"> 41,5 milj. </w:t>
      </w:r>
      <w:proofErr w:type="spellStart"/>
      <w:r w:rsidRPr="002869EC">
        <w:rPr>
          <w:rFonts w:eastAsia="Times New Roman"/>
          <w:b/>
          <w:bCs/>
          <w:i/>
          <w:iCs/>
          <w:lang w:eastAsia="lv-LV"/>
        </w:rPr>
        <w:t>euro</w:t>
      </w:r>
      <w:proofErr w:type="spellEnd"/>
      <w:r w:rsidRPr="002869EC">
        <w:rPr>
          <w:rFonts w:eastAsia="Times New Roman"/>
          <w:lang w:eastAsia="lv-LV"/>
        </w:rPr>
        <w:t xml:space="preserve">, t.sk. 12,5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11,4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2026. gadam, 8,9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2027. gadam un 8,7 milj. </w:t>
      </w:r>
      <w:proofErr w:type="spellStart"/>
      <w:r w:rsidRPr="006628B5">
        <w:rPr>
          <w:rFonts w:eastAsia="Times New Roman"/>
          <w:i/>
          <w:iCs/>
          <w:lang w:eastAsia="lv-LV"/>
        </w:rPr>
        <w:t>euro</w:t>
      </w:r>
      <w:proofErr w:type="spellEnd"/>
      <w:r w:rsidRPr="002869EC">
        <w:rPr>
          <w:rFonts w:eastAsia="Times New Roman"/>
          <w:lang w:eastAsia="lv-LV"/>
        </w:rPr>
        <w:t xml:space="preserve"> 2028. gadam, kā arī pasākums saistībā ar militārā poligona “Sēlija” piekļuves ceļa uzlabošanu un vienības tilta Daugavpilī pārbūves mobilitātes uzlabošanu iezīmējot tam 21,3 milj. </w:t>
      </w:r>
      <w:proofErr w:type="spellStart"/>
      <w:r w:rsidRPr="002869EC">
        <w:rPr>
          <w:rFonts w:eastAsia="Times New Roman"/>
          <w:i/>
          <w:iCs/>
          <w:lang w:eastAsia="lv-LV"/>
        </w:rPr>
        <w:t>euro</w:t>
      </w:r>
      <w:proofErr w:type="spellEnd"/>
      <w:r w:rsidRPr="002869EC">
        <w:rPr>
          <w:rFonts w:eastAsia="Times New Roman"/>
          <w:lang w:eastAsia="lv-LV"/>
        </w:rPr>
        <w:t xml:space="preserve"> 2025. – 2027. gadam. Šobrīd tika identificēts, ka šie pasākumi varētu tikt finansēti ES fondu programmu ietvaros. </w:t>
      </w:r>
    </w:p>
    <w:p w14:paraId="49AA9577" w14:textId="6EB7079C" w:rsidR="004206E7" w:rsidRPr="002869EC" w:rsidRDefault="004206E7" w:rsidP="006357B3">
      <w:pPr>
        <w:spacing w:line="240" w:lineRule="auto"/>
        <w:rPr>
          <w:rFonts w:eastAsia="Times New Roman"/>
          <w:lang w:eastAsia="lv-LV"/>
        </w:rPr>
      </w:pPr>
      <w:r w:rsidRPr="002869EC">
        <w:rPr>
          <w:rFonts w:eastAsia="Times New Roman"/>
          <w:lang w:eastAsia="lv-LV"/>
        </w:rPr>
        <w:t xml:space="preserve">Nepilni </w:t>
      </w:r>
      <w:r w:rsidRPr="002869EC">
        <w:rPr>
          <w:rFonts w:eastAsia="Times New Roman"/>
          <w:b/>
          <w:bCs/>
          <w:lang w:eastAsia="lv-LV"/>
        </w:rPr>
        <w:t xml:space="preserve">13 milj. </w:t>
      </w:r>
      <w:proofErr w:type="spellStart"/>
      <w:r w:rsidRPr="002869EC">
        <w:rPr>
          <w:rFonts w:eastAsia="Times New Roman"/>
          <w:b/>
          <w:bCs/>
          <w:i/>
          <w:iCs/>
          <w:lang w:eastAsia="lv-LV"/>
        </w:rPr>
        <w:t>euro</w:t>
      </w:r>
      <w:proofErr w:type="spellEnd"/>
      <w:r w:rsidRPr="002869EC">
        <w:rPr>
          <w:rFonts w:eastAsia="Times New Roman"/>
          <w:lang w:eastAsia="lv-LV"/>
        </w:rPr>
        <w:t xml:space="preserve">, t.sk. 4,3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3,1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2026. gadam, 2,8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2027. gadam un 26 milj. </w:t>
      </w:r>
      <w:proofErr w:type="spellStart"/>
      <w:r w:rsidRPr="002869EC">
        <w:rPr>
          <w:rFonts w:eastAsia="Times New Roman"/>
          <w:i/>
          <w:iCs/>
          <w:lang w:eastAsia="lv-LV"/>
        </w:rPr>
        <w:t>euro</w:t>
      </w:r>
      <w:proofErr w:type="spellEnd"/>
      <w:r w:rsidRPr="002869EC">
        <w:rPr>
          <w:rFonts w:eastAsia="Times New Roman"/>
          <w:lang w:eastAsia="lv-LV"/>
        </w:rPr>
        <w:t xml:space="preserve"> 2028. gadam ir iezīmēti, lai nodrošinātu valsts materiālo rezervju nokomplektēšanu atbilstoši nomenklatūrā plānotajam apjomam, kā arī to atjaunināšanu un uzturēšanu (gatavību iesaistīšanai katastrofu, militāru un citu apdraudējumu pārvaldīšanas pasākumu īstenošanā, tai skaitā valsts materiālo rezervju remontdarbi, apkopes, tehniskās apskates, pārbaudes, iekārtu verificēšana u.c.).</w:t>
      </w:r>
    </w:p>
    <w:p w14:paraId="3034E161" w14:textId="52AD2519" w:rsidR="004206E7" w:rsidRPr="002869EC" w:rsidRDefault="004206E7" w:rsidP="006357B3">
      <w:pPr>
        <w:spacing w:line="240" w:lineRule="auto"/>
        <w:rPr>
          <w:rFonts w:eastAsia="Times New Roman"/>
          <w:lang w:eastAsia="lv-LV"/>
        </w:rPr>
      </w:pPr>
      <w:r w:rsidRPr="002869EC">
        <w:rPr>
          <w:rFonts w:eastAsia="Times New Roman"/>
          <w:lang w:eastAsia="lv-LV"/>
        </w:rPr>
        <w:t xml:space="preserve">Saistībā ar sarežģīto ģeopolitisko situāciju Latvijas pierobežā, lai stiprinātu Neatliekamās medicīniskās palīdzības dienesta darbības nepārtrauktību un Neatliekamās medicīniskās palīdzības brigāžu gatavību ārkārtas gadījumos, tai skaitā militāros apdraudējumos nepieciešams nodrošināt ar atbilstošiem pasākumiem un krājumiem (lai nodrošinātu palīdzību specifisko traumu gadījumos) </w:t>
      </w:r>
      <w:r w:rsidR="001420B0" w:rsidRPr="002869EC">
        <w:rPr>
          <w:rFonts w:eastAsia="Times New Roman"/>
          <w:lang w:eastAsia="lv-LV"/>
        </w:rPr>
        <w:t>valsts budžeta 2025. gadam un budžeta ietvara 2025., 2026. un 2027. gadam</w:t>
      </w:r>
      <w:r w:rsidRPr="002869EC">
        <w:rPr>
          <w:rFonts w:eastAsia="Times New Roman"/>
          <w:lang w:eastAsia="lv-LV"/>
        </w:rPr>
        <w:t xml:space="preserve"> sagatavošanas ietvaros ir iezīmēts finansējums </w:t>
      </w:r>
      <w:r w:rsidRPr="002869EC">
        <w:rPr>
          <w:rFonts w:eastAsia="Times New Roman"/>
          <w:b/>
          <w:bCs/>
          <w:lang w:eastAsia="lv-LV"/>
        </w:rPr>
        <w:t xml:space="preserve">10,3 milj. </w:t>
      </w:r>
      <w:proofErr w:type="spellStart"/>
      <w:r w:rsidRPr="002869EC">
        <w:rPr>
          <w:rFonts w:eastAsia="Times New Roman"/>
          <w:b/>
          <w:bCs/>
          <w:i/>
          <w:iCs/>
          <w:lang w:eastAsia="lv-LV"/>
        </w:rPr>
        <w:t>euro</w:t>
      </w:r>
      <w:proofErr w:type="spellEnd"/>
      <w:r w:rsidRPr="002869EC">
        <w:rPr>
          <w:rFonts w:eastAsia="Times New Roman"/>
          <w:b/>
          <w:bCs/>
          <w:lang w:eastAsia="lv-LV"/>
        </w:rPr>
        <w:t>,</w:t>
      </w:r>
      <w:r w:rsidRPr="002869EC">
        <w:rPr>
          <w:rFonts w:eastAsia="Times New Roman"/>
          <w:lang w:eastAsia="lv-LV"/>
        </w:rPr>
        <w:t xml:space="preserve"> t.sk. 2,6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2,5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ik gadu 2026. - 2028. gadam.</w:t>
      </w:r>
    </w:p>
    <w:p w14:paraId="485F4986" w14:textId="77777777" w:rsidR="001420B0" w:rsidRPr="002869EC" w:rsidRDefault="004206E7" w:rsidP="006357B3">
      <w:pPr>
        <w:spacing w:line="240" w:lineRule="auto"/>
        <w:rPr>
          <w:rFonts w:eastAsia="Times New Roman"/>
          <w:lang w:eastAsia="lv-LV"/>
        </w:rPr>
      </w:pPr>
      <w:r w:rsidRPr="002869EC">
        <w:rPr>
          <w:rFonts w:eastAsia="Times New Roman"/>
          <w:lang w:eastAsia="lv-LV"/>
        </w:rPr>
        <w:t xml:space="preserve">Prioritārais virziens “Drošība” iekļauj arī </w:t>
      </w:r>
      <w:r w:rsidRPr="002869EC">
        <w:rPr>
          <w:rFonts w:eastAsia="Times New Roman"/>
          <w:b/>
          <w:bCs/>
          <w:lang w:eastAsia="lv-LV"/>
        </w:rPr>
        <w:t>53,2</w:t>
      </w:r>
      <w:r w:rsidRPr="002869EC">
        <w:rPr>
          <w:rFonts w:eastAsia="Times New Roman"/>
          <w:lang w:eastAsia="lv-LV"/>
        </w:rPr>
        <w:t xml:space="preserve"> </w:t>
      </w:r>
      <w:r w:rsidRPr="002869EC">
        <w:rPr>
          <w:rFonts w:eastAsia="Times New Roman"/>
          <w:b/>
          <w:bCs/>
          <w:lang w:eastAsia="lv-LV"/>
        </w:rPr>
        <w:t xml:space="preserve">milj. </w:t>
      </w:r>
      <w:proofErr w:type="spellStart"/>
      <w:r w:rsidRPr="002869EC">
        <w:rPr>
          <w:rFonts w:eastAsia="Times New Roman"/>
          <w:b/>
          <w:bCs/>
          <w:i/>
          <w:iCs/>
          <w:lang w:eastAsia="lv-LV"/>
        </w:rPr>
        <w:t>euro</w:t>
      </w:r>
      <w:proofErr w:type="spellEnd"/>
      <w:r w:rsidRPr="002869EC">
        <w:rPr>
          <w:rFonts w:eastAsia="Times New Roman"/>
          <w:lang w:eastAsia="lv-LV"/>
        </w:rPr>
        <w:t xml:space="preserve">, t.sk. 10,1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14,8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2026. gadam, 14,6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2027. gadam un 13,8 milj. </w:t>
      </w:r>
      <w:proofErr w:type="spellStart"/>
      <w:r w:rsidRPr="002869EC">
        <w:rPr>
          <w:rFonts w:eastAsia="Times New Roman"/>
          <w:i/>
          <w:iCs/>
          <w:lang w:eastAsia="lv-LV"/>
        </w:rPr>
        <w:t>euro</w:t>
      </w:r>
      <w:proofErr w:type="spellEnd"/>
      <w:r w:rsidRPr="002869EC">
        <w:rPr>
          <w:rFonts w:eastAsia="Times New Roman"/>
          <w:lang w:eastAsia="lv-LV"/>
        </w:rPr>
        <w:t xml:space="preserve"> 2028. gadam Valsts drošības dienesta darbības prioritāro jomu stiprināšanai un Satversmes aizsardzības biroja darbības nodrošināšanai.</w:t>
      </w:r>
    </w:p>
    <w:p w14:paraId="5242CABD" w14:textId="77777777" w:rsidR="001420B0" w:rsidRPr="002869EC" w:rsidRDefault="004206E7" w:rsidP="006357B3">
      <w:pPr>
        <w:spacing w:line="240" w:lineRule="auto"/>
        <w:rPr>
          <w:rFonts w:eastAsia="Times New Roman"/>
          <w:lang w:eastAsia="lv-LV"/>
        </w:rPr>
      </w:pPr>
      <w:r w:rsidRPr="002869EC">
        <w:rPr>
          <w:rFonts w:eastAsia="Times New Roman"/>
          <w:b/>
          <w:bCs/>
          <w:lang w:eastAsia="lv-LV"/>
        </w:rPr>
        <w:t xml:space="preserve">50 milj. </w:t>
      </w:r>
      <w:proofErr w:type="spellStart"/>
      <w:r w:rsidRPr="002869EC">
        <w:rPr>
          <w:rFonts w:eastAsia="Times New Roman"/>
          <w:b/>
          <w:bCs/>
          <w:i/>
          <w:iCs/>
          <w:lang w:eastAsia="lv-LV"/>
        </w:rPr>
        <w:t>euro</w:t>
      </w:r>
      <w:proofErr w:type="spellEnd"/>
      <w:r w:rsidRPr="002869EC">
        <w:rPr>
          <w:rFonts w:eastAsia="Times New Roman"/>
          <w:lang w:eastAsia="lv-LV"/>
        </w:rPr>
        <w:t xml:space="preserve"> 2025. gadā paredzēti Ukrainas atbalstam (atbilstoši noslēgtajam līgumam par militāro atbalstu), </w:t>
      </w:r>
      <w:r w:rsidRPr="002869EC">
        <w:rPr>
          <w:rFonts w:eastAsia="Times New Roman"/>
          <w:b/>
          <w:bCs/>
          <w:lang w:eastAsia="lv-LV"/>
        </w:rPr>
        <w:t xml:space="preserve">65 milj. </w:t>
      </w:r>
      <w:proofErr w:type="spellStart"/>
      <w:r w:rsidRPr="002869EC">
        <w:rPr>
          <w:rFonts w:eastAsia="Times New Roman"/>
          <w:b/>
          <w:bCs/>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 pasākumu plāna atbalsta sniegšanai Ukrainas civiliedzīvotājiem Latvijas Republikā 2025. gadam īstenošanai, kā arī pastiprinātās robežapsardzības sistēmas darbības režīma pagarināšanai 2025. gadā iezīmēti </w:t>
      </w:r>
      <w:r w:rsidRPr="002869EC">
        <w:rPr>
          <w:rFonts w:eastAsia="Times New Roman"/>
          <w:b/>
          <w:bCs/>
          <w:lang w:eastAsia="lv-LV"/>
        </w:rPr>
        <w:t>4,8 milj.</w:t>
      </w:r>
      <w:r w:rsidRPr="002869EC">
        <w:rPr>
          <w:rFonts w:eastAsia="Times New Roman"/>
          <w:lang w:eastAsia="lv-LV"/>
        </w:rPr>
        <w:t xml:space="preserve"> </w:t>
      </w:r>
      <w:proofErr w:type="spellStart"/>
      <w:r w:rsidRPr="002869EC">
        <w:rPr>
          <w:rFonts w:eastAsia="Times New Roman"/>
          <w:b/>
          <w:bCs/>
          <w:i/>
          <w:iCs/>
          <w:lang w:eastAsia="lv-LV"/>
        </w:rPr>
        <w:t>euro</w:t>
      </w:r>
      <w:proofErr w:type="spellEnd"/>
      <w:r w:rsidRPr="002869EC">
        <w:rPr>
          <w:rFonts w:eastAsia="Times New Roman"/>
          <w:lang w:eastAsia="lv-LV"/>
        </w:rPr>
        <w:t>.</w:t>
      </w:r>
    </w:p>
    <w:p w14:paraId="718BC1A1" w14:textId="36FD23CA" w:rsidR="004206E7" w:rsidRDefault="004206E7" w:rsidP="006357B3">
      <w:pPr>
        <w:spacing w:line="240" w:lineRule="auto"/>
        <w:rPr>
          <w:rFonts w:eastAsia="Times New Roman"/>
          <w:lang w:eastAsia="lv-LV"/>
        </w:rPr>
      </w:pPr>
      <w:r w:rsidRPr="002869EC">
        <w:rPr>
          <w:rFonts w:eastAsia="Times New Roman"/>
          <w:b/>
          <w:bCs/>
          <w:lang w:eastAsia="lv-LV"/>
        </w:rPr>
        <w:t xml:space="preserve">5,9 milj. </w:t>
      </w:r>
      <w:proofErr w:type="spellStart"/>
      <w:r w:rsidRPr="002869EC">
        <w:rPr>
          <w:rFonts w:eastAsia="Times New Roman"/>
          <w:b/>
          <w:bCs/>
          <w:i/>
          <w:iCs/>
          <w:lang w:eastAsia="lv-LV"/>
        </w:rPr>
        <w:t>euro</w:t>
      </w:r>
      <w:proofErr w:type="spellEnd"/>
      <w:r w:rsidRPr="002869EC">
        <w:rPr>
          <w:rFonts w:eastAsia="Times New Roman"/>
          <w:lang w:eastAsia="lv-LV"/>
        </w:rPr>
        <w:t>, t.sk</w:t>
      </w:r>
      <w:r w:rsidRPr="002869EC">
        <w:rPr>
          <w:rFonts w:eastAsia="Times New Roman"/>
          <w:b/>
          <w:bCs/>
          <w:lang w:eastAsia="lv-LV"/>
        </w:rPr>
        <w:t xml:space="preserve">. </w:t>
      </w:r>
      <w:r w:rsidRPr="002869EC">
        <w:rPr>
          <w:rFonts w:eastAsia="Times New Roman"/>
          <w:lang w:eastAsia="lv-LV"/>
        </w:rPr>
        <w:t xml:space="preserve">1,5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 gadam, 1,4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2026. gadam, 1,5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2027. gadam un 1,5 milj. </w:t>
      </w:r>
      <w:proofErr w:type="spellStart"/>
      <w:r w:rsidRPr="002869EC">
        <w:rPr>
          <w:rFonts w:eastAsia="Times New Roman"/>
          <w:i/>
          <w:iCs/>
          <w:lang w:eastAsia="lv-LV"/>
        </w:rPr>
        <w:t>euro</w:t>
      </w:r>
      <w:proofErr w:type="spellEnd"/>
      <w:r w:rsidRPr="002869EC">
        <w:rPr>
          <w:rFonts w:eastAsia="Times New Roman"/>
          <w:lang w:eastAsia="lv-LV"/>
        </w:rPr>
        <w:t xml:space="preserve"> 2028. gadam</w:t>
      </w:r>
      <w:r w:rsidRPr="002869EC">
        <w:rPr>
          <w:rFonts w:eastAsia="Times New Roman"/>
          <w:b/>
          <w:bCs/>
          <w:lang w:eastAsia="lv-LV"/>
        </w:rPr>
        <w:t xml:space="preserve"> </w:t>
      </w:r>
      <w:r w:rsidRPr="002869EC">
        <w:rPr>
          <w:rFonts w:eastAsia="Times New Roman"/>
          <w:lang w:eastAsia="lv-LV"/>
        </w:rPr>
        <w:t>iezīmēti citiem prioritāriem pasākumiem drošības jomā (krīzes vadības centra kapacitātes nodrošināšanai un Latvijas Republikas pastāvīgās pārstāvniecības ANO, Ņujorkā darbības nepārtrauktības nodrošināšanai).</w:t>
      </w:r>
    </w:p>
    <w:p w14:paraId="0B338E6E" w14:textId="77777777" w:rsidR="00566221" w:rsidRPr="00566221" w:rsidRDefault="00566221" w:rsidP="006357B3">
      <w:pPr>
        <w:spacing w:after="0" w:line="240" w:lineRule="auto"/>
        <w:rPr>
          <w:rFonts w:eastAsia="Times New Roman"/>
          <w:lang w:eastAsia="lv-LV"/>
        </w:rPr>
      </w:pPr>
    </w:p>
    <w:p w14:paraId="19902D0F" w14:textId="7ECD1916" w:rsidR="004206E7" w:rsidRPr="00566221" w:rsidRDefault="004206E7" w:rsidP="006357B3">
      <w:pPr>
        <w:spacing w:line="240" w:lineRule="auto"/>
        <w:ind w:firstLine="0"/>
        <w:jc w:val="center"/>
        <w:rPr>
          <w:rFonts w:eastAsia="Times New Roman"/>
          <w:b/>
          <w:bCs/>
          <w:u w:val="single"/>
          <w:lang w:eastAsia="lv-LV"/>
        </w:rPr>
      </w:pPr>
      <w:r w:rsidRPr="00566221">
        <w:rPr>
          <w:rFonts w:eastAsia="Times New Roman"/>
          <w:b/>
          <w:bCs/>
          <w:u w:val="single"/>
          <w:lang w:eastAsia="lv-LV"/>
        </w:rPr>
        <w:t>Citi pasākumi</w:t>
      </w:r>
    </w:p>
    <w:p w14:paraId="05DB8D86" w14:textId="2B44B6AC" w:rsidR="00097BDE" w:rsidRDefault="00097BDE" w:rsidP="006357B3">
      <w:pPr>
        <w:spacing w:line="240" w:lineRule="auto"/>
        <w:rPr>
          <w:rFonts w:eastAsia="Times New Roman"/>
          <w:lang w:eastAsia="lv-LV"/>
        </w:rPr>
      </w:pPr>
      <w:r>
        <w:rPr>
          <w:rFonts w:eastAsia="Times New Roman"/>
          <w:lang w:eastAsia="lv-LV"/>
        </w:rPr>
        <w:t xml:space="preserve">Bez prioritārā pasākuma “drošība”, </w:t>
      </w:r>
      <w:r w:rsidR="00CB514E">
        <w:rPr>
          <w:rFonts w:eastAsia="Times New Roman"/>
          <w:lang w:eastAsia="lv-LV"/>
        </w:rPr>
        <w:t>v</w:t>
      </w:r>
      <w:r w:rsidR="001420B0" w:rsidRPr="002869EC">
        <w:rPr>
          <w:rFonts w:eastAsia="Times New Roman"/>
          <w:lang w:eastAsia="lv-LV"/>
        </w:rPr>
        <w:t xml:space="preserve">alsts budžetā 2025. gadam un budžeta ietvarā 2025., 2026. un 2027. gadam </w:t>
      </w:r>
      <w:r w:rsidR="004206E7" w:rsidRPr="002869EC">
        <w:rPr>
          <w:rFonts w:eastAsia="Times New Roman"/>
          <w:lang w:eastAsia="lv-LV"/>
        </w:rPr>
        <w:t>paredzēts īstenot</w:t>
      </w:r>
      <w:r>
        <w:rPr>
          <w:rFonts w:eastAsia="Times New Roman"/>
          <w:lang w:eastAsia="lv-LV"/>
        </w:rPr>
        <w:t xml:space="preserve"> arī virkni citus</w:t>
      </w:r>
      <w:r w:rsidR="004206E7" w:rsidRPr="002869EC">
        <w:rPr>
          <w:rFonts w:eastAsia="Times New Roman"/>
          <w:lang w:eastAsia="lv-LV"/>
        </w:rPr>
        <w:t xml:space="preserve"> pasākumus</w:t>
      </w:r>
      <w:r>
        <w:rPr>
          <w:rFonts w:eastAsia="Times New Roman"/>
          <w:lang w:eastAsia="lv-LV"/>
        </w:rPr>
        <w:t xml:space="preserve"> un tam piešķirti </w:t>
      </w:r>
      <w:r w:rsidRPr="002869EC">
        <w:rPr>
          <w:rFonts w:eastAsia="Times New Roman"/>
          <w:lang w:eastAsia="lv-LV"/>
        </w:rPr>
        <w:t xml:space="preserve">vairāk kā </w:t>
      </w:r>
      <w:r w:rsidRPr="002869EC">
        <w:rPr>
          <w:rFonts w:eastAsia="Times New Roman"/>
          <w:b/>
          <w:bCs/>
          <w:lang w:eastAsia="lv-LV"/>
        </w:rPr>
        <w:t xml:space="preserve">166,8 milj. </w:t>
      </w:r>
      <w:proofErr w:type="spellStart"/>
      <w:r w:rsidRPr="002869EC">
        <w:rPr>
          <w:rFonts w:eastAsia="Times New Roman"/>
          <w:b/>
          <w:bCs/>
          <w:i/>
          <w:iCs/>
          <w:lang w:eastAsia="lv-LV"/>
        </w:rPr>
        <w:t>euro</w:t>
      </w:r>
      <w:proofErr w:type="spellEnd"/>
      <w:r w:rsidRPr="002869EC">
        <w:rPr>
          <w:rFonts w:eastAsia="Times New Roman"/>
          <w:lang w:eastAsia="lv-LV"/>
        </w:rPr>
        <w:t xml:space="preserve"> (40,5 milj. </w:t>
      </w:r>
      <w:proofErr w:type="spellStart"/>
      <w:r w:rsidRPr="002869EC">
        <w:rPr>
          <w:rFonts w:eastAsia="Times New Roman"/>
          <w:i/>
          <w:iCs/>
          <w:lang w:eastAsia="lv-LV"/>
        </w:rPr>
        <w:t>euro</w:t>
      </w:r>
      <w:proofErr w:type="spellEnd"/>
      <w:r w:rsidRPr="002869EC">
        <w:rPr>
          <w:rFonts w:eastAsia="Times New Roman"/>
          <w:i/>
          <w:iCs/>
          <w:lang w:eastAsia="lv-LV"/>
        </w:rPr>
        <w:t xml:space="preserve"> </w:t>
      </w:r>
      <w:r w:rsidRPr="002869EC">
        <w:rPr>
          <w:rFonts w:eastAsia="Times New Roman"/>
          <w:lang w:eastAsia="lv-LV"/>
        </w:rPr>
        <w:t xml:space="preserve">2025.gadam, 43,3 milj. </w:t>
      </w:r>
      <w:proofErr w:type="spellStart"/>
      <w:r w:rsidRPr="002869EC">
        <w:rPr>
          <w:rFonts w:eastAsia="Times New Roman"/>
          <w:i/>
          <w:iCs/>
          <w:lang w:eastAsia="lv-LV"/>
        </w:rPr>
        <w:t>euro</w:t>
      </w:r>
      <w:proofErr w:type="spellEnd"/>
      <w:r w:rsidRPr="002869EC">
        <w:rPr>
          <w:rFonts w:eastAsia="Times New Roman"/>
          <w:lang w:eastAsia="lv-LV"/>
        </w:rPr>
        <w:t xml:space="preserve"> 2026. gadam, 40,8 milj. </w:t>
      </w:r>
      <w:proofErr w:type="spellStart"/>
      <w:r w:rsidRPr="002869EC">
        <w:rPr>
          <w:rFonts w:eastAsia="Times New Roman"/>
          <w:i/>
          <w:iCs/>
          <w:lang w:eastAsia="lv-LV"/>
        </w:rPr>
        <w:t>euro</w:t>
      </w:r>
      <w:proofErr w:type="spellEnd"/>
      <w:r w:rsidRPr="002869EC">
        <w:rPr>
          <w:rFonts w:eastAsia="Times New Roman"/>
          <w:lang w:eastAsia="lv-LV"/>
        </w:rPr>
        <w:t xml:space="preserve"> 2027. gadam un 42,2 milj. </w:t>
      </w:r>
      <w:proofErr w:type="spellStart"/>
      <w:r w:rsidRPr="002869EC">
        <w:rPr>
          <w:rFonts w:eastAsia="Times New Roman"/>
          <w:i/>
          <w:iCs/>
          <w:lang w:eastAsia="lv-LV"/>
        </w:rPr>
        <w:t>euro</w:t>
      </w:r>
      <w:proofErr w:type="spellEnd"/>
      <w:r w:rsidRPr="002869EC">
        <w:rPr>
          <w:rFonts w:eastAsia="Times New Roman"/>
          <w:lang w:eastAsia="lv-LV"/>
        </w:rPr>
        <w:t xml:space="preserve"> 2028. gadam)</w:t>
      </w:r>
      <w:r>
        <w:rPr>
          <w:rFonts w:eastAsia="Times New Roman"/>
          <w:lang w:eastAsia="lv-LV"/>
        </w:rPr>
        <w:t xml:space="preserve">. </w:t>
      </w:r>
      <w:r w:rsidRPr="002869EC">
        <w:rPr>
          <w:rFonts w:eastAsia="Times New Roman"/>
          <w:lang w:eastAsia="lv-LV"/>
        </w:rPr>
        <w:t xml:space="preserve">72% </w:t>
      </w:r>
      <w:r>
        <w:rPr>
          <w:rFonts w:eastAsia="Times New Roman"/>
          <w:lang w:eastAsia="lv-LV"/>
        </w:rPr>
        <w:t xml:space="preserve">no šīs summas </w:t>
      </w:r>
      <w:r w:rsidRPr="002869EC">
        <w:rPr>
          <w:rFonts w:eastAsia="Times New Roman"/>
          <w:lang w:eastAsia="lv-LV"/>
        </w:rPr>
        <w:t xml:space="preserve">jeb </w:t>
      </w:r>
      <w:r w:rsidRPr="002869EC">
        <w:rPr>
          <w:rFonts w:eastAsia="Times New Roman"/>
          <w:b/>
          <w:bCs/>
          <w:lang w:eastAsia="lv-LV"/>
        </w:rPr>
        <w:t xml:space="preserve">120 milj. </w:t>
      </w:r>
      <w:proofErr w:type="spellStart"/>
      <w:r w:rsidRPr="002869EC">
        <w:rPr>
          <w:rFonts w:eastAsia="Times New Roman"/>
          <w:b/>
          <w:bCs/>
          <w:i/>
          <w:iCs/>
          <w:lang w:eastAsia="lv-LV"/>
        </w:rPr>
        <w:t>euro</w:t>
      </w:r>
      <w:proofErr w:type="spellEnd"/>
      <w:r w:rsidRPr="002869EC">
        <w:rPr>
          <w:rFonts w:eastAsia="Times New Roman"/>
          <w:lang w:eastAsia="lv-LV"/>
        </w:rPr>
        <w:t xml:space="preserve"> (30 milj. </w:t>
      </w:r>
      <w:proofErr w:type="spellStart"/>
      <w:r w:rsidRPr="002869EC">
        <w:rPr>
          <w:rFonts w:eastAsia="Times New Roman"/>
          <w:i/>
          <w:iCs/>
          <w:lang w:eastAsia="lv-LV"/>
        </w:rPr>
        <w:t>euro</w:t>
      </w:r>
      <w:proofErr w:type="spellEnd"/>
      <w:r w:rsidRPr="002869EC">
        <w:rPr>
          <w:rFonts w:eastAsia="Times New Roman"/>
          <w:lang w:eastAsia="lv-LV"/>
        </w:rPr>
        <w:t xml:space="preserve"> ik gadu) ir paredzēti pedagogu atalgojuma pieaugumam, tai skaitā pedagogu darba samaksai atbilstoši </w:t>
      </w:r>
      <w:r w:rsidRPr="002869EC">
        <w:rPr>
          <w:rFonts w:eastAsia="Times New Roman"/>
          <w:lang w:eastAsia="lv-LV"/>
        </w:rPr>
        <w:lastRenderedPageBreak/>
        <w:t xml:space="preserve">aktualizētajam skolēnu skaitam. </w:t>
      </w:r>
      <w:r>
        <w:rPr>
          <w:rFonts w:eastAsia="Times New Roman"/>
          <w:lang w:eastAsia="lv-LV"/>
        </w:rPr>
        <w:t xml:space="preserve">Paredzēts finansējums </w:t>
      </w:r>
      <w:r w:rsidR="004206E7" w:rsidRPr="002869EC">
        <w:rPr>
          <w:rFonts w:eastAsia="Times New Roman"/>
          <w:lang w:eastAsia="lv-LV"/>
        </w:rPr>
        <w:t>Satversmes tiesas sprieduma un likumu izpildes nodrošināšanai (atbalsts minimālo ienākumu palielināšanai, elektroniskās uzraudzības sistēmas ieviešanai un uzturēšanai</w:t>
      </w:r>
      <w:r w:rsidR="004206E7" w:rsidRPr="002869EC">
        <w:rPr>
          <w:rFonts w:eastAsia="Times New Roman"/>
          <w:b/>
          <w:bCs/>
          <w:lang w:eastAsia="lv-LV"/>
        </w:rPr>
        <w:t>)</w:t>
      </w:r>
      <w:r w:rsidR="004206E7" w:rsidRPr="002869EC">
        <w:rPr>
          <w:rFonts w:eastAsia="Times New Roman"/>
          <w:lang w:eastAsia="lv-LV"/>
        </w:rPr>
        <w:t xml:space="preserve">, kā arī neatkarīgo iestāžu kapacitātes stiprināšanai un IT sistēmu drošības pilnveidošanai, </w:t>
      </w:r>
    </w:p>
    <w:p w14:paraId="5284FCEA" w14:textId="217C3F22" w:rsidR="001420B0" w:rsidRPr="00F74D26" w:rsidRDefault="00097BDE" w:rsidP="006357B3">
      <w:pPr>
        <w:spacing w:line="240" w:lineRule="auto"/>
        <w:rPr>
          <w:rFonts w:eastAsia="Times New Roman"/>
          <w:lang w:eastAsia="lv-LV"/>
        </w:rPr>
      </w:pPr>
      <w:r w:rsidRPr="00F74D26">
        <w:rPr>
          <w:rFonts w:eastAsia="Times New Roman"/>
          <w:lang w:eastAsia="lv-LV"/>
        </w:rPr>
        <w:t>A</w:t>
      </w:r>
      <w:r w:rsidR="004206E7" w:rsidRPr="00F74D26">
        <w:rPr>
          <w:rFonts w:eastAsia="Times New Roman"/>
          <w:lang w:eastAsia="lv-LV"/>
        </w:rPr>
        <w:t xml:space="preserve">r nodokļu politikas izmaiņām saistītā pasākuma (dotācija pašvaldībām autonomo funkciju veikšanai) finansēšanai iezīmēti resursi </w:t>
      </w:r>
      <w:r w:rsidR="00F74D26" w:rsidRPr="00F74D26">
        <w:rPr>
          <w:rFonts w:eastAsia="Times New Roman"/>
          <w:b/>
          <w:bCs/>
          <w:lang w:eastAsia="lv-LV"/>
        </w:rPr>
        <w:t xml:space="preserve">484,5 milj. </w:t>
      </w:r>
      <w:proofErr w:type="spellStart"/>
      <w:r w:rsidR="00F74D26" w:rsidRPr="00F74D26">
        <w:rPr>
          <w:rFonts w:eastAsia="Times New Roman"/>
          <w:b/>
          <w:bCs/>
          <w:i/>
          <w:iCs/>
          <w:lang w:eastAsia="lv-LV"/>
        </w:rPr>
        <w:t>euro</w:t>
      </w:r>
      <w:proofErr w:type="spellEnd"/>
      <w:r w:rsidR="00F74D26" w:rsidRPr="00F74D26">
        <w:rPr>
          <w:rFonts w:eastAsia="Times New Roman"/>
          <w:b/>
          <w:bCs/>
          <w:lang w:eastAsia="lv-LV"/>
        </w:rPr>
        <w:t xml:space="preserve"> </w:t>
      </w:r>
      <w:r w:rsidR="00F74D26" w:rsidRPr="00F74D26">
        <w:rPr>
          <w:rFonts w:eastAsia="Times New Roman"/>
          <w:lang w:eastAsia="lv-LV"/>
        </w:rPr>
        <w:t xml:space="preserve">apmērā, t.sk. 67,5 milj. </w:t>
      </w:r>
      <w:proofErr w:type="spellStart"/>
      <w:r w:rsidR="00F74D26" w:rsidRPr="00F74D26">
        <w:rPr>
          <w:rFonts w:eastAsia="Times New Roman"/>
          <w:i/>
          <w:iCs/>
          <w:lang w:eastAsia="lv-LV"/>
        </w:rPr>
        <w:t>euro</w:t>
      </w:r>
      <w:proofErr w:type="spellEnd"/>
      <w:r w:rsidR="00F74D26" w:rsidRPr="00F74D26">
        <w:rPr>
          <w:rFonts w:eastAsia="Times New Roman"/>
          <w:lang w:eastAsia="lv-LV"/>
        </w:rPr>
        <w:t xml:space="preserve"> 2025. gadam, 125,5 milj. </w:t>
      </w:r>
      <w:proofErr w:type="spellStart"/>
      <w:r w:rsidR="00F74D26" w:rsidRPr="00F74D26">
        <w:rPr>
          <w:rFonts w:eastAsia="Times New Roman"/>
          <w:i/>
          <w:iCs/>
          <w:lang w:eastAsia="lv-LV"/>
        </w:rPr>
        <w:t>euro</w:t>
      </w:r>
      <w:proofErr w:type="spellEnd"/>
      <w:r w:rsidR="00F74D26" w:rsidRPr="00F74D26">
        <w:rPr>
          <w:rFonts w:eastAsia="Times New Roman"/>
          <w:lang w:eastAsia="lv-LV"/>
        </w:rPr>
        <w:t xml:space="preserve"> 2026. gadam, 147,1 milj. </w:t>
      </w:r>
      <w:proofErr w:type="spellStart"/>
      <w:r w:rsidR="00F74D26" w:rsidRPr="00F74D26">
        <w:rPr>
          <w:rFonts w:eastAsia="Times New Roman"/>
          <w:i/>
          <w:iCs/>
          <w:lang w:eastAsia="lv-LV"/>
        </w:rPr>
        <w:t>euro</w:t>
      </w:r>
      <w:proofErr w:type="spellEnd"/>
      <w:r w:rsidR="00F74D26" w:rsidRPr="00F74D26">
        <w:rPr>
          <w:rFonts w:eastAsia="Times New Roman"/>
          <w:lang w:eastAsia="lv-LV"/>
        </w:rPr>
        <w:t xml:space="preserve"> 2027. gadam un 144,4 milj. </w:t>
      </w:r>
      <w:proofErr w:type="spellStart"/>
      <w:r w:rsidR="00F74D26" w:rsidRPr="00F74D26">
        <w:rPr>
          <w:rFonts w:eastAsia="Times New Roman"/>
          <w:i/>
          <w:iCs/>
          <w:lang w:eastAsia="lv-LV"/>
        </w:rPr>
        <w:t>euro</w:t>
      </w:r>
      <w:proofErr w:type="spellEnd"/>
      <w:r w:rsidR="00F74D26" w:rsidRPr="00F74D26">
        <w:rPr>
          <w:rFonts w:eastAsia="Times New Roman"/>
          <w:lang w:eastAsia="lv-LV"/>
        </w:rPr>
        <w:t xml:space="preserve"> 2028. gadam.</w:t>
      </w:r>
      <w:r w:rsidR="00F74D26" w:rsidRPr="00F74D26">
        <w:rPr>
          <w:rFonts w:eastAsia="Times New Roman"/>
          <w:b/>
          <w:bCs/>
          <w:lang w:eastAsia="lv-LV"/>
        </w:rPr>
        <w:t xml:space="preserve"> </w:t>
      </w:r>
      <w:r w:rsidR="00675746" w:rsidRPr="00F74D26">
        <w:rPr>
          <w:rFonts w:eastAsia="Times New Roman"/>
          <w:lang w:eastAsia="lv-LV"/>
        </w:rPr>
        <w:t xml:space="preserve">Jāatzīmē, ka šis ir </w:t>
      </w:r>
      <w:proofErr w:type="spellStart"/>
      <w:r w:rsidR="00675746" w:rsidRPr="00F74D26">
        <w:rPr>
          <w:rFonts w:eastAsia="Times New Roman"/>
          <w:lang w:eastAsia="lv-LV"/>
        </w:rPr>
        <w:t>transferta</w:t>
      </w:r>
      <w:proofErr w:type="spellEnd"/>
      <w:r w:rsidR="00675746" w:rsidRPr="00F74D26">
        <w:rPr>
          <w:rFonts w:eastAsia="Times New Roman"/>
          <w:lang w:eastAsia="lv-LV"/>
        </w:rPr>
        <w:t xml:space="preserve"> darījums bez ietekmes uz vispārējās valdības budžeta bilanci.</w:t>
      </w:r>
    </w:p>
    <w:p w14:paraId="41CF6D86" w14:textId="7FA672B1" w:rsidR="005A4348" w:rsidRPr="00AB1ADE" w:rsidRDefault="00CD2512" w:rsidP="006357B3">
      <w:pPr>
        <w:pStyle w:val="Heading2"/>
        <w:numPr>
          <w:ilvl w:val="0"/>
          <w:numId w:val="0"/>
        </w:numPr>
        <w:spacing w:before="240" w:after="240" w:line="240" w:lineRule="auto"/>
        <w:ind w:left="578"/>
        <w:rPr>
          <w:rFonts w:eastAsia="Times New Roman" w:cs="Times New Roman"/>
          <w:sz w:val="28"/>
          <w:szCs w:val="24"/>
        </w:rPr>
      </w:pPr>
      <w:bookmarkStart w:id="33" w:name="_Toc5693314"/>
      <w:bookmarkStart w:id="34" w:name="_Toc179540629"/>
      <w:r w:rsidRPr="00AB1ADE">
        <w:rPr>
          <w:rFonts w:eastAsia="Times New Roman" w:cs="Times New Roman"/>
          <w:sz w:val="28"/>
          <w:szCs w:val="24"/>
        </w:rPr>
        <w:t>6</w:t>
      </w:r>
      <w:r w:rsidR="005A4348" w:rsidRPr="00AB1ADE">
        <w:rPr>
          <w:rFonts w:eastAsia="Times New Roman" w:cs="Times New Roman"/>
          <w:sz w:val="28"/>
          <w:szCs w:val="24"/>
        </w:rPr>
        <w:t xml:space="preserve">.2. </w:t>
      </w:r>
      <w:bookmarkEnd w:id="30"/>
      <w:bookmarkEnd w:id="31"/>
      <w:bookmarkEnd w:id="33"/>
      <w:r w:rsidR="005A4348" w:rsidRPr="00AB1ADE">
        <w:rPr>
          <w:rFonts w:eastAsia="Times New Roman" w:cs="Times New Roman"/>
          <w:sz w:val="28"/>
          <w:szCs w:val="24"/>
        </w:rPr>
        <w:t>Fiskālie nosacījumi</w:t>
      </w:r>
      <w:bookmarkEnd w:id="34"/>
      <w:r w:rsidR="005A4348" w:rsidRPr="00AB1ADE">
        <w:rPr>
          <w:rFonts w:eastAsia="Times New Roman" w:cs="Times New Roman"/>
          <w:sz w:val="28"/>
          <w:szCs w:val="24"/>
        </w:rPr>
        <w:t xml:space="preserve"> </w:t>
      </w:r>
    </w:p>
    <w:p w14:paraId="7D72CB1B" w14:textId="542F3CC2" w:rsidR="001420B0" w:rsidRDefault="00E366B1" w:rsidP="006357B3">
      <w:pPr>
        <w:spacing w:line="240" w:lineRule="auto"/>
      </w:pPr>
      <w:r w:rsidRPr="002869EC">
        <w:t xml:space="preserve">Latvijas fiskālo politiku nosaka trīs </w:t>
      </w:r>
      <w:r w:rsidR="001420B0" w:rsidRPr="002869EC">
        <w:t>fiskālie</w:t>
      </w:r>
      <w:r w:rsidRPr="002869EC">
        <w:t xml:space="preserve"> nosacījumi</w:t>
      </w:r>
      <w:r w:rsidR="001420B0" w:rsidRPr="002869EC">
        <w:t>:</w:t>
      </w:r>
      <w:r w:rsidRPr="002869EC">
        <w:t xml:space="preserve"> (1) FDL strukturālās bilances nosacījums, (2) ES strukturālās </w:t>
      </w:r>
      <w:r w:rsidR="00063DC6" w:rsidRPr="002869EC">
        <w:t xml:space="preserve">primārās </w:t>
      </w:r>
      <w:r w:rsidRPr="002869EC">
        <w:t xml:space="preserve">bilances nosacījums un </w:t>
      </w:r>
      <w:r w:rsidR="00063DC6" w:rsidRPr="002869EC">
        <w:t xml:space="preserve">(3) </w:t>
      </w:r>
      <w:r w:rsidRPr="002869EC">
        <w:t xml:space="preserve">ES </w:t>
      </w:r>
      <w:r w:rsidR="00F74D26">
        <w:t>izdevumu pieauguma nosacījums</w:t>
      </w:r>
      <w:r w:rsidRPr="002869EC">
        <w:t>.</w:t>
      </w:r>
    </w:p>
    <w:p w14:paraId="730A1A37" w14:textId="77777777" w:rsidR="00FC3DA6" w:rsidRPr="002869EC" w:rsidRDefault="00FC3DA6" w:rsidP="006357B3">
      <w:pPr>
        <w:spacing w:after="0" w:line="240" w:lineRule="auto"/>
      </w:pPr>
    </w:p>
    <w:p w14:paraId="3EF5F314" w14:textId="49EDF5AC" w:rsidR="00EF14FD" w:rsidRPr="002869EC" w:rsidRDefault="00CD2512" w:rsidP="006357B3">
      <w:pPr>
        <w:pStyle w:val="Heading3"/>
        <w:numPr>
          <w:ilvl w:val="0"/>
          <w:numId w:val="0"/>
        </w:numPr>
        <w:spacing w:before="0" w:line="240" w:lineRule="auto"/>
        <w:ind w:left="720"/>
        <w:jc w:val="center"/>
      </w:pPr>
      <w:bookmarkStart w:id="35" w:name="_Toc179540630"/>
      <w:r w:rsidRPr="002869EC">
        <w:t>6</w:t>
      </w:r>
      <w:r w:rsidR="005A4348" w:rsidRPr="002869EC">
        <w:t>.2.1. Strukturālās bilances fiskālais nosacījums</w:t>
      </w:r>
      <w:bookmarkEnd w:id="35"/>
    </w:p>
    <w:p w14:paraId="49A35018" w14:textId="6C0B674C" w:rsidR="00C8504B" w:rsidRPr="002869EC" w:rsidRDefault="00C8504B" w:rsidP="006357B3">
      <w:pPr>
        <w:spacing w:line="240" w:lineRule="auto"/>
        <w:rPr>
          <w:rFonts w:eastAsiaTheme="majorEastAsia"/>
        </w:rPr>
      </w:pPr>
      <w:r w:rsidRPr="002869EC">
        <w:rPr>
          <w:rFonts w:eastAsiaTheme="majorEastAsia"/>
        </w:rPr>
        <w:t xml:space="preserve">Saskaņā ar </w:t>
      </w:r>
      <w:r w:rsidR="00063DC6" w:rsidRPr="002869EC">
        <w:rPr>
          <w:rFonts w:eastAsiaTheme="majorEastAsia"/>
        </w:rPr>
        <w:t>Regulu</w:t>
      </w:r>
      <w:r w:rsidRPr="002869EC">
        <w:rPr>
          <w:rFonts w:eastAsiaTheme="majorEastAsia"/>
        </w:rPr>
        <w:t xml:space="preserve">, dalībvalsts savā nacionālajā likumdošanā var izmantot citus fiskālo nosacījumus. </w:t>
      </w:r>
      <w:r w:rsidR="00F74D26">
        <w:rPr>
          <w:rFonts w:eastAsiaTheme="majorEastAsia"/>
        </w:rPr>
        <w:t>Atbilstoši</w:t>
      </w:r>
      <w:r w:rsidRPr="002869EC">
        <w:rPr>
          <w:rFonts w:eastAsiaTheme="majorEastAsia"/>
        </w:rPr>
        <w:t xml:space="preserve"> FDL, Latvijai ir jāievēro, ka vispārējās valdības strukturālais deficīts nepārsniedz 1,0% no IKP. Jāatzīmē, ka no 2013. gada līdz šim bija spēkā zemāks</w:t>
      </w:r>
      <w:r w:rsidR="00EE7219" w:rsidRPr="002869EC">
        <w:rPr>
          <w:rFonts w:eastAsiaTheme="majorEastAsia"/>
        </w:rPr>
        <w:t xml:space="preserve"> </w:t>
      </w:r>
      <w:r w:rsidRPr="002869EC">
        <w:rPr>
          <w:rFonts w:eastAsiaTheme="majorEastAsia"/>
        </w:rPr>
        <w:t>pieļaujamais strukturālais deficīts 0,5% no IKP, bet līdz ar jauno ES fiskālo ietvaru, šis nosacījums tika atvieglots, lai tuvinātu ES un Latvijas fiskālo nosacījumu prasības. Tas tika darīts arī tāpēc, ka ES fiskāl</w:t>
      </w:r>
      <w:r w:rsidR="00063DC6" w:rsidRPr="002869EC">
        <w:rPr>
          <w:rFonts w:eastAsiaTheme="majorEastAsia"/>
        </w:rPr>
        <w:t>ais</w:t>
      </w:r>
      <w:r w:rsidRPr="002869EC">
        <w:rPr>
          <w:rFonts w:eastAsiaTheme="majorEastAsia"/>
        </w:rPr>
        <w:t xml:space="preserve"> </w:t>
      </w:r>
      <w:r w:rsidR="00063DC6" w:rsidRPr="002869EC">
        <w:rPr>
          <w:rFonts w:eastAsiaTheme="majorEastAsia"/>
        </w:rPr>
        <w:t xml:space="preserve">regulējums </w:t>
      </w:r>
      <w:r w:rsidRPr="002869EC">
        <w:rPr>
          <w:rFonts w:eastAsiaTheme="majorEastAsia"/>
        </w:rPr>
        <w:t>valstīm ar parādu zem 60% no IKP do</w:t>
      </w:r>
      <w:r w:rsidR="00063DC6" w:rsidRPr="002869EC">
        <w:rPr>
          <w:rFonts w:eastAsiaTheme="majorEastAsia"/>
        </w:rPr>
        <w:t>d</w:t>
      </w:r>
      <w:r w:rsidRPr="002869EC">
        <w:rPr>
          <w:rFonts w:eastAsiaTheme="majorEastAsia"/>
        </w:rPr>
        <w:t xml:space="preserve"> lielāku rīcības brīvību</w:t>
      </w:r>
      <w:r w:rsidR="00063DC6" w:rsidRPr="002869EC">
        <w:rPr>
          <w:rFonts w:eastAsiaTheme="majorEastAsia"/>
        </w:rPr>
        <w:t>,</w:t>
      </w:r>
      <w:r w:rsidRPr="002869EC">
        <w:rPr>
          <w:rFonts w:eastAsiaTheme="majorEastAsia"/>
        </w:rPr>
        <w:t xml:space="preserve"> sabalansējot investīciju vajadzības un fiskālās disciplīnas apsvērumus.</w:t>
      </w:r>
    </w:p>
    <w:p w14:paraId="53B82745" w14:textId="77777777" w:rsidR="00063DC6" w:rsidRPr="002869EC" w:rsidRDefault="00063DC6" w:rsidP="008403D0">
      <w:pPr>
        <w:spacing w:after="0" w:line="240" w:lineRule="auto"/>
        <w:rPr>
          <w:rFonts w:eastAsiaTheme="majorEastAsia"/>
        </w:rPr>
      </w:pPr>
    </w:p>
    <w:p w14:paraId="5D6D1B5A" w14:textId="084D290E" w:rsidR="00C8504B" w:rsidRPr="002869EC" w:rsidRDefault="00234244" w:rsidP="006357B3">
      <w:pPr>
        <w:widowControl w:val="0"/>
        <w:spacing w:line="240" w:lineRule="auto"/>
        <w:jc w:val="right"/>
        <w:rPr>
          <w:rFonts w:eastAsia="Times New Roman" w:cs="Times New Roman"/>
          <w:bCs/>
          <w:i/>
          <w:iCs/>
          <w:szCs w:val="28"/>
          <w:highlight w:val="lightGray"/>
        </w:rPr>
      </w:pPr>
      <w:r w:rsidRPr="00234244">
        <w:rPr>
          <w:rFonts w:cs="Times New Roman"/>
          <w:b/>
          <w:bCs/>
          <w:szCs w:val="24"/>
          <w:lang w:eastAsia="lv-LV"/>
        </w:rPr>
        <w:t>D</w:t>
      </w:r>
      <w:r w:rsidR="00063DC6" w:rsidRPr="00234244">
        <w:rPr>
          <w:rFonts w:cs="Times New Roman"/>
          <w:b/>
          <w:bCs/>
          <w:szCs w:val="24"/>
          <w:lang w:eastAsia="lv-LV"/>
        </w:rPr>
        <w:t xml:space="preserve">. </w:t>
      </w:r>
      <w:r w:rsidR="00C8504B" w:rsidRPr="00BB31A6">
        <w:rPr>
          <w:rFonts w:eastAsia="Times New Roman" w:cs="Times New Roman"/>
          <w:b/>
          <w:bCs/>
          <w:szCs w:val="24"/>
        </w:rPr>
        <w:t>tabula</w:t>
      </w:r>
      <w:r w:rsidR="009A4020" w:rsidRPr="00BB31A6">
        <w:rPr>
          <w:rFonts w:eastAsia="Times New Roman" w:cs="Times New Roman"/>
          <w:b/>
          <w:bCs/>
          <w:szCs w:val="24"/>
        </w:rPr>
        <w:t>.</w:t>
      </w:r>
      <w:r w:rsidR="00C8504B" w:rsidRPr="00BB31A6">
        <w:rPr>
          <w:rFonts w:eastAsia="Times New Roman" w:cs="Times New Roman"/>
          <w:b/>
          <w:i/>
          <w:iCs/>
          <w:szCs w:val="24"/>
        </w:rPr>
        <w:t xml:space="preserve"> </w:t>
      </w:r>
      <w:r w:rsidR="00C8504B" w:rsidRPr="000F5DA8">
        <w:rPr>
          <w:rFonts w:eastAsia="Times New Roman" w:cs="Times New Roman"/>
          <w:b/>
          <w:lang w:eastAsia="lv-LV"/>
        </w:rPr>
        <w:t>V</w:t>
      </w:r>
      <w:r w:rsidR="00C8504B" w:rsidRPr="000F5DA8">
        <w:rPr>
          <w:rFonts w:eastAsia="Times New Roman" w:cs="Times New Roman"/>
          <w:b/>
          <w:szCs w:val="24"/>
          <w:lang w:eastAsia="lv-LV"/>
        </w:rPr>
        <w:t>ispārējās valdības strukturālās bilances mērķi,</w:t>
      </w:r>
      <w:r w:rsidR="00C8504B" w:rsidRPr="000F5DA8">
        <w:rPr>
          <w:rFonts w:eastAsia="Times New Roman" w:cs="Times New Roman"/>
          <w:b/>
          <w:lang w:eastAsia="lv-LV"/>
        </w:rPr>
        <w:t xml:space="preserve"> </w:t>
      </w:r>
      <w:r w:rsidR="00C8504B" w:rsidRPr="000F5DA8">
        <w:rPr>
          <w:rFonts w:eastAsia="Times New Roman" w:cs="Times New Roman"/>
          <w:b/>
          <w:szCs w:val="24"/>
          <w:lang w:eastAsia="lv-LV"/>
        </w:rPr>
        <w:t xml:space="preserve">balstoties uz FDL </w:t>
      </w:r>
      <w:r w:rsidR="00C8504B" w:rsidRPr="000F5DA8">
        <w:rPr>
          <w:rFonts w:eastAsia="Times New Roman" w:cs="Times New Roman"/>
          <w:b/>
          <w:lang w:eastAsia="lv-LV"/>
        </w:rPr>
        <w:t>strukturālās bilances nosacījumu</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737"/>
        <w:gridCol w:w="737"/>
        <w:gridCol w:w="737"/>
        <w:gridCol w:w="737"/>
      </w:tblGrid>
      <w:tr w:rsidR="00C8504B" w:rsidRPr="002869EC" w14:paraId="61308BC2" w14:textId="77777777" w:rsidTr="000C5CF0">
        <w:trPr>
          <w:trHeight w:val="20"/>
          <w:tblHeader/>
          <w:jc w:val="center"/>
        </w:trPr>
        <w:tc>
          <w:tcPr>
            <w:tcW w:w="3397" w:type="dxa"/>
            <w:shd w:val="clear" w:color="auto" w:fill="BDD6EE"/>
            <w:noWrap/>
            <w:vAlign w:val="bottom"/>
            <w:hideMark/>
          </w:tcPr>
          <w:p w14:paraId="3DBF3186" w14:textId="77777777" w:rsidR="00C8504B" w:rsidRPr="000F5DA8" w:rsidRDefault="00C8504B"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w:t>
            </w:r>
          </w:p>
        </w:tc>
        <w:tc>
          <w:tcPr>
            <w:tcW w:w="737" w:type="dxa"/>
            <w:shd w:val="clear" w:color="auto" w:fill="BDD6EE"/>
            <w:noWrap/>
            <w:vAlign w:val="center"/>
            <w:hideMark/>
          </w:tcPr>
          <w:p w14:paraId="6ADBB5BF" w14:textId="77777777" w:rsidR="00C8504B" w:rsidRPr="000F5DA8" w:rsidRDefault="00C8504B"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2025</w:t>
            </w:r>
          </w:p>
        </w:tc>
        <w:tc>
          <w:tcPr>
            <w:tcW w:w="737" w:type="dxa"/>
            <w:shd w:val="clear" w:color="auto" w:fill="BDD6EE"/>
            <w:noWrap/>
            <w:vAlign w:val="center"/>
            <w:hideMark/>
          </w:tcPr>
          <w:p w14:paraId="09D858F3" w14:textId="77777777" w:rsidR="00C8504B" w:rsidRPr="000F5DA8" w:rsidRDefault="00C8504B"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2026</w:t>
            </w:r>
          </w:p>
        </w:tc>
        <w:tc>
          <w:tcPr>
            <w:tcW w:w="737" w:type="dxa"/>
            <w:shd w:val="clear" w:color="auto" w:fill="BDD6EE"/>
            <w:vAlign w:val="center"/>
          </w:tcPr>
          <w:p w14:paraId="4BD91FCB" w14:textId="77777777" w:rsidR="00C8504B" w:rsidRPr="000F5DA8" w:rsidRDefault="00C8504B"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2027</w:t>
            </w:r>
          </w:p>
        </w:tc>
        <w:tc>
          <w:tcPr>
            <w:tcW w:w="737" w:type="dxa"/>
            <w:shd w:val="clear" w:color="auto" w:fill="BDD6EE"/>
            <w:noWrap/>
            <w:vAlign w:val="center"/>
            <w:hideMark/>
          </w:tcPr>
          <w:p w14:paraId="63A58D74" w14:textId="77777777" w:rsidR="00C8504B" w:rsidRPr="000F5DA8" w:rsidRDefault="00C8504B"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2028</w:t>
            </w:r>
          </w:p>
        </w:tc>
      </w:tr>
      <w:tr w:rsidR="00C8504B" w:rsidRPr="002869EC" w14:paraId="7BA593DC" w14:textId="77777777" w:rsidTr="002E7C6D">
        <w:trPr>
          <w:trHeight w:val="20"/>
          <w:jc w:val="center"/>
        </w:trPr>
        <w:tc>
          <w:tcPr>
            <w:tcW w:w="3397" w:type="dxa"/>
            <w:shd w:val="clear" w:color="auto" w:fill="auto"/>
            <w:noWrap/>
            <w:vAlign w:val="center"/>
            <w:hideMark/>
          </w:tcPr>
          <w:p w14:paraId="1E6E6B8B" w14:textId="77777777" w:rsidR="00C8504B" w:rsidRPr="002E7C6D" w:rsidRDefault="00C8504B" w:rsidP="006357B3">
            <w:pPr>
              <w:spacing w:before="60" w:line="240" w:lineRule="auto"/>
              <w:ind w:firstLine="0"/>
              <w:jc w:val="left"/>
              <w:rPr>
                <w:rFonts w:eastAsia="Times New Roman" w:cs="Times New Roman"/>
                <w:color w:val="000000"/>
                <w:sz w:val="18"/>
                <w:szCs w:val="18"/>
                <w:lang w:eastAsia="lv-LV"/>
              </w:rPr>
            </w:pPr>
            <w:r w:rsidRPr="002E7C6D">
              <w:rPr>
                <w:rFonts w:eastAsia="Times New Roman" w:cs="Times New Roman"/>
                <w:color w:val="000000"/>
                <w:sz w:val="18"/>
                <w:szCs w:val="18"/>
                <w:lang w:eastAsia="lv-LV"/>
              </w:rPr>
              <w:t>Vispārējās valdības strukturālās bilances prognoze un mērķi, % no IKP</w:t>
            </w:r>
          </w:p>
        </w:tc>
        <w:tc>
          <w:tcPr>
            <w:tcW w:w="737" w:type="dxa"/>
            <w:shd w:val="clear" w:color="auto" w:fill="auto"/>
            <w:noWrap/>
            <w:vAlign w:val="center"/>
          </w:tcPr>
          <w:p w14:paraId="0D2073B7" w14:textId="77777777" w:rsidR="00C8504B" w:rsidRPr="002E7C6D" w:rsidRDefault="00C8504B" w:rsidP="006357B3">
            <w:pPr>
              <w:spacing w:before="60" w:line="240" w:lineRule="auto"/>
              <w:ind w:firstLine="0"/>
              <w:jc w:val="center"/>
              <w:rPr>
                <w:rFonts w:eastAsia="Times New Roman" w:cs="Times New Roman"/>
                <w:color w:val="000000"/>
                <w:sz w:val="18"/>
                <w:szCs w:val="18"/>
                <w:lang w:eastAsia="lv-LV"/>
              </w:rPr>
            </w:pPr>
            <w:r w:rsidRPr="002E7C6D">
              <w:rPr>
                <w:rFonts w:eastAsia="Times New Roman" w:cs="Times New Roman"/>
                <w:color w:val="000000"/>
                <w:sz w:val="18"/>
                <w:szCs w:val="18"/>
                <w:lang w:eastAsia="lv-LV"/>
              </w:rPr>
              <w:t>-1,0</w:t>
            </w:r>
          </w:p>
        </w:tc>
        <w:tc>
          <w:tcPr>
            <w:tcW w:w="737" w:type="dxa"/>
            <w:shd w:val="clear" w:color="auto" w:fill="auto"/>
            <w:noWrap/>
            <w:vAlign w:val="center"/>
          </w:tcPr>
          <w:p w14:paraId="3103DA25" w14:textId="77777777" w:rsidR="00C8504B" w:rsidRPr="002E7C6D" w:rsidRDefault="00C8504B" w:rsidP="006357B3">
            <w:pPr>
              <w:spacing w:before="60" w:line="240" w:lineRule="auto"/>
              <w:ind w:firstLine="0"/>
              <w:jc w:val="center"/>
              <w:rPr>
                <w:rFonts w:eastAsia="Times New Roman" w:cs="Times New Roman"/>
                <w:color w:val="000000"/>
                <w:sz w:val="18"/>
                <w:szCs w:val="18"/>
                <w:lang w:eastAsia="lv-LV"/>
              </w:rPr>
            </w:pPr>
            <w:r w:rsidRPr="002E7C6D">
              <w:rPr>
                <w:rFonts w:eastAsia="Times New Roman" w:cs="Times New Roman"/>
                <w:color w:val="000000"/>
                <w:sz w:val="18"/>
                <w:szCs w:val="18"/>
                <w:lang w:eastAsia="lv-LV"/>
              </w:rPr>
              <w:t>-1,0</w:t>
            </w:r>
          </w:p>
        </w:tc>
        <w:tc>
          <w:tcPr>
            <w:tcW w:w="737" w:type="dxa"/>
            <w:shd w:val="clear" w:color="auto" w:fill="auto"/>
            <w:vAlign w:val="center"/>
          </w:tcPr>
          <w:p w14:paraId="7BD48CCA" w14:textId="77777777" w:rsidR="00C8504B" w:rsidRPr="002E7C6D" w:rsidRDefault="00C8504B" w:rsidP="006357B3">
            <w:pPr>
              <w:spacing w:before="60" w:line="240" w:lineRule="auto"/>
              <w:ind w:firstLine="0"/>
              <w:jc w:val="center"/>
              <w:rPr>
                <w:rFonts w:eastAsia="Times New Roman" w:cs="Times New Roman"/>
                <w:color w:val="000000"/>
                <w:sz w:val="18"/>
                <w:szCs w:val="18"/>
                <w:lang w:eastAsia="lv-LV"/>
              </w:rPr>
            </w:pPr>
            <w:r w:rsidRPr="002E7C6D">
              <w:rPr>
                <w:rFonts w:eastAsia="Times New Roman" w:cs="Times New Roman"/>
                <w:color w:val="000000"/>
                <w:sz w:val="18"/>
                <w:szCs w:val="18"/>
                <w:lang w:eastAsia="lv-LV"/>
              </w:rPr>
              <w:t>-1,0</w:t>
            </w:r>
          </w:p>
        </w:tc>
        <w:tc>
          <w:tcPr>
            <w:tcW w:w="737" w:type="dxa"/>
            <w:shd w:val="clear" w:color="auto" w:fill="auto"/>
            <w:noWrap/>
            <w:vAlign w:val="center"/>
          </w:tcPr>
          <w:p w14:paraId="242A08F0" w14:textId="77777777" w:rsidR="00C8504B" w:rsidRPr="002E7C6D" w:rsidRDefault="00C8504B" w:rsidP="006357B3">
            <w:pPr>
              <w:spacing w:before="60" w:line="240" w:lineRule="auto"/>
              <w:ind w:firstLine="0"/>
              <w:jc w:val="center"/>
              <w:rPr>
                <w:rFonts w:eastAsia="Times New Roman" w:cs="Times New Roman"/>
                <w:color w:val="000000"/>
                <w:sz w:val="18"/>
                <w:szCs w:val="18"/>
                <w:lang w:eastAsia="lv-LV"/>
              </w:rPr>
            </w:pPr>
            <w:r w:rsidRPr="002E7C6D">
              <w:rPr>
                <w:rFonts w:eastAsia="Times New Roman" w:cs="Times New Roman"/>
                <w:color w:val="000000"/>
                <w:sz w:val="18"/>
                <w:szCs w:val="18"/>
                <w:lang w:eastAsia="lv-LV"/>
              </w:rPr>
              <w:t>-1,0</w:t>
            </w:r>
          </w:p>
        </w:tc>
      </w:tr>
    </w:tbl>
    <w:p w14:paraId="44E5E7FA" w14:textId="39F4AF74" w:rsidR="004E6378" w:rsidRPr="002869EC" w:rsidRDefault="00EE7219" w:rsidP="006357B3">
      <w:pPr>
        <w:spacing w:line="240" w:lineRule="auto"/>
        <w:rPr>
          <w:rFonts w:eastAsiaTheme="majorEastAsia"/>
        </w:rPr>
      </w:pPr>
      <w:r w:rsidRPr="002869EC">
        <w:rPr>
          <w:rFonts w:eastAsiaTheme="majorEastAsia"/>
        </w:rPr>
        <w:t xml:space="preserve"> </w:t>
      </w:r>
      <w:r w:rsidR="00C8504B" w:rsidRPr="002869EC">
        <w:rPr>
          <w:rFonts w:eastAsiaTheme="majorEastAsia"/>
        </w:rPr>
        <w:t xml:space="preserve"> </w:t>
      </w:r>
    </w:p>
    <w:p w14:paraId="1AADFBEE" w14:textId="6E8E2877" w:rsidR="00EF14FD" w:rsidRPr="002869EC" w:rsidRDefault="00CD2512" w:rsidP="006357B3">
      <w:pPr>
        <w:pStyle w:val="Heading3"/>
        <w:numPr>
          <w:ilvl w:val="0"/>
          <w:numId w:val="0"/>
        </w:numPr>
        <w:spacing w:line="240" w:lineRule="auto"/>
        <w:ind w:left="720" w:hanging="720"/>
        <w:jc w:val="center"/>
      </w:pPr>
      <w:bookmarkStart w:id="36" w:name="_Toc179540631"/>
      <w:r w:rsidRPr="002869EC">
        <w:t>6</w:t>
      </w:r>
      <w:r w:rsidR="005A4348" w:rsidRPr="002869EC">
        <w:t xml:space="preserve">.2.2. </w:t>
      </w:r>
      <w:r w:rsidR="00063DC6" w:rsidRPr="002869EC">
        <w:t>S</w:t>
      </w:r>
      <w:r w:rsidR="005A4348" w:rsidRPr="002869EC">
        <w:t xml:space="preserve">trukturālās </w:t>
      </w:r>
      <w:r w:rsidR="00063DC6" w:rsidRPr="002869EC">
        <w:t xml:space="preserve">primārās </w:t>
      </w:r>
      <w:r w:rsidR="005A4348" w:rsidRPr="002869EC">
        <w:t>bilances nosacījums</w:t>
      </w:r>
      <w:bookmarkEnd w:id="36"/>
    </w:p>
    <w:p w14:paraId="63F6092C" w14:textId="2C70EE86" w:rsidR="00CD32B9" w:rsidRPr="002869EC" w:rsidRDefault="00063DC6" w:rsidP="006357B3">
      <w:pPr>
        <w:spacing w:line="240" w:lineRule="auto"/>
        <w:rPr>
          <w:rFonts w:eastAsiaTheme="majorEastAsia"/>
        </w:rPr>
      </w:pPr>
      <w:r w:rsidRPr="002869EC">
        <w:rPr>
          <w:rFonts w:eastAsiaTheme="majorEastAsia"/>
        </w:rPr>
        <w:t>S</w:t>
      </w:r>
      <w:r w:rsidR="00CD32B9" w:rsidRPr="002869EC">
        <w:rPr>
          <w:rFonts w:eastAsiaTheme="majorEastAsia"/>
        </w:rPr>
        <w:t xml:space="preserve">trukturālās </w:t>
      </w:r>
      <w:r w:rsidRPr="002869EC">
        <w:rPr>
          <w:rFonts w:eastAsiaTheme="majorEastAsia"/>
        </w:rPr>
        <w:t xml:space="preserve">primārās </w:t>
      </w:r>
      <w:r w:rsidR="00CD32B9" w:rsidRPr="002869EC">
        <w:rPr>
          <w:rFonts w:eastAsiaTheme="majorEastAsia"/>
        </w:rPr>
        <w:t xml:space="preserve">bilances nosacījums ir jauns fiskālais nosacījums, kas izriet no jaunā ES fiskālā ietvara. Tas kalpo kā starprezultāts, kurā tiek izteikts nepieciešamais </w:t>
      </w:r>
      <w:r w:rsidR="00F74D26">
        <w:rPr>
          <w:rFonts w:eastAsiaTheme="majorEastAsia"/>
        </w:rPr>
        <w:t xml:space="preserve">fiskālās </w:t>
      </w:r>
      <w:r w:rsidR="00CD32B9" w:rsidRPr="002869EC">
        <w:rPr>
          <w:rFonts w:eastAsiaTheme="majorEastAsia"/>
        </w:rPr>
        <w:t>ekspansijas vai konsolidācijas apjoms, lai nodrošinātu, ka deficīts līdz 2038</w:t>
      </w:r>
      <w:r w:rsidRPr="002869EC">
        <w:rPr>
          <w:rFonts w:eastAsiaTheme="majorEastAsia"/>
        </w:rPr>
        <w:t>.</w:t>
      </w:r>
      <w:r w:rsidR="00CD32B9" w:rsidRPr="002869EC">
        <w:rPr>
          <w:rFonts w:eastAsiaTheme="majorEastAsia"/>
        </w:rPr>
        <w:t xml:space="preserve"> gadam nepārsniedz 3% no IKP robežu. Tas balstās uz ES metodoloģijā izmantoto pieņēmumu, ka nemainīgas politikas gadījumā strukturālā </w:t>
      </w:r>
      <w:r w:rsidRPr="002869EC">
        <w:rPr>
          <w:rFonts w:eastAsiaTheme="majorEastAsia"/>
        </w:rPr>
        <w:t xml:space="preserve">primārā </w:t>
      </w:r>
      <w:r w:rsidR="00CD32B9" w:rsidRPr="002869EC">
        <w:rPr>
          <w:rFonts w:eastAsiaTheme="majorEastAsia"/>
        </w:rPr>
        <w:t xml:space="preserve">bilance laika gaitā nemainās. Jā strukturālais </w:t>
      </w:r>
      <w:r w:rsidRPr="002869EC">
        <w:rPr>
          <w:rFonts w:eastAsiaTheme="majorEastAsia"/>
        </w:rPr>
        <w:t xml:space="preserve">primārais </w:t>
      </w:r>
      <w:r w:rsidR="00CD32B9" w:rsidRPr="002869EC">
        <w:rPr>
          <w:rFonts w:eastAsiaTheme="majorEastAsia"/>
        </w:rPr>
        <w:t xml:space="preserve">deficīts 2024. gadā ir lielāks nekā tam būtu jābūt 2028. gadā, to ir nepieciešams </w:t>
      </w:r>
      <w:r w:rsidRPr="002869EC">
        <w:rPr>
          <w:rFonts w:eastAsiaTheme="majorEastAsia"/>
        </w:rPr>
        <w:t xml:space="preserve">pakāpeniski </w:t>
      </w:r>
      <w:r w:rsidR="00CD32B9" w:rsidRPr="002869EC">
        <w:rPr>
          <w:rFonts w:eastAsiaTheme="majorEastAsia"/>
        </w:rPr>
        <w:t>samazināt, veicot konsolidācijas pasākumus. Savukārt, ja 2024. gadā tas ir mazāks, nekā to varētu atļauties 2028. gadā, valsts var veikt ekspansīvu fiskālo politiku, bet ne vairāk, kā 2028</w:t>
      </w:r>
      <w:r w:rsidRPr="002869EC">
        <w:rPr>
          <w:rFonts w:eastAsiaTheme="majorEastAsia"/>
        </w:rPr>
        <w:t>.</w:t>
      </w:r>
      <w:r w:rsidR="00CD32B9" w:rsidRPr="002869EC">
        <w:rPr>
          <w:rFonts w:eastAsiaTheme="majorEastAsia"/>
        </w:rPr>
        <w:t xml:space="preserve"> gadā sasniedzot maksimāli pieļaujamo līmeni.</w:t>
      </w:r>
    </w:p>
    <w:p w14:paraId="12982FE9" w14:textId="45595A37" w:rsidR="004301A7" w:rsidRPr="002869EC" w:rsidRDefault="00CD32B9" w:rsidP="006357B3">
      <w:pPr>
        <w:spacing w:line="240" w:lineRule="auto"/>
        <w:rPr>
          <w:rFonts w:eastAsiaTheme="majorEastAsia"/>
        </w:rPr>
      </w:pPr>
      <w:r w:rsidRPr="002869EC">
        <w:rPr>
          <w:rFonts w:eastAsiaTheme="majorEastAsia"/>
        </w:rPr>
        <w:t xml:space="preserve">Kā jau tika minēts iepriekš, EK Latvijai sniedza tehnisko informāciju, kurā norādīja, ka 2028. gadā Latvijas strukturālais </w:t>
      </w:r>
      <w:r w:rsidR="00063DC6" w:rsidRPr="002869EC">
        <w:rPr>
          <w:rFonts w:eastAsiaTheme="majorEastAsia"/>
        </w:rPr>
        <w:t xml:space="preserve">primārais </w:t>
      </w:r>
      <w:r w:rsidRPr="002869EC">
        <w:rPr>
          <w:rFonts w:eastAsiaTheme="majorEastAsia"/>
        </w:rPr>
        <w:t xml:space="preserve">deficīts nedrīkst pārsniegt </w:t>
      </w:r>
      <w:r w:rsidR="004301A7" w:rsidRPr="002869EC">
        <w:rPr>
          <w:rFonts w:eastAsiaTheme="majorEastAsia"/>
        </w:rPr>
        <w:t>1,3% no IKP. Tāpat tehniskajā informācij</w:t>
      </w:r>
      <w:r w:rsidR="004E6378" w:rsidRPr="002869EC">
        <w:rPr>
          <w:rFonts w:eastAsiaTheme="majorEastAsia"/>
        </w:rPr>
        <w:t>ā</w:t>
      </w:r>
      <w:r w:rsidR="004301A7" w:rsidRPr="002869EC">
        <w:rPr>
          <w:rFonts w:eastAsiaTheme="majorEastAsia"/>
        </w:rPr>
        <w:t xml:space="preserve"> tika norādīts, ka EK prognozē, ka 2024. gadā 1,4% no IKP strukturālo </w:t>
      </w:r>
      <w:r w:rsidR="004E6378" w:rsidRPr="002869EC">
        <w:rPr>
          <w:rFonts w:eastAsiaTheme="majorEastAsia"/>
        </w:rPr>
        <w:t xml:space="preserve">primāro </w:t>
      </w:r>
      <w:r w:rsidR="004301A7" w:rsidRPr="002869EC">
        <w:rPr>
          <w:rFonts w:eastAsiaTheme="majorEastAsia"/>
        </w:rPr>
        <w:t>deficītu. Papildus iesniegtajos tehniskajos datos šis rādītājs tika norādīts ar augstāku precizitāti. Saskaņā ar ES standarta pieņēmumu, laik</w:t>
      </w:r>
      <w:r w:rsidR="004E6378" w:rsidRPr="002869EC">
        <w:rPr>
          <w:rFonts w:eastAsiaTheme="majorEastAsia"/>
        </w:rPr>
        <w:t>a</w:t>
      </w:r>
      <w:r w:rsidR="004301A7" w:rsidRPr="002869EC">
        <w:rPr>
          <w:rFonts w:eastAsiaTheme="majorEastAsia"/>
        </w:rPr>
        <w:t xml:space="preserve"> periodā no 2025. gada līdz 2028. gadam strukturālā </w:t>
      </w:r>
      <w:r w:rsidR="004E6378" w:rsidRPr="002869EC">
        <w:rPr>
          <w:rFonts w:eastAsiaTheme="majorEastAsia"/>
        </w:rPr>
        <w:t xml:space="preserve">primārā </w:t>
      </w:r>
      <w:r w:rsidR="004301A7" w:rsidRPr="002869EC">
        <w:rPr>
          <w:rFonts w:eastAsiaTheme="majorEastAsia"/>
        </w:rPr>
        <w:t xml:space="preserve">deficīta uzlabojums tiek veikts lineāri. Tā rezultātā vispārējās valdības strukturālā </w:t>
      </w:r>
      <w:r w:rsidR="004E6378" w:rsidRPr="002869EC">
        <w:rPr>
          <w:rFonts w:eastAsiaTheme="majorEastAsia"/>
        </w:rPr>
        <w:t xml:space="preserve">primārā </w:t>
      </w:r>
      <w:r w:rsidR="004301A7" w:rsidRPr="002869EC">
        <w:rPr>
          <w:rFonts w:eastAsiaTheme="majorEastAsia"/>
        </w:rPr>
        <w:t>bilance ir jāpalielina pa gadiem sekojoši:</w:t>
      </w:r>
    </w:p>
    <w:p w14:paraId="0DB7CEAC" w14:textId="77777777" w:rsidR="00702199" w:rsidRPr="002869EC" w:rsidRDefault="00702199" w:rsidP="006357B3">
      <w:pPr>
        <w:spacing w:line="240" w:lineRule="auto"/>
        <w:ind w:firstLine="0"/>
        <w:rPr>
          <w:rFonts w:eastAsiaTheme="majorEastAsia"/>
        </w:rPr>
      </w:pPr>
    </w:p>
    <w:p w14:paraId="4708DE4C" w14:textId="3AE8DCE1" w:rsidR="004301A7" w:rsidRPr="00F74D26" w:rsidRDefault="00234244" w:rsidP="006357B3">
      <w:pPr>
        <w:widowControl w:val="0"/>
        <w:spacing w:line="240" w:lineRule="auto"/>
        <w:jc w:val="right"/>
        <w:rPr>
          <w:rFonts w:eastAsia="Times New Roman" w:cs="Times New Roman"/>
          <w:b/>
          <w:szCs w:val="24"/>
          <w:lang w:eastAsia="lv-LV"/>
        </w:rPr>
      </w:pPr>
      <w:r w:rsidRPr="00BB31A6">
        <w:rPr>
          <w:b/>
          <w:bCs/>
          <w:szCs w:val="20"/>
          <w:lang w:eastAsia="lv-LV"/>
        </w:rPr>
        <w:t>E</w:t>
      </w:r>
      <w:r w:rsidR="004E6378" w:rsidRPr="00BB31A6">
        <w:rPr>
          <w:b/>
          <w:bCs/>
          <w:szCs w:val="20"/>
          <w:lang w:eastAsia="lv-LV"/>
        </w:rPr>
        <w:t xml:space="preserve">. </w:t>
      </w:r>
      <w:r w:rsidR="0088470D" w:rsidRPr="00BB31A6">
        <w:rPr>
          <w:b/>
          <w:bCs/>
          <w:szCs w:val="20"/>
          <w:lang w:eastAsia="lv-LV"/>
        </w:rPr>
        <w:t>tabula</w:t>
      </w:r>
      <w:r w:rsidR="009A4020" w:rsidRPr="00234244">
        <w:rPr>
          <w:b/>
          <w:bCs/>
          <w:szCs w:val="20"/>
          <w:lang w:eastAsia="lv-LV"/>
        </w:rPr>
        <w:t>.</w:t>
      </w:r>
      <w:r w:rsidR="0088470D" w:rsidRPr="000F5DA8">
        <w:rPr>
          <w:szCs w:val="20"/>
          <w:lang w:eastAsia="lv-LV"/>
        </w:rPr>
        <w:t xml:space="preserve"> </w:t>
      </w:r>
      <w:r w:rsidR="0088470D" w:rsidRPr="000F5DA8">
        <w:rPr>
          <w:rFonts w:eastAsia="Times New Roman" w:cs="Times New Roman"/>
          <w:b/>
          <w:szCs w:val="24"/>
          <w:lang w:eastAsia="lv-LV"/>
        </w:rPr>
        <w:t>Vispārējās valdības strukturālās bilances mērķi, balstoties uz ES strukturālās primārās bilances nosacījumu</w:t>
      </w:r>
    </w:p>
    <w:tbl>
      <w:tblPr>
        <w:tblW w:w="7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1048"/>
        <w:gridCol w:w="1049"/>
        <w:gridCol w:w="1049"/>
        <w:gridCol w:w="1049"/>
        <w:gridCol w:w="1049"/>
      </w:tblGrid>
      <w:tr w:rsidR="004E6378" w:rsidRPr="002869EC" w14:paraId="65346FCA" w14:textId="77777777" w:rsidTr="000C5CF0">
        <w:trPr>
          <w:trHeight w:val="20"/>
          <w:jc w:val="center"/>
        </w:trPr>
        <w:tc>
          <w:tcPr>
            <w:tcW w:w="2693" w:type="dxa"/>
            <w:shd w:val="clear" w:color="auto" w:fill="BDD6EE"/>
            <w:noWrap/>
            <w:vAlign w:val="bottom"/>
            <w:hideMark/>
          </w:tcPr>
          <w:p w14:paraId="0E8F9C3C" w14:textId="77777777" w:rsidR="004E6378" w:rsidRPr="000F5DA8" w:rsidRDefault="004E6378"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w:t>
            </w:r>
          </w:p>
        </w:tc>
        <w:tc>
          <w:tcPr>
            <w:tcW w:w="1048" w:type="dxa"/>
            <w:shd w:val="clear" w:color="auto" w:fill="BDD6EE"/>
            <w:noWrap/>
            <w:vAlign w:val="center"/>
            <w:hideMark/>
          </w:tcPr>
          <w:p w14:paraId="06599382" w14:textId="77777777" w:rsidR="004E6378" w:rsidRPr="000F5DA8" w:rsidRDefault="004E6378"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2024</w:t>
            </w:r>
          </w:p>
        </w:tc>
        <w:tc>
          <w:tcPr>
            <w:tcW w:w="1049" w:type="dxa"/>
            <w:shd w:val="clear" w:color="auto" w:fill="BDD6EE"/>
            <w:noWrap/>
            <w:vAlign w:val="center"/>
            <w:hideMark/>
          </w:tcPr>
          <w:p w14:paraId="357C85E5" w14:textId="77777777" w:rsidR="004E6378" w:rsidRPr="000F5DA8" w:rsidRDefault="004E6378"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2025</w:t>
            </w:r>
          </w:p>
        </w:tc>
        <w:tc>
          <w:tcPr>
            <w:tcW w:w="1049" w:type="dxa"/>
            <w:shd w:val="clear" w:color="auto" w:fill="BDD6EE"/>
            <w:noWrap/>
            <w:vAlign w:val="center"/>
            <w:hideMark/>
          </w:tcPr>
          <w:p w14:paraId="0529675B" w14:textId="77777777" w:rsidR="004E6378" w:rsidRPr="000F5DA8" w:rsidRDefault="004E6378"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2026</w:t>
            </w:r>
          </w:p>
        </w:tc>
        <w:tc>
          <w:tcPr>
            <w:tcW w:w="1049" w:type="dxa"/>
            <w:shd w:val="clear" w:color="auto" w:fill="BDD6EE"/>
            <w:noWrap/>
            <w:vAlign w:val="center"/>
            <w:hideMark/>
          </w:tcPr>
          <w:p w14:paraId="206EB446" w14:textId="77777777" w:rsidR="004E6378" w:rsidRPr="000F5DA8" w:rsidRDefault="004E6378"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2027</w:t>
            </w:r>
          </w:p>
        </w:tc>
        <w:tc>
          <w:tcPr>
            <w:tcW w:w="1049" w:type="dxa"/>
            <w:shd w:val="clear" w:color="auto" w:fill="BDD6EE"/>
            <w:noWrap/>
            <w:vAlign w:val="center"/>
            <w:hideMark/>
          </w:tcPr>
          <w:p w14:paraId="5206AD55" w14:textId="77777777" w:rsidR="004E6378" w:rsidRPr="000F5DA8" w:rsidRDefault="004E6378"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2028</w:t>
            </w:r>
          </w:p>
        </w:tc>
      </w:tr>
      <w:tr w:rsidR="004E6378" w:rsidRPr="002869EC" w14:paraId="77E3A537" w14:textId="77777777" w:rsidTr="004E6378">
        <w:trPr>
          <w:trHeight w:val="20"/>
          <w:jc w:val="center"/>
        </w:trPr>
        <w:tc>
          <w:tcPr>
            <w:tcW w:w="2693" w:type="dxa"/>
            <w:shd w:val="clear" w:color="auto" w:fill="auto"/>
            <w:noWrap/>
            <w:vAlign w:val="center"/>
          </w:tcPr>
          <w:p w14:paraId="27B19763" w14:textId="64619A94" w:rsidR="004E6378" w:rsidRPr="000F5DA8" w:rsidRDefault="002E7C6D"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S</w:t>
            </w:r>
            <w:r w:rsidR="004E6378" w:rsidRPr="000F5DA8">
              <w:rPr>
                <w:rFonts w:eastAsia="Times New Roman" w:cs="Times New Roman"/>
                <w:color w:val="000000"/>
                <w:sz w:val="18"/>
                <w:szCs w:val="18"/>
                <w:lang w:eastAsia="lv-LV"/>
              </w:rPr>
              <w:t>trukturālās primārās bilances mērķis, % no IKP</w:t>
            </w:r>
          </w:p>
        </w:tc>
        <w:tc>
          <w:tcPr>
            <w:tcW w:w="1048" w:type="dxa"/>
            <w:shd w:val="clear" w:color="auto" w:fill="auto"/>
            <w:noWrap/>
            <w:vAlign w:val="center"/>
          </w:tcPr>
          <w:p w14:paraId="7F6F7A65" w14:textId="77777777" w:rsidR="004E6378" w:rsidRPr="000F5DA8" w:rsidRDefault="004E6378"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-1,362</w:t>
            </w:r>
          </w:p>
        </w:tc>
        <w:tc>
          <w:tcPr>
            <w:tcW w:w="1049" w:type="dxa"/>
            <w:shd w:val="clear" w:color="auto" w:fill="auto"/>
            <w:noWrap/>
            <w:vAlign w:val="center"/>
          </w:tcPr>
          <w:p w14:paraId="72B76348" w14:textId="77777777" w:rsidR="004E6378" w:rsidRPr="000F5DA8" w:rsidRDefault="004E6378"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-1,342</w:t>
            </w:r>
          </w:p>
        </w:tc>
        <w:tc>
          <w:tcPr>
            <w:tcW w:w="1049" w:type="dxa"/>
            <w:shd w:val="clear" w:color="auto" w:fill="FFFFFF" w:themeFill="background1"/>
            <w:noWrap/>
            <w:vAlign w:val="center"/>
            <w:hideMark/>
          </w:tcPr>
          <w:p w14:paraId="0068C542" w14:textId="77777777" w:rsidR="004E6378" w:rsidRPr="000F5DA8" w:rsidRDefault="004E6378"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-1,322</w:t>
            </w:r>
          </w:p>
        </w:tc>
        <w:tc>
          <w:tcPr>
            <w:tcW w:w="1049" w:type="dxa"/>
            <w:shd w:val="clear" w:color="auto" w:fill="FFFFFF" w:themeFill="background1"/>
            <w:noWrap/>
            <w:vAlign w:val="center"/>
            <w:hideMark/>
          </w:tcPr>
          <w:p w14:paraId="4E643171" w14:textId="77777777" w:rsidR="004E6378" w:rsidRPr="000F5DA8" w:rsidRDefault="004E6378"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-1,302</w:t>
            </w:r>
          </w:p>
        </w:tc>
        <w:tc>
          <w:tcPr>
            <w:tcW w:w="1049" w:type="dxa"/>
            <w:shd w:val="clear" w:color="auto" w:fill="FFFFFF" w:themeFill="background1"/>
            <w:noWrap/>
            <w:vAlign w:val="center"/>
            <w:hideMark/>
          </w:tcPr>
          <w:p w14:paraId="74C9AC4B" w14:textId="77777777" w:rsidR="004E6378" w:rsidRPr="000F5DA8" w:rsidRDefault="004E6378"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-1,282</w:t>
            </w:r>
          </w:p>
        </w:tc>
      </w:tr>
    </w:tbl>
    <w:p w14:paraId="7B0A3E61" w14:textId="77777777" w:rsidR="004E6378" w:rsidRPr="002869EC" w:rsidRDefault="004E6378" w:rsidP="006357B3">
      <w:pPr>
        <w:spacing w:line="240" w:lineRule="auto"/>
        <w:rPr>
          <w:rFonts w:eastAsiaTheme="majorEastAsia"/>
        </w:rPr>
      </w:pPr>
    </w:p>
    <w:p w14:paraId="4A6AAC99" w14:textId="4450766D" w:rsidR="004E6378" w:rsidRPr="00F973D3" w:rsidRDefault="007C2E8F" w:rsidP="006357B3">
      <w:pPr>
        <w:spacing w:line="240" w:lineRule="auto"/>
        <w:ind w:firstLine="0"/>
        <w:jc w:val="center"/>
        <w:rPr>
          <w:rFonts w:eastAsiaTheme="majorEastAsia" w:cs="Times New Roman"/>
          <w:szCs w:val="20"/>
        </w:rPr>
      </w:pPr>
      <w:r>
        <w:rPr>
          <w:noProof/>
        </w:rPr>
        <w:drawing>
          <wp:inline distT="0" distB="0" distL="0" distR="0" wp14:anchorId="5DDC0172" wp14:editId="5EBC9845">
            <wp:extent cx="4572000" cy="2743200"/>
            <wp:effectExtent l="0" t="0" r="0" b="0"/>
            <wp:docPr id="1241174210" name="Chart 1">
              <a:extLst xmlns:a="http://schemas.openxmlformats.org/drawingml/2006/main">
                <a:ext uri="{FF2B5EF4-FFF2-40B4-BE49-F238E27FC236}">
                  <a16:creationId xmlns:a16="http://schemas.microsoft.com/office/drawing/2014/main" id="{2C8031D5-F1A4-12B2-6C32-8828AC1A79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116A9E1" w14:textId="55417280" w:rsidR="004E6378" w:rsidRPr="00566221" w:rsidRDefault="00CD2512" w:rsidP="006357B3">
      <w:pPr>
        <w:spacing w:line="240" w:lineRule="auto"/>
        <w:ind w:firstLine="0"/>
        <w:jc w:val="center"/>
        <w:rPr>
          <w:rFonts w:eastAsiaTheme="majorEastAsia"/>
          <w:b/>
          <w:bCs/>
          <w:i/>
          <w:iCs/>
          <w:color w:val="FF0000"/>
          <w:szCs w:val="20"/>
        </w:rPr>
      </w:pPr>
      <w:r w:rsidRPr="00566221">
        <w:rPr>
          <w:rFonts w:eastAsiaTheme="majorEastAsia"/>
          <w:b/>
          <w:bCs/>
          <w:i/>
          <w:iCs/>
          <w:szCs w:val="20"/>
        </w:rPr>
        <w:t>6</w:t>
      </w:r>
      <w:r w:rsidR="004E6378" w:rsidRPr="00566221">
        <w:rPr>
          <w:rFonts w:eastAsiaTheme="majorEastAsia"/>
          <w:b/>
          <w:bCs/>
          <w:i/>
          <w:iCs/>
          <w:szCs w:val="20"/>
        </w:rPr>
        <w:t>.1.</w:t>
      </w:r>
      <w:r w:rsidR="00566221" w:rsidRPr="00566221">
        <w:rPr>
          <w:rFonts w:eastAsiaTheme="majorEastAsia"/>
          <w:b/>
          <w:bCs/>
          <w:i/>
          <w:iCs/>
          <w:szCs w:val="20"/>
        </w:rPr>
        <w:t xml:space="preserve"> </w:t>
      </w:r>
      <w:r w:rsidR="004E6378" w:rsidRPr="00566221">
        <w:rPr>
          <w:rFonts w:eastAsiaTheme="majorEastAsia"/>
          <w:b/>
          <w:bCs/>
          <w:i/>
          <w:iCs/>
          <w:szCs w:val="20"/>
        </w:rPr>
        <w:t xml:space="preserve">att. </w:t>
      </w:r>
      <w:r w:rsidR="004E6378" w:rsidRPr="000F5DA8">
        <w:rPr>
          <w:rFonts w:eastAsia="Times New Roman"/>
          <w:b/>
          <w:bCs/>
          <w:i/>
          <w:iCs/>
          <w:lang w:eastAsia="lv-LV"/>
        </w:rPr>
        <w:t>Vispārējās valdības strukturālās bilances mērķi, balstoties uz ES strukturālās primārās bilances nosacījumu, % no IKP</w:t>
      </w:r>
    </w:p>
    <w:p w14:paraId="7B6064D7" w14:textId="77777777" w:rsidR="004E6378" w:rsidRPr="002869EC" w:rsidRDefault="004E6378" w:rsidP="006357B3">
      <w:pPr>
        <w:spacing w:after="0" w:line="240" w:lineRule="auto"/>
        <w:rPr>
          <w:rFonts w:eastAsiaTheme="majorEastAsia"/>
        </w:rPr>
      </w:pPr>
    </w:p>
    <w:p w14:paraId="589783D7" w14:textId="7A0F6E0B" w:rsidR="00C8504B" w:rsidRPr="002869EC" w:rsidRDefault="00DA2B61" w:rsidP="006357B3">
      <w:pPr>
        <w:spacing w:line="240" w:lineRule="auto"/>
        <w:rPr>
          <w:rFonts w:eastAsiaTheme="majorEastAsia"/>
        </w:rPr>
      </w:pPr>
      <w:r w:rsidRPr="002869EC">
        <w:rPr>
          <w:rFonts w:eastAsiaTheme="majorEastAsia"/>
        </w:rPr>
        <w:t xml:space="preserve">Jāatzīmē, ka saskaņā ar </w:t>
      </w:r>
      <w:r w:rsidR="004B6B0E" w:rsidRPr="002869EC">
        <w:rPr>
          <w:rFonts w:eastAsiaTheme="majorEastAsia"/>
        </w:rPr>
        <w:t xml:space="preserve">aktuālākajām </w:t>
      </w:r>
      <w:r w:rsidRPr="002869EC">
        <w:rPr>
          <w:rFonts w:eastAsiaTheme="majorEastAsia"/>
        </w:rPr>
        <w:t>nacionālajām prognozēm</w:t>
      </w:r>
      <w:r w:rsidR="004B6B0E" w:rsidRPr="002869EC">
        <w:rPr>
          <w:rStyle w:val="FootnoteReference"/>
          <w:rFonts w:eastAsiaTheme="majorEastAsia" w:cs="Times New Roman"/>
          <w:color w:val="000000" w:themeColor="text1"/>
          <w:szCs w:val="20"/>
        </w:rPr>
        <w:footnoteReference w:id="3"/>
      </w:r>
      <w:r w:rsidRPr="002869EC">
        <w:rPr>
          <w:rFonts w:eastAsiaTheme="majorEastAsia"/>
        </w:rPr>
        <w:t xml:space="preserve">, strukturālais </w:t>
      </w:r>
      <w:r w:rsidR="004B6B0E" w:rsidRPr="002869EC">
        <w:rPr>
          <w:rFonts w:eastAsiaTheme="majorEastAsia"/>
        </w:rPr>
        <w:t xml:space="preserve">primārais </w:t>
      </w:r>
      <w:r w:rsidRPr="002869EC">
        <w:rPr>
          <w:rFonts w:eastAsiaTheme="majorEastAsia"/>
        </w:rPr>
        <w:t xml:space="preserve">deficīts 2024. gadā ir būtiski zemāks, nekā EK </w:t>
      </w:r>
      <w:r w:rsidR="004B6B0E" w:rsidRPr="002869EC">
        <w:rPr>
          <w:rFonts w:eastAsiaTheme="majorEastAsia"/>
        </w:rPr>
        <w:t xml:space="preserve">2024. gada </w:t>
      </w:r>
      <w:r w:rsidRPr="002869EC">
        <w:rPr>
          <w:rFonts w:eastAsiaTheme="majorEastAsia"/>
        </w:rPr>
        <w:t>pavasara prognozēs un tiek prognozēts</w:t>
      </w:r>
      <w:r w:rsidR="00EE7219" w:rsidRPr="002869EC">
        <w:rPr>
          <w:rFonts w:eastAsiaTheme="majorEastAsia"/>
        </w:rPr>
        <w:t xml:space="preserve"> </w:t>
      </w:r>
      <w:r w:rsidRPr="002869EC">
        <w:rPr>
          <w:rFonts w:eastAsiaTheme="majorEastAsia"/>
        </w:rPr>
        <w:t>-0,789</w:t>
      </w:r>
      <w:r w:rsidR="004B6B0E" w:rsidRPr="002869EC">
        <w:rPr>
          <w:rFonts w:eastAsiaTheme="majorEastAsia"/>
        </w:rPr>
        <w:t>%</w:t>
      </w:r>
      <w:r w:rsidRPr="002869EC">
        <w:rPr>
          <w:rFonts w:eastAsiaTheme="majorEastAsia"/>
        </w:rPr>
        <w:t xml:space="preserve"> no IKP vērtībā.</w:t>
      </w:r>
      <w:r w:rsidR="008D71B6" w:rsidRPr="008D71B6">
        <w:t xml:space="preserve"> </w:t>
      </w:r>
      <w:r w:rsidR="008D71B6" w:rsidRPr="008D71B6">
        <w:rPr>
          <w:rFonts w:eastAsiaTheme="majorEastAsia"/>
        </w:rPr>
        <w:t>Tāpat, EK tehniskajā informācijā un Latvijas prognozēs ir atšķirīgs vispārējās valdības bruto parāda līmenis 2024. gadam.</w:t>
      </w:r>
      <w:r w:rsidR="008D71B6">
        <w:rPr>
          <w:rFonts w:eastAsiaTheme="majorEastAsia"/>
        </w:rPr>
        <w:t xml:space="preserve"> </w:t>
      </w:r>
      <w:r w:rsidRPr="002869EC">
        <w:rPr>
          <w:rFonts w:eastAsiaTheme="majorEastAsia"/>
        </w:rPr>
        <w:t>Augstāks parāds nozīmē augstākus procentu maksājumus gan 2024. gadam, gan visā laika periodā līdz 2038. gadam. Tas, savukārt, nozīmē</w:t>
      </w:r>
      <w:r w:rsidR="00356EA3">
        <w:rPr>
          <w:rFonts w:eastAsiaTheme="majorEastAsia"/>
        </w:rPr>
        <w:t xml:space="preserve">: </w:t>
      </w:r>
      <w:r w:rsidRPr="002869EC">
        <w:rPr>
          <w:rFonts w:eastAsiaTheme="majorEastAsia"/>
        </w:rPr>
        <w:t>lai nodrošinātu, ka deficīts visa laika periodā nepārsniedz 3% no IKP, 2028</w:t>
      </w:r>
      <w:r w:rsidR="004B6B0E" w:rsidRPr="002869EC">
        <w:rPr>
          <w:rFonts w:eastAsiaTheme="majorEastAsia"/>
        </w:rPr>
        <w:t>.</w:t>
      </w:r>
      <w:r w:rsidRPr="002869EC">
        <w:rPr>
          <w:rFonts w:eastAsiaTheme="majorEastAsia"/>
        </w:rPr>
        <w:t xml:space="preserve"> gadā ir jānodrošina mazāks strukturālais </w:t>
      </w:r>
      <w:r w:rsidR="004B6B0E" w:rsidRPr="002869EC">
        <w:rPr>
          <w:rFonts w:eastAsiaTheme="majorEastAsia"/>
        </w:rPr>
        <w:t xml:space="preserve">primārais </w:t>
      </w:r>
      <w:r w:rsidRPr="002869EC">
        <w:rPr>
          <w:rFonts w:eastAsiaTheme="majorEastAsia"/>
        </w:rPr>
        <w:t>deficīts, nekā EK 2024. gada pavasara prognoz</w:t>
      </w:r>
      <w:r w:rsidR="004B6B0E" w:rsidRPr="002869EC">
        <w:rPr>
          <w:rFonts w:eastAsiaTheme="majorEastAsia"/>
        </w:rPr>
        <w:t>ē</w:t>
      </w:r>
      <w:r w:rsidRPr="002869EC">
        <w:rPr>
          <w:rFonts w:eastAsiaTheme="majorEastAsia"/>
        </w:rPr>
        <w:t xml:space="preserve">s norādītais, proti </w:t>
      </w:r>
      <w:r w:rsidRPr="009A4020">
        <w:rPr>
          <w:rFonts w:eastAsiaTheme="majorEastAsia"/>
        </w:rPr>
        <w:t xml:space="preserve">– </w:t>
      </w:r>
      <w:r w:rsidR="009A4020" w:rsidRPr="009A4020">
        <w:rPr>
          <w:rFonts w:eastAsiaTheme="majorEastAsia"/>
        </w:rPr>
        <w:t>1,257</w:t>
      </w:r>
      <w:r w:rsidRPr="009A4020">
        <w:rPr>
          <w:rFonts w:eastAsiaTheme="majorEastAsia"/>
        </w:rPr>
        <w:t>% no IKP.</w:t>
      </w:r>
      <w:r w:rsidRPr="002869EC">
        <w:rPr>
          <w:rFonts w:eastAsiaTheme="majorEastAsia"/>
        </w:rPr>
        <w:t xml:space="preserve"> </w:t>
      </w:r>
    </w:p>
    <w:p w14:paraId="0B91C030" w14:textId="44F987A9" w:rsidR="0088470D" w:rsidRPr="002869EC" w:rsidRDefault="00DA2B61" w:rsidP="006357B3">
      <w:pPr>
        <w:spacing w:line="240" w:lineRule="auto"/>
        <w:rPr>
          <w:rFonts w:eastAsiaTheme="majorEastAsia"/>
        </w:rPr>
      </w:pPr>
      <w:r w:rsidRPr="002869EC">
        <w:rPr>
          <w:rFonts w:eastAsiaTheme="majorEastAsia"/>
        </w:rPr>
        <w:t xml:space="preserve">Kā redzams, 2024. gada strukturālais </w:t>
      </w:r>
      <w:r w:rsidR="004B6B0E" w:rsidRPr="002869EC">
        <w:rPr>
          <w:rFonts w:eastAsiaTheme="majorEastAsia"/>
        </w:rPr>
        <w:t xml:space="preserve">primārais </w:t>
      </w:r>
      <w:r w:rsidRPr="002869EC">
        <w:rPr>
          <w:rFonts w:eastAsiaTheme="majorEastAsia"/>
        </w:rPr>
        <w:t xml:space="preserve">deficīts ir zemāks par pieļaujamo strukturālo </w:t>
      </w:r>
      <w:r w:rsidR="004B6B0E" w:rsidRPr="002869EC">
        <w:rPr>
          <w:rFonts w:eastAsiaTheme="majorEastAsia"/>
        </w:rPr>
        <w:t xml:space="preserve">primāro </w:t>
      </w:r>
      <w:r w:rsidRPr="002869EC">
        <w:rPr>
          <w:rFonts w:eastAsiaTheme="majorEastAsia"/>
        </w:rPr>
        <w:t>deficītu 2028. gadā</w:t>
      </w:r>
      <w:r w:rsidR="0088470D" w:rsidRPr="002869EC">
        <w:rPr>
          <w:rFonts w:eastAsiaTheme="majorEastAsia"/>
        </w:rPr>
        <w:t xml:space="preserve">. Šādā gadījumā </w:t>
      </w:r>
      <w:r w:rsidR="004B6B0E" w:rsidRPr="002869EC">
        <w:rPr>
          <w:rFonts w:eastAsiaTheme="majorEastAsia"/>
        </w:rPr>
        <w:t>R</w:t>
      </w:r>
      <w:r w:rsidR="0088470D" w:rsidRPr="002869EC">
        <w:rPr>
          <w:rFonts w:eastAsiaTheme="majorEastAsia"/>
        </w:rPr>
        <w:t xml:space="preserve">egula nenosaka </w:t>
      </w:r>
      <w:r w:rsidR="004B6B0E" w:rsidRPr="002869EC">
        <w:rPr>
          <w:rFonts w:eastAsiaTheme="majorEastAsia"/>
        </w:rPr>
        <w:t>profilu</w:t>
      </w:r>
      <w:r w:rsidR="0088470D" w:rsidRPr="002869EC">
        <w:rPr>
          <w:rFonts w:eastAsiaTheme="majorEastAsia"/>
        </w:rPr>
        <w:t xml:space="preserve"> strukturālajam </w:t>
      </w:r>
      <w:r w:rsidR="004B6B0E" w:rsidRPr="002869EC">
        <w:rPr>
          <w:rFonts w:eastAsiaTheme="majorEastAsia"/>
        </w:rPr>
        <w:t xml:space="preserve">primāram </w:t>
      </w:r>
      <w:r w:rsidR="0088470D" w:rsidRPr="002869EC">
        <w:rPr>
          <w:rFonts w:eastAsiaTheme="majorEastAsia"/>
        </w:rPr>
        <w:t xml:space="preserve">deficītam pa gadiem. Šajā </w:t>
      </w:r>
      <w:r w:rsidR="0029545C">
        <w:rPr>
          <w:rFonts w:eastAsiaTheme="majorEastAsia"/>
        </w:rPr>
        <w:t>FSP</w:t>
      </w:r>
      <w:r w:rsidR="0088470D" w:rsidRPr="002869EC">
        <w:rPr>
          <w:rFonts w:eastAsiaTheme="majorEastAsia"/>
        </w:rPr>
        <w:t xml:space="preserve"> tiek saglabāts strukturālās </w:t>
      </w:r>
      <w:r w:rsidR="004B6B0E" w:rsidRPr="002869EC">
        <w:rPr>
          <w:rFonts w:eastAsiaTheme="majorEastAsia"/>
        </w:rPr>
        <w:t xml:space="preserve">primārās </w:t>
      </w:r>
      <w:r w:rsidR="0088470D" w:rsidRPr="002869EC">
        <w:rPr>
          <w:rFonts w:eastAsiaTheme="majorEastAsia"/>
        </w:rPr>
        <w:t xml:space="preserve">bilances </w:t>
      </w:r>
      <w:r w:rsidR="004B6B0E" w:rsidRPr="002869EC">
        <w:rPr>
          <w:rFonts w:eastAsiaTheme="majorEastAsia"/>
        </w:rPr>
        <w:t>profils</w:t>
      </w:r>
      <w:r w:rsidR="0088470D" w:rsidRPr="002869EC">
        <w:rPr>
          <w:rFonts w:eastAsiaTheme="majorEastAsia"/>
        </w:rPr>
        <w:t xml:space="preserve"> saskaņā ar</w:t>
      </w:r>
      <w:r w:rsidR="00EE7219" w:rsidRPr="002869EC">
        <w:rPr>
          <w:rFonts w:eastAsiaTheme="majorEastAsia"/>
        </w:rPr>
        <w:t xml:space="preserve"> </w:t>
      </w:r>
      <w:r w:rsidR="0088470D" w:rsidRPr="002869EC">
        <w:rPr>
          <w:rFonts w:eastAsiaTheme="majorEastAsia"/>
        </w:rPr>
        <w:t>EK tehnisk</w:t>
      </w:r>
      <w:r w:rsidR="004B6B0E" w:rsidRPr="002869EC">
        <w:rPr>
          <w:rFonts w:eastAsiaTheme="majorEastAsia"/>
        </w:rPr>
        <w:t>o</w:t>
      </w:r>
      <w:r w:rsidR="0088470D" w:rsidRPr="002869EC">
        <w:rPr>
          <w:rFonts w:eastAsiaTheme="majorEastAsia"/>
        </w:rPr>
        <w:t xml:space="preserve"> informāciju un tas tiek koriģēts uz leju tikai 2028. gadā.</w:t>
      </w:r>
    </w:p>
    <w:p w14:paraId="05514328" w14:textId="79FEF6EA" w:rsidR="0088470D" w:rsidRPr="009A4020" w:rsidRDefault="00E9214C" w:rsidP="006357B3">
      <w:pPr>
        <w:widowControl w:val="0"/>
        <w:spacing w:line="240" w:lineRule="auto"/>
        <w:jc w:val="right"/>
        <w:rPr>
          <w:rFonts w:eastAsia="Times New Roman" w:cs="Times New Roman"/>
          <w:b/>
          <w:szCs w:val="24"/>
          <w:lang w:eastAsia="lv-LV"/>
        </w:rPr>
      </w:pPr>
      <w:r>
        <w:rPr>
          <w:b/>
          <w:bCs/>
          <w:szCs w:val="20"/>
          <w:lang w:eastAsia="lv-LV"/>
        </w:rPr>
        <w:t>F</w:t>
      </w:r>
      <w:r w:rsidR="004B6B0E" w:rsidRPr="000F5DA8">
        <w:rPr>
          <w:b/>
          <w:bCs/>
          <w:szCs w:val="20"/>
          <w:lang w:eastAsia="lv-LV"/>
        </w:rPr>
        <w:t xml:space="preserve">. </w:t>
      </w:r>
      <w:r w:rsidR="0088470D" w:rsidRPr="000F5DA8">
        <w:rPr>
          <w:b/>
          <w:bCs/>
          <w:szCs w:val="20"/>
          <w:lang w:eastAsia="lv-LV"/>
        </w:rPr>
        <w:t>tabula</w:t>
      </w:r>
      <w:r w:rsidR="009A4020">
        <w:rPr>
          <w:b/>
          <w:bCs/>
          <w:szCs w:val="20"/>
          <w:lang w:eastAsia="lv-LV"/>
        </w:rPr>
        <w:t>.</w:t>
      </w:r>
      <w:r w:rsidR="0088470D" w:rsidRPr="000F5DA8">
        <w:rPr>
          <w:szCs w:val="20"/>
          <w:lang w:eastAsia="lv-LV"/>
        </w:rPr>
        <w:t xml:space="preserve"> </w:t>
      </w:r>
      <w:r w:rsidR="0088470D" w:rsidRPr="000F5DA8">
        <w:rPr>
          <w:rFonts w:eastAsia="Times New Roman" w:cs="Times New Roman"/>
          <w:b/>
          <w:szCs w:val="24"/>
          <w:lang w:eastAsia="lv-LV"/>
        </w:rPr>
        <w:t>Vispārējās valdības strukturālās bilances mērķi, balstoties uz ES strukturālās primārās bilances nosacījumu</w:t>
      </w:r>
    </w:p>
    <w:tbl>
      <w:tblPr>
        <w:tblW w:w="7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1048"/>
        <w:gridCol w:w="1049"/>
        <w:gridCol w:w="1049"/>
        <w:gridCol w:w="1049"/>
        <w:gridCol w:w="1049"/>
      </w:tblGrid>
      <w:tr w:rsidR="009A4020" w:rsidRPr="002869EC" w14:paraId="1193661A" w14:textId="77777777" w:rsidTr="009A4020">
        <w:trPr>
          <w:trHeight w:val="20"/>
          <w:jc w:val="center"/>
        </w:trPr>
        <w:tc>
          <w:tcPr>
            <w:tcW w:w="2693" w:type="dxa"/>
            <w:shd w:val="clear" w:color="auto" w:fill="BDD6EE" w:themeFill="accent1" w:themeFillTint="66"/>
            <w:noWrap/>
            <w:vAlign w:val="bottom"/>
            <w:hideMark/>
          </w:tcPr>
          <w:p w14:paraId="66089FE8" w14:textId="77777777" w:rsidR="009A4020" w:rsidRPr="000F5DA8" w:rsidRDefault="009A4020"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w:t>
            </w:r>
          </w:p>
        </w:tc>
        <w:tc>
          <w:tcPr>
            <w:tcW w:w="1048" w:type="dxa"/>
            <w:shd w:val="clear" w:color="auto" w:fill="BDD6EE" w:themeFill="accent1" w:themeFillTint="66"/>
            <w:noWrap/>
            <w:vAlign w:val="center"/>
            <w:hideMark/>
          </w:tcPr>
          <w:p w14:paraId="2A891673" w14:textId="77777777" w:rsidR="009A4020" w:rsidRPr="000F5DA8" w:rsidRDefault="009A4020"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2024</w:t>
            </w:r>
          </w:p>
        </w:tc>
        <w:tc>
          <w:tcPr>
            <w:tcW w:w="1049" w:type="dxa"/>
            <w:shd w:val="clear" w:color="auto" w:fill="BDD6EE" w:themeFill="accent1" w:themeFillTint="66"/>
            <w:noWrap/>
            <w:vAlign w:val="center"/>
            <w:hideMark/>
          </w:tcPr>
          <w:p w14:paraId="682F006F" w14:textId="77777777" w:rsidR="009A4020" w:rsidRPr="000F5DA8" w:rsidRDefault="009A4020"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2025</w:t>
            </w:r>
          </w:p>
        </w:tc>
        <w:tc>
          <w:tcPr>
            <w:tcW w:w="1049" w:type="dxa"/>
            <w:shd w:val="clear" w:color="auto" w:fill="BDD6EE" w:themeFill="accent1" w:themeFillTint="66"/>
            <w:noWrap/>
            <w:vAlign w:val="center"/>
            <w:hideMark/>
          </w:tcPr>
          <w:p w14:paraId="6E30872D" w14:textId="77777777" w:rsidR="009A4020" w:rsidRPr="000F5DA8" w:rsidRDefault="009A4020"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2026</w:t>
            </w:r>
          </w:p>
        </w:tc>
        <w:tc>
          <w:tcPr>
            <w:tcW w:w="1049" w:type="dxa"/>
            <w:shd w:val="clear" w:color="auto" w:fill="BDD6EE" w:themeFill="accent1" w:themeFillTint="66"/>
            <w:noWrap/>
            <w:vAlign w:val="center"/>
            <w:hideMark/>
          </w:tcPr>
          <w:p w14:paraId="56BEB5EB" w14:textId="77777777" w:rsidR="009A4020" w:rsidRPr="000F5DA8" w:rsidRDefault="009A4020"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2027</w:t>
            </w:r>
          </w:p>
        </w:tc>
        <w:tc>
          <w:tcPr>
            <w:tcW w:w="1049" w:type="dxa"/>
            <w:shd w:val="clear" w:color="auto" w:fill="BDD6EE" w:themeFill="accent1" w:themeFillTint="66"/>
            <w:noWrap/>
            <w:vAlign w:val="center"/>
            <w:hideMark/>
          </w:tcPr>
          <w:p w14:paraId="6D55D9DA" w14:textId="77777777" w:rsidR="009A4020" w:rsidRPr="000F5DA8" w:rsidRDefault="009A4020"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2028</w:t>
            </w:r>
          </w:p>
        </w:tc>
      </w:tr>
      <w:tr w:rsidR="009A4020" w:rsidRPr="002869EC" w14:paraId="25728FD1" w14:textId="77777777" w:rsidTr="009A4020">
        <w:trPr>
          <w:trHeight w:val="20"/>
          <w:jc w:val="center"/>
        </w:trPr>
        <w:tc>
          <w:tcPr>
            <w:tcW w:w="2693" w:type="dxa"/>
            <w:shd w:val="clear" w:color="auto" w:fill="auto"/>
            <w:noWrap/>
            <w:vAlign w:val="center"/>
          </w:tcPr>
          <w:p w14:paraId="5EC0A81E" w14:textId="72D077B9" w:rsidR="009A4020" w:rsidRPr="000F5DA8" w:rsidRDefault="002E7C6D"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S</w:t>
            </w:r>
            <w:r w:rsidR="009A4020" w:rsidRPr="000F5DA8">
              <w:rPr>
                <w:rFonts w:eastAsia="Times New Roman" w:cs="Times New Roman"/>
                <w:color w:val="000000"/>
                <w:sz w:val="18"/>
                <w:szCs w:val="18"/>
                <w:lang w:eastAsia="lv-LV"/>
              </w:rPr>
              <w:t>trukturālās primārās bilances mērķis, % no IKP</w:t>
            </w:r>
          </w:p>
        </w:tc>
        <w:tc>
          <w:tcPr>
            <w:tcW w:w="1048" w:type="dxa"/>
            <w:shd w:val="clear" w:color="auto" w:fill="auto"/>
            <w:noWrap/>
            <w:vAlign w:val="center"/>
          </w:tcPr>
          <w:p w14:paraId="00CE766D" w14:textId="77777777" w:rsidR="009A4020" w:rsidRPr="000F5DA8" w:rsidRDefault="009A4020"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-0,789</w:t>
            </w:r>
          </w:p>
        </w:tc>
        <w:tc>
          <w:tcPr>
            <w:tcW w:w="1049" w:type="dxa"/>
            <w:shd w:val="clear" w:color="auto" w:fill="auto"/>
            <w:noWrap/>
            <w:vAlign w:val="center"/>
          </w:tcPr>
          <w:p w14:paraId="0BA1E175" w14:textId="77777777" w:rsidR="009A4020" w:rsidRPr="000F5DA8" w:rsidRDefault="009A4020"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-1,342</w:t>
            </w:r>
          </w:p>
        </w:tc>
        <w:tc>
          <w:tcPr>
            <w:tcW w:w="1049" w:type="dxa"/>
            <w:shd w:val="clear" w:color="auto" w:fill="FFFFFF" w:themeFill="background1"/>
            <w:noWrap/>
            <w:vAlign w:val="center"/>
            <w:hideMark/>
          </w:tcPr>
          <w:p w14:paraId="5C52FF46" w14:textId="77777777" w:rsidR="009A4020" w:rsidRPr="000F5DA8" w:rsidRDefault="009A4020"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-1,322</w:t>
            </w:r>
          </w:p>
        </w:tc>
        <w:tc>
          <w:tcPr>
            <w:tcW w:w="1049" w:type="dxa"/>
            <w:shd w:val="clear" w:color="auto" w:fill="FFFFFF" w:themeFill="background1"/>
            <w:noWrap/>
            <w:vAlign w:val="center"/>
            <w:hideMark/>
          </w:tcPr>
          <w:p w14:paraId="7718077E" w14:textId="77777777" w:rsidR="009A4020" w:rsidRPr="000F5DA8" w:rsidRDefault="009A4020"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-1,302</w:t>
            </w:r>
          </w:p>
        </w:tc>
        <w:tc>
          <w:tcPr>
            <w:tcW w:w="1049" w:type="dxa"/>
            <w:shd w:val="clear" w:color="auto" w:fill="FFFFFF" w:themeFill="background1"/>
            <w:noWrap/>
            <w:vAlign w:val="center"/>
            <w:hideMark/>
          </w:tcPr>
          <w:p w14:paraId="6FE453DF" w14:textId="44B15AA4" w:rsidR="009A4020" w:rsidRPr="000F5DA8" w:rsidRDefault="009A4020"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-1,2</w:t>
            </w:r>
            <w:r w:rsidR="00BC462A">
              <w:rPr>
                <w:rFonts w:eastAsia="Times New Roman" w:cs="Times New Roman"/>
                <w:color w:val="000000"/>
                <w:sz w:val="18"/>
                <w:szCs w:val="18"/>
                <w:lang w:eastAsia="lv-LV"/>
              </w:rPr>
              <w:t>57</w:t>
            </w:r>
          </w:p>
        </w:tc>
      </w:tr>
    </w:tbl>
    <w:p w14:paraId="1163FEC3" w14:textId="77777777" w:rsidR="007C2E8F" w:rsidRDefault="007C2E8F" w:rsidP="006357B3">
      <w:pPr>
        <w:spacing w:line="240" w:lineRule="auto"/>
        <w:ind w:firstLine="0"/>
        <w:rPr>
          <w:rFonts w:eastAsiaTheme="majorEastAsia"/>
        </w:rPr>
      </w:pPr>
    </w:p>
    <w:p w14:paraId="0C6B8E4A" w14:textId="3D481540" w:rsidR="004B6B0E" w:rsidRPr="002869EC" w:rsidRDefault="007C2E8F" w:rsidP="006357B3">
      <w:pPr>
        <w:spacing w:line="240" w:lineRule="auto"/>
        <w:ind w:firstLine="0"/>
        <w:jc w:val="center"/>
        <w:rPr>
          <w:rFonts w:eastAsiaTheme="majorEastAsia" w:cs="Times New Roman"/>
          <w:color w:val="000000" w:themeColor="text1"/>
          <w:szCs w:val="20"/>
        </w:rPr>
      </w:pPr>
      <w:r>
        <w:rPr>
          <w:noProof/>
        </w:rPr>
        <w:lastRenderedPageBreak/>
        <w:drawing>
          <wp:inline distT="0" distB="0" distL="0" distR="0" wp14:anchorId="1E79E740" wp14:editId="7F92C4E1">
            <wp:extent cx="4572000" cy="2743200"/>
            <wp:effectExtent l="0" t="0" r="0" b="0"/>
            <wp:docPr id="1517005089" name="Chart 1">
              <a:extLst xmlns:a="http://schemas.openxmlformats.org/drawingml/2006/main">
                <a:ext uri="{FF2B5EF4-FFF2-40B4-BE49-F238E27FC236}">
                  <a16:creationId xmlns:a16="http://schemas.microsoft.com/office/drawing/2014/main" id="{B0B38C7F-FF72-4F43-9670-EFC4FB3E8D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0EBC426" w14:textId="038D270E" w:rsidR="004B6B0E" w:rsidRPr="00566221" w:rsidRDefault="00CD2512" w:rsidP="008403D0">
      <w:pPr>
        <w:spacing w:after="0" w:line="240" w:lineRule="auto"/>
        <w:ind w:firstLine="0"/>
        <w:jc w:val="center"/>
        <w:rPr>
          <w:rFonts w:eastAsiaTheme="majorEastAsia"/>
          <w:b/>
          <w:bCs/>
          <w:i/>
          <w:iCs/>
          <w:color w:val="FF0000"/>
          <w:szCs w:val="20"/>
        </w:rPr>
      </w:pPr>
      <w:r w:rsidRPr="00566221">
        <w:rPr>
          <w:rFonts w:eastAsiaTheme="majorEastAsia"/>
          <w:b/>
          <w:bCs/>
          <w:i/>
          <w:iCs/>
          <w:szCs w:val="20"/>
        </w:rPr>
        <w:t>6</w:t>
      </w:r>
      <w:r w:rsidR="004B6B0E" w:rsidRPr="00566221">
        <w:rPr>
          <w:rFonts w:eastAsiaTheme="majorEastAsia"/>
          <w:b/>
          <w:bCs/>
          <w:i/>
          <w:iCs/>
          <w:szCs w:val="20"/>
        </w:rPr>
        <w:t>.2.</w:t>
      </w:r>
      <w:r w:rsidR="00566221" w:rsidRPr="00566221">
        <w:rPr>
          <w:rFonts w:eastAsiaTheme="majorEastAsia"/>
          <w:b/>
          <w:bCs/>
          <w:i/>
          <w:iCs/>
          <w:szCs w:val="20"/>
        </w:rPr>
        <w:t xml:space="preserve"> </w:t>
      </w:r>
      <w:r w:rsidR="004B6B0E" w:rsidRPr="00566221">
        <w:rPr>
          <w:rFonts w:eastAsiaTheme="majorEastAsia"/>
          <w:b/>
          <w:bCs/>
          <w:i/>
          <w:iCs/>
          <w:szCs w:val="20"/>
        </w:rPr>
        <w:t xml:space="preserve">att. </w:t>
      </w:r>
      <w:r w:rsidR="004B6B0E" w:rsidRPr="000F5DA8">
        <w:rPr>
          <w:rFonts w:eastAsia="Times New Roman"/>
          <w:b/>
          <w:bCs/>
          <w:i/>
          <w:iCs/>
          <w:lang w:eastAsia="lv-LV"/>
        </w:rPr>
        <w:t>Vispārējās valdības strukturālās bilances mērķi, balstoties uz ES strukturālās primārās bilances nosacījumu, % no IKP</w:t>
      </w:r>
    </w:p>
    <w:p w14:paraId="40F3AABB" w14:textId="77777777" w:rsidR="00DA2B61" w:rsidRPr="002869EC" w:rsidRDefault="00DA2B61" w:rsidP="008403D0">
      <w:pPr>
        <w:spacing w:after="0" w:line="240" w:lineRule="auto"/>
        <w:rPr>
          <w:rFonts w:eastAsiaTheme="majorEastAsia"/>
        </w:rPr>
      </w:pPr>
    </w:p>
    <w:p w14:paraId="5784764D" w14:textId="7C9B3DF1" w:rsidR="00EF14FD" w:rsidRPr="002869EC" w:rsidRDefault="002869EC" w:rsidP="008403D0">
      <w:pPr>
        <w:pStyle w:val="Heading3"/>
        <w:numPr>
          <w:ilvl w:val="0"/>
          <w:numId w:val="0"/>
        </w:numPr>
        <w:spacing w:before="0" w:line="240" w:lineRule="auto"/>
        <w:ind w:left="720" w:hanging="720"/>
        <w:jc w:val="center"/>
      </w:pPr>
      <w:bookmarkStart w:id="37" w:name="_Toc179540632"/>
      <w:r w:rsidRPr="002869EC">
        <w:t>6</w:t>
      </w:r>
      <w:r w:rsidR="005A4348" w:rsidRPr="002869EC">
        <w:t>.2.3. Neto izdevumu pieauguma nosacījums</w:t>
      </w:r>
      <w:bookmarkEnd w:id="37"/>
    </w:p>
    <w:p w14:paraId="5AE9A46A" w14:textId="598185B8" w:rsidR="00742A0D" w:rsidRPr="002869EC" w:rsidRDefault="0088470D" w:rsidP="008403D0">
      <w:pPr>
        <w:spacing w:after="240" w:line="240" w:lineRule="auto"/>
        <w:rPr>
          <w:rFonts w:eastAsiaTheme="majorEastAsia"/>
        </w:rPr>
      </w:pPr>
      <w:r w:rsidRPr="002869EC">
        <w:rPr>
          <w:rFonts w:eastAsiaTheme="majorEastAsia"/>
        </w:rPr>
        <w:t>Neto izdevumu pieauguma nosacījums</w:t>
      </w:r>
      <w:r w:rsidR="009A4020">
        <w:rPr>
          <w:rFonts w:eastAsiaTheme="majorEastAsia"/>
        </w:rPr>
        <w:t xml:space="preserve"> </w:t>
      </w:r>
      <w:r w:rsidRPr="002869EC">
        <w:rPr>
          <w:rFonts w:eastAsiaTheme="majorEastAsia"/>
        </w:rPr>
        <w:t xml:space="preserve">jeb NNFPI izdevumu trajektorija tiek aprēķināta, izmantojot </w:t>
      </w:r>
      <w:r w:rsidR="00CD2512" w:rsidRPr="002869EC">
        <w:rPr>
          <w:rFonts w:eastAsiaTheme="majorEastAsia"/>
        </w:rPr>
        <w:t xml:space="preserve">6.2. attēlā </w:t>
      </w:r>
      <w:r w:rsidR="004B653A">
        <w:rPr>
          <w:rFonts w:eastAsiaTheme="majorEastAsia"/>
        </w:rPr>
        <w:t>redzamo</w:t>
      </w:r>
      <w:r w:rsidR="004B653A" w:rsidRPr="002869EC">
        <w:rPr>
          <w:rFonts w:eastAsiaTheme="majorEastAsia"/>
        </w:rPr>
        <w:t xml:space="preserve"> </w:t>
      </w:r>
      <w:r w:rsidRPr="002869EC">
        <w:rPr>
          <w:rFonts w:eastAsiaTheme="majorEastAsia"/>
        </w:rPr>
        <w:t xml:space="preserve">strukturālās </w:t>
      </w:r>
      <w:r w:rsidR="00CD2512" w:rsidRPr="002869EC">
        <w:rPr>
          <w:rFonts w:eastAsiaTheme="majorEastAsia"/>
        </w:rPr>
        <w:t xml:space="preserve">primārās </w:t>
      </w:r>
      <w:r w:rsidRPr="002869EC">
        <w:rPr>
          <w:rFonts w:eastAsiaTheme="majorEastAsia"/>
        </w:rPr>
        <w:t>bilances trajektoriju</w:t>
      </w:r>
      <w:r w:rsidR="00742A0D" w:rsidRPr="002869EC">
        <w:rPr>
          <w:rFonts w:eastAsiaTheme="majorEastAsia"/>
        </w:rPr>
        <w:t xml:space="preserve"> un t</w:t>
      </w:r>
      <w:r w:rsidR="00CD2512" w:rsidRPr="002869EC">
        <w:rPr>
          <w:rFonts w:eastAsiaTheme="majorEastAsia"/>
        </w:rPr>
        <w:t>ā</w:t>
      </w:r>
      <w:r w:rsidR="00742A0D" w:rsidRPr="002869EC">
        <w:rPr>
          <w:rFonts w:eastAsiaTheme="majorEastAsia"/>
        </w:rPr>
        <w:t xml:space="preserve"> sakrīt ar 5. nodaļa</w:t>
      </w:r>
      <w:r w:rsidR="00CD2512" w:rsidRPr="002869EC">
        <w:rPr>
          <w:rFonts w:eastAsiaTheme="majorEastAsia"/>
        </w:rPr>
        <w:t>s</w:t>
      </w:r>
      <w:r w:rsidR="00742A0D" w:rsidRPr="002869EC">
        <w:rPr>
          <w:rFonts w:eastAsiaTheme="majorEastAsia"/>
        </w:rPr>
        <w:t xml:space="preserve"> </w:t>
      </w:r>
      <w:r w:rsidR="00CD2512" w:rsidRPr="002869EC">
        <w:rPr>
          <w:rFonts w:eastAsiaTheme="majorEastAsia"/>
        </w:rPr>
        <w:t xml:space="preserve">1a. </w:t>
      </w:r>
      <w:r w:rsidR="00742A0D" w:rsidRPr="002869EC">
        <w:rPr>
          <w:rFonts w:eastAsiaTheme="majorEastAsia"/>
        </w:rPr>
        <w:t>tabulā norādīto trajektoriju un t</w:t>
      </w:r>
      <w:r w:rsidR="00CD2512" w:rsidRPr="002869EC">
        <w:rPr>
          <w:rFonts w:eastAsiaTheme="majorEastAsia"/>
        </w:rPr>
        <w:t>ā</w:t>
      </w:r>
      <w:r w:rsidR="00742A0D" w:rsidRPr="002869EC">
        <w:rPr>
          <w:rFonts w:eastAsiaTheme="majorEastAsia"/>
        </w:rPr>
        <w:t xml:space="preserve"> veido šī plāna </w:t>
      </w:r>
      <w:r w:rsidR="00742A0D" w:rsidRPr="002869EC">
        <w:rPr>
          <w:rFonts w:eastAsiaTheme="majorEastAsia"/>
          <w:b/>
          <w:bCs/>
        </w:rPr>
        <w:t>fiskālās saistības</w:t>
      </w:r>
      <w:r w:rsidR="00742A0D" w:rsidRPr="002869EC">
        <w:rPr>
          <w:rFonts w:eastAsiaTheme="majorEastAsia"/>
        </w:rPr>
        <w:t>.</w:t>
      </w:r>
    </w:p>
    <w:p w14:paraId="16B1E238" w14:textId="64508A59" w:rsidR="0088470D" w:rsidRPr="002869EC" w:rsidRDefault="002E7C6D" w:rsidP="006357B3">
      <w:pPr>
        <w:spacing w:line="240" w:lineRule="auto"/>
        <w:jc w:val="center"/>
        <w:rPr>
          <w:rFonts w:eastAsiaTheme="majorEastAsia"/>
        </w:rPr>
      </w:pPr>
      <w:r>
        <w:rPr>
          <w:rFonts w:eastAsiaTheme="majorEastAsia"/>
          <w:noProof/>
        </w:rPr>
        <w:drawing>
          <wp:inline distT="0" distB="0" distL="0" distR="0" wp14:anchorId="062C398B" wp14:editId="34F81069">
            <wp:extent cx="3894362" cy="2686685"/>
            <wp:effectExtent l="0" t="0" r="0" b="0"/>
            <wp:docPr id="1760471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9148" cy="2696886"/>
                    </a:xfrm>
                    <a:prstGeom prst="rect">
                      <a:avLst/>
                    </a:prstGeom>
                    <a:noFill/>
                  </pic:spPr>
                </pic:pic>
              </a:graphicData>
            </a:graphic>
          </wp:inline>
        </w:drawing>
      </w:r>
    </w:p>
    <w:p w14:paraId="64F03CAA" w14:textId="2B9A6B74" w:rsidR="0088470D" w:rsidRDefault="002869EC" w:rsidP="006357B3">
      <w:pPr>
        <w:spacing w:line="240" w:lineRule="auto"/>
        <w:jc w:val="center"/>
        <w:rPr>
          <w:rFonts w:eastAsia="Times New Roman"/>
          <w:b/>
          <w:bCs/>
          <w:i/>
          <w:iCs/>
          <w:lang w:eastAsia="lv-LV"/>
        </w:rPr>
      </w:pPr>
      <w:r w:rsidRPr="00566221">
        <w:rPr>
          <w:rFonts w:eastAsiaTheme="majorEastAsia"/>
          <w:b/>
          <w:bCs/>
          <w:i/>
          <w:iCs/>
          <w:szCs w:val="20"/>
        </w:rPr>
        <w:t>6.3.</w:t>
      </w:r>
      <w:r w:rsidR="00566221" w:rsidRPr="00566221">
        <w:rPr>
          <w:rFonts w:eastAsiaTheme="majorEastAsia"/>
          <w:b/>
          <w:bCs/>
          <w:i/>
          <w:iCs/>
          <w:szCs w:val="20"/>
        </w:rPr>
        <w:t xml:space="preserve"> </w:t>
      </w:r>
      <w:r w:rsidRPr="00566221">
        <w:rPr>
          <w:rFonts w:eastAsiaTheme="majorEastAsia"/>
          <w:b/>
          <w:bCs/>
          <w:i/>
          <w:iCs/>
          <w:szCs w:val="20"/>
        </w:rPr>
        <w:t xml:space="preserve">att. </w:t>
      </w:r>
      <w:r w:rsidRPr="00566221">
        <w:rPr>
          <w:rFonts w:eastAsia="Times New Roman"/>
          <w:b/>
          <w:bCs/>
          <w:i/>
          <w:iCs/>
          <w:lang w:eastAsia="lv-LV"/>
        </w:rPr>
        <w:t>Strukturālās primārās bilances nosacījuma un NNFPI pieauguma sasaiste</w:t>
      </w:r>
    </w:p>
    <w:p w14:paraId="0471DDC1" w14:textId="77777777" w:rsidR="002E7C6D" w:rsidRPr="002E7C6D" w:rsidRDefault="002E7C6D" w:rsidP="008403D0">
      <w:pPr>
        <w:spacing w:after="0" w:line="240" w:lineRule="auto"/>
        <w:jc w:val="center"/>
        <w:rPr>
          <w:rFonts w:eastAsia="Times New Roman"/>
          <w:b/>
          <w:bCs/>
          <w:i/>
          <w:iCs/>
          <w:lang w:eastAsia="lv-LV"/>
        </w:rPr>
      </w:pPr>
    </w:p>
    <w:p w14:paraId="0407324E" w14:textId="4105DB10" w:rsidR="005A4348" w:rsidRPr="002869EC" w:rsidRDefault="002869EC" w:rsidP="008403D0">
      <w:pPr>
        <w:pStyle w:val="Heading3"/>
        <w:numPr>
          <w:ilvl w:val="0"/>
          <w:numId w:val="0"/>
        </w:numPr>
        <w:spacing w:before="0" w:line="240" w:lineRule="auto"/>
        <w:ind w:left="720" w:hanging="720"/>
        <w:jc w:val="center"/>
      </w:pPr>
      <w:bookmarkStart w:id="38" w:name="_Toc179540633"/>
      <w:r w:rsidRPr="002869EC">
        <w:t>6</w:t>
      </w:r>
      <w:r w:rsidR="005A4348" w:rsidRPr="002869EC">
        <w:t>.2.4. Noteicošais fiskālai</w:t>
      </w:r>
      <w:r w:rsidR="00CF0879">
        <w:t>s</w:t>
      </w:r>
      <w:r w:rsidR="005A4348" w:rsidRPr="002869EC">
        <w:t xml:space="preserve"> nosacījums</w:t>
      </w:r>
      <w:bookmarkEnd w:id="38"/>
    </w:p>
    <w:p w14:paraId="1A17129E" w14:textId="5513FE87" w:rsidR="003F481B" w:rsidRPr="002869EC" w:rsidRDefault="00007564" w:rsidP="006357B3">
      <w:pPr>
        <w:spacing w:line="240" w:lineRule="auto"/>
        <w:rPr>
          <w:rFonts w:eastAsiaTheme="majorEastAsia"/>
        </w:rPr>
      </w:pPr>
      <w:r w:rsidRPr="002869EC">
        <w:rPr>
          <w:rFonts w:eastAsiaTheme="majorEastAsia"/>
        </w:rPr>
        <w:t xml:space="preserve">Kā jau tika minēts, Latvijas fiskālā politika tiek veidota tā, lai izpildītu visus trīs fiskālos nosacījumus. Ja FDL strukturālās bilances nosacījums nav kalibrēts pret pārējiem diviem nosacījumiem, tas nosaka atšķirīgas prasības uz pieļaujamo nominālo deficītu, nekā pārējie divi fiskālie nosacījumi, tad varētu domāt, ka strukturālās </w:t>
      </w:r>
      <w:r w:rsidR="002869EC" w:rsidRPr="002869EC">
        <w:rPr>
          <w:rFonts w:eastAsiaTheme="majorEastAsia"/>
        </w:rPr>
        <w:t xml:space="preserve">primārās </w:t>
      </w:r>
      <w:r w:rsidRPr="002869EC">
        <w:rPr>
          <w:rFonts w:eastAsiaTheme="majorEastAsia"/>
        </w:rPr>
        <w:t xml:space="preserve">bilances nosacījums un </w:t>
      </w:r>
      <w:r w:rsidR="003F481B" w:rsidRPr="002869EC">
        <w:rPr>
          <w:rFonts w:eastAsiaTheme="majorEastAsia"/>
        </w:rPr>
        <w:t xml:space="preserve">NNFPI pieauguma nosacījums dotu vienādus rezultātus attiecībā uz nominālo deficītu un citām prasībām, tomēr, tā nav. Atšķirība ir izmantotajās prognozēs. Ja izmanto Latvijas makroekonomiskās un fiskālās prognozes, tad pārrēķins starp strukturālo </w:t>
      </w:r>
      <w:r w:rsidR="002869EC" w:rsidRPr="002869EC">
        <w:rPr>
          <w:rFonts w:eastAsiaTheme="majorEastAsia"/>
        </w:rPr>
        <w:t xml:space="preserve">primāro </w:t>
      </w:r>
      <w:r w:rsidR="003F481B" w:rsidRPr="002869EC">
        <w:rPr>
          <w:rFonts w:eastAsiaTheme="majorEastAsia"/>
        </w:rPr>
        <w:t>bilanci un NNFPI dotu būtiski atšķirīgu rezultātu, tāpēc</w:t>
      </w:r>
      <w:r w:rsidR="00EE7219" w:rsidRPr="002869EC">
        <w:rPr>
          <w:rFonts w:eastAsiaTheme="majorEastAsia"/>
        </w:rPr>
        <w:t xml:space="preserve"> </w:t>
      </w:r>
      <w:r w:rsidR="003F481B" w:rsidRPr="002869EC">
        <w:rPr>
          <w:rFonts w:eastAsiaTheme="majorEastAsia"/>
        </w:rPr>
        <w:t>šie divi fiskālie nosacījumi kļūst par atšķirīgiem nosacījumi</w:t>
      </w:r>
      <w:r w:rsidR="002869EC" w:rsidRPr="002869EC">
        <w:rPr>
          <w:rFonts w:eastAsiaTheme="majorEastAsia"/>
        </w:rPr>
        <w:t>em</w:t>
      </w:r>
      <w:r w:rsidR="003F481B" w:rsidRPr="002869EC">
        <w:rPr>
          <w:rFonts w:eastAsiaTheme="majorEastAsia"/>
        </w:rPr>
        <w:t xml:space="preserve">, kas ved pie </w:t>
      </w:r>
      <w:r w:rsidR="003F481B" w:rsidRPr="002869EC">
        <w:rPr>
          <w:rFonts w:eastAsiaTheme="majorEastAsia"/>
        </w:rPr>
        <w:lastRenderedPageBreak/>
        <w:t>atšķirīgām prasībām. Tāpēc, lai noteiktu jauno politikas pasākumu apmē</w:t>
      </w:r>
      <w:r w:rsidR="002869EC" w:rsidRPr="002869EC">
        <w:rPr>
          <w:rFonts w:eastAsiaTheme="majorEastAsia"/>
        </w:rPr>
        <w:t>r</w:t>
      </w:r>
      <w:r w:rsidR="003F481B" w:rsidRPr="002869EC">
        <w:rPr>
          <w:rFonts w:eastAsiaTheme="majorEastAsia"/>
        </w:rPr>
        <w:t>u, ir jānosaka, kurš katru gadu ir dominējošais fiskālais nosacījums. Lai to izdarītu, visi trīs fiskālie nosacījumi ir jāizsaka ar vienu rādītāju. Šajā plānā par šo rādītāju tiek izmantots vispārējās valdības strukturālās bilances rādītājs</w:t>
      </w:r>
      <w:r w:rsidR="002869EC">
        <w:rPr>
          <w:rFonts w:eastAsiaTheme="majorEastAsia"/>
        </w:rPr>
        <w:t>.</w:t>
      </w:r>
    </w:p>
    <w:p w14:paraId="1D7894B3" w14:textId="2288A80D" w:rsidR="003F481B" w:rsidRPr="002869EC" w:rsidRDefault="00E9214C" w:rsidP="006357B3">
      <w:pPr>
        <w:widowControl w:val="0"/>
        <w:spacing w:line="240" w:lineRule="auto"/>
        <w:jc w:val="right"/>
        <w:rPr>
          <w:rFonts w:eastAsia="Times New Roman" w:cs="Times New Roman"/>
          <w:b/>
          <w:szCs w:val="24"/>
          <w:lang w:eastAsia="lv-LV"/>
        </w:rPr>
      </w:pPr>
      <w:r>
        <w:rPr>
          <w:b/>
          <w:bCs/>
          <w:szCs w:val="20"/>
          <w:lang w:eastAsia="lv-LV"/>
        </w:rPr>
        <w:t>G</w:t>
      </w:r>
      <w:r w:rsidR="00AB19CC" w:rsidRPr="00AB19CC">
        <w:rPr>
          <w:b/>
          <w:bCs/>
          <w:szCs w:val="20"/>
          <w:lang w:eastAsia="lv-LV"/>
        </w:rPr>
        <w:t xml:space="preserve">. </w:t>
      </w:r>
      <w:r w:rsidR="003F481B" w:rsidRPr="00AB19CC">
        <w:rPr>
          <w:b/>
          <w:bCs/>
          <w:szCs w:val="20"/>
          <w:lang w:eastAsia="lv-LV"/>
        </w:rPr>
        <w:t>tabula</w:t>
      </w:r>
      <w:r w:rsidR="00BC462A">
        <w:rPr>
          <w:b/>
          <w:bCs/>
          <w:szCs w:val="20"/>
          <w:lang w:eastAsia="lv-LV"/>
        </w:rPr>
        <w:t>.</w:t>
      </w:r>
      <w:r w:rsidR="003F481B" w:rsidRPr="002869EC">
        <w:rPr>
          <w:szCs w:val="20"/>
          <w:lang w:eastAsia="lv-LV"/>
        </w:rPr>
        <w:t xml:space="preserve"> </w:t>
      </w:r>
      <w:r w:rsidR="003F481B" w:rsidRPr="002869EC">
        <w:rPr>
          <w:rFonts w:eastAsia="Times New Roman" w:cs="Times New Roman"/>
          <w:b/>
          <w:szCs w:val="24"/>
          <w:lang w:eastAsia="lv-LV"/>
        </w:rPr>
        <w:t>Vispārējās valdības strukturālās bilance</w:t>
      </w:r>
      <w:r w:rsidR="0024479C" w:rsidRPr="002869EC">
        <w:rPr>
          <w:rFonts w:eastAsia="Times New Roman" w:cs="Times New Roman"/>
          <w:b/>
          <w:szCs w:val="24"/>
          <w:lang w:eastAsia="lv-LV"/>
        </w:rPr>
        <w:t xml:space="preserve"> atbilstoši</w:t>
      </w:r>
      <w:r w:rsidR="003F481B" w:rsidRPr="002869EC">
        <w:rPr>
          <w:rFonts w:eastAsia="Times New Roman" w:cs="Times New Roman"/>
          <w:b/>
          <w:szCs w:val="24"/>
          <w:lang w:eastAsia="lv-LV"/>
        </w:rPr>
        <w:t xml:space="preserve"> ES strukturālās primārās bilances </w:t>
      </w:r>
      <w:r w:rsidR="0024479C" w:rsidRPr="002869EC">
        <w:rPr>
          <w:rFonts w:eastAsia="Times New Roman" w:cs="Times New Roman"/>
          <w:b/>
          <w:szCs w:val="24"/>
          <w:lang w:eastAsia="lv-LV"/>
        </w:rPr>
        <w:t>mērķa rādītājiem</w:t>
      </w:r>
    </w:p>
    <w:tbl>
      <w:tblPr>
        <w:tblW w:w="8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709"/>
        <w:gridCol w:w="1048"/>
        <w:gridCol w:w="1049"/>
        <w:gridCol w:w="1049"/>
        <w:gridCol w:w="1049"/>
        <w:gridCol w:w="1049"/>
      </w:tblGrid>
      <w:tr w:rsidR="003F481B" w:rsidRPr="002869EC" w14:paraId="0AB4A5E5" w14:textId="77777777" w:rsidTr="006F36F0">
        <w:trPr>
          <w:trHeight w:val="20"/>
          <w:jc w:val="center"/>
        </w:trPr>
        <w:tc>
          <w:tcPr>
            <w:tcW w:w="2693" w:type="dxa"/>
            <w:shd w:val="clear" w:color="auto" w:fill="BDD6EE" w:themeFill="accent1" w:themeFillTint="66"/>
            <w:noWrap/>
            <w:vAlign w:val="bottom"/>
            <w:hideMark/>
          </w:tcPr>
          <w:p w14:paraId="35ED688D" w14:textId="77777777" w:rsidR="003F481B" w:rsidRPr="002869EC" w:rsidRDefault="003F481B" w:rsidP="006357B3">
            <w:pPr>
              <w:spacing w:before="60" w:line="240" w:lineRule="auto"/>
              <w:ind w:firstLine="0"/>
              <w:jc w:val="left"/>
              <w:rPr>
                <w:rFonts w:eastAsia="Times New Roman" w:cs="Times New Roman"/>
                <w:color w:val="000000"/>
                <w:sz w:val="18"/>
                <w:szCs w:val="18"/>
                <w:lang w:eastAsia="lv-LV"/>
              </w:rPr>
            </w:pPr>
            <w:r w:rsidRPr="002869EC">
              <w:rPr>
                <w:rFonts w:eastAsia="Times New Roman" w:cs="Times New Roman"/>
                <w:color w:val="000000"/>
                <w:sz w:val="18"/>
                <w:szCs w:val="18"/>
                <w:lang w:eastAsia="lv-LV"/>
              </w:rPr>
              <w:t> </w:t>
            </w:r>
          </w:p>
        </w:tc>
        <w:tc>
          <w:tcPr>
            <w:tcW w:w="709" w:type="dxa"/>
            <w:shd w:val="clear" w:color="auto" w:fill="BDD6EE" w:themeFill="accent1" w:themeFillTint="66"/>
          </w:tcPr>
          <w:p w14:paraId="6FD0B4AC" w14:textId="77777777" w:rsidR="003F481B" w:rsidRPr="002869EC" w:rsidRDefault="003F481B" w:rsidP="006357B3">
            <w:pPr>
              <w:spacing w:before="60" w:line="240" w:lineRule="auto"/>
              <w:ind w:firstLine="0"/>
              <w:jc w:val="center"/>
              <w:rPr>
                <w:rFonts w:eastAsia="Times New Roman" w:cs="Times New Roman"/>
                <w:color w:val="000000"/>
                <w:sz w:val="18"/>
                <w:szCs w:val="18"/>
                <w:lang w:eastAsia="lv-LV"/>
              </w:rPr>
            </w:pPr>
          </w:p>
        </w:tc>
        <w:tc>
          <w:tcPr>
            <w:tcW w:w="1048" w:type="dxa"/>
            <w:shd w:val="clear" w:color="auto" w:fill="BDD6EE" w:themeFill="accent1" w:themeFillTint="66"/>
            <w:noWrap/>
            <w:vAlign w:val="center"/>
            <w:hideMark/>
          </w:tcPr>
          <w:p w14:paraId="34B02751" w14:textId="77777777" w:rsidR="003F481B" w:rsidRPr="002869EC" w:rsidRDefault="003F481B" w:rsidP="006357B3">
            <w:pPr>
              <w:spacing w:before="60" w:line="240" w:lineRule="auto"/>
              <w:ind w:firstLine="0"/>
              <w:jc w:val="center"/>
              <w:rPr>
                <w:rFonts w:eastAsia="Times New Roman" w:cs="Times New Roman"/>
                <w:b/>
                <w:bCs/>
                <w:color w:val="000000"/>
                <w:sz w:val="18"/>
                <w:szCs w:val="18"/>
                <w:lang w:eastAsia="lv-LV"/>
              </w:rPr>
            </w:pPr>
            <w:r w:rsidRPr="002869EC">
              <w:rPr>
                <w:rFonts w:eastAsia="Times New Roman" w:cs="Times New Roman"/>
                <w:b/>
                <w:bCs/>
                <w:color w:val="000000"/>
                <w:sz w:val="18"/>
                <w:szCs w:val="18"/>
                <w:lang w:eastAsia="lv-LV"/>
              </w:rPr>
              <w:t>2024</w:t>
            </w:r>
          </w:p>
        </w:tc>
        <w:tc>
          <w:tcPr>
            <w:tcW w:w="1049" w:type="dxa"/>
            <w:shd w:val="clear" w:color="auto" w:fill="BDD6EE" w:themeFill="accent1" w:themeFillTint="66"/>
            <w:noWrap/>
            <w:vAlign w:val="center"/>
            <w:hideMark/>
          </w:tcPr>
          <w:p w14:paraId="64E11994" w14:textId="77777777" w:rsidR="003F481B" w:rsidRPr="002869EC" w:rsidRDefault="003F481B" w:rsidP="006357B3">
            <w:pPr>
              <w:spacing w:before="60" w:line="240" w:lineRule="auto"/>
              <w:ind w:firstLine="0"/>
              <w:jc w:val="center"/>
              <w:rPr>
                <w:rFonts w:eastAsia="Times New Roman" w:cs="Times New Roman"/>
                <w:b/>
                <w:bCs/>
                <w:color w:val="000000"/>
                <w:sz w:val="18"/>
                <w:szCs w:val="18"/>
                <w:lang w:eastAsia="lv-LV"/>
              </w:rPr>
            </w:pPr>
            <w:r w:rsidRPr="002869EC">
              <w:rPr>
                <w:rFonts w:eastAsia="Times New Roman" w:cs="Times New Roman"/>
                <w:b/>
                <w:bCs/>
                <w:color w:val="000000"/>
                <w:sz w:val="18"/>
                <w:szCs w:val="18"/>
                <w:lang w:eastAsia="lv-LV"/>
              </w:rPr>
              <w:t>2025</w:t>
            </w:r>
          </w:p>
        </w:tc>
        <w:tc>
          <w:tcPr>
            <w:tcW w:w="1049" w:type="dxa"/>
            <w:shd w:val="clear" w:color="auto" w:fill="BDD6EE" w:themeFill="accent1" w:themeFillTint="66"/>
            <w:noWrap/>
            <w:vAlign w:val="center"/>
            <w:hideMark/>
          </w:tcPr>
          <w:p w14:paraId="2A9F23B9" w14:textId="77777777" w:rsidR="003F481B" w:rsidRPr="002869EC" w:rsidRDefault="003F481B" w:rsidP="006357B3">
            <w:pPr>
              <w:spacing w:before="60" w:line="240" w:lineRule="auto"/>
              <w:ind w:firstLine="0"/>
              <w:jc w:val="center"/>
              <w:rPr>
                <w:rFonts w:eastAsia="Times New Roman" w:cs="Times New Roman"/>
                <w:b/>
                <w:bCs/>
                <w:color w:val="000000"/>
                <w:sz w:val="18"/>
                <w:szCs w:val="18"/>
                <w:lang w:eastAsia="lv-LV"/>
              </w:rPr>
            </w:pPr>
            <w:r w:rsidRPr="002869EC">
              <w:rPr>
                <w:rFonts w:eastAsia="Times New Roman" w:cs="Times New Roman"/>
                <w:b/>
                <w:bCs/>
                <w:color w:val="000000"/>
                <w:sz w:val="18"/>
                <w:szCs w:val="18"/>
                <w:lang w:eastAsia="lv-LV"/>
              </w:rPr>
              <w:t>2026</w:t>
            </w:r>
          </w:p>
        </w:tc>
        <w:tc>
          <w:tcPr>
            <w:tcW w:w="1049" w:type="dxa"/>
            <w:shd w:val="clear" w:color="auto" w:fill="BDD6EE" w:themeFill="accent1" w:themeFillTint="66"/>
            <w:noWrap/>
            <w:vAlign w:val="center"/>
            <w:hideMark/>
          </w:tcPr>
          <w:p w14:paraId="362A4BB2" w14:textId="77777777" w:rsidR="003F481B" w:rsidRPr="002869EC" w:rsidRDefault="003F481B" w:rsidP="006357B3">
            <w:pPr>
              <w:spacing w:before="60" w:line="240" w:lineRule="auto"/>
              <w:ind w:firstLine="0"/>
              <w:jc w:val="center"/>
              <w:rPr>
                <w:rFonts w:eastAsia="Times New Roman" w:cs="Times New Roman"/>
                <w:b/>
                <w:bCs/>
                <w:color w:val="000000"/>
                <w:sz w:val="18"/>
                <w:szCs w:val="18"/>
                <w:lang w:eastAsia="lv-LV"/>
              </w:rPr>
            </w:pPr>
            <w:r w:rsidRPr="002869EC">
              <w:rPr>
                <w:rFonts w:eastAsia="Times New Roman" w:cs="Times New Roman"/>
                <w:b/>
                <w:bCs/>
                <w:color w:val="000000"/>
                <w:sz w:val="18"/>
                <w:szCs w:val="18"/>
                <w:lang w:eastAsia="lv-LV"/>
              </w:rPr>
              <w:t>2027</w:t>
            </w:r>
          </w:p>
        </w:tc>
        <w:tc>
          <w:tcPr>
            <w:tcW w:w="1049" w:type="dxa"/>
            <w:shd w:val="clear" w:color="auto" w:fill="BDD6EE" w:themeFill="accent1" w:themeFillTint="66"/>
            <w:noWrap/>
            <w:vAlign w:val="center"/>
            <w:hideMark/>
          </w:tcPr>
          <w:p w14:paraId="0FA6BD30" w14:textId="77777777" w:rsidR="003F481B" w:rsidRPr="002869EC" w:rsidRDefault="003F481B" w:rsidP="006357B3">
            <w:pPr>
              <w:spacing w:before="60" w:line="240" w:lineRule="auto"/>
              <w:ind w:firstLine="0"/>
              <w:jc w:val="center"/>
              <w:rPr>
                <w:rFonts w:eastAsia="Times New Roman" w:cs="Times New Roman"/>
                <w:b/>
                <w:bCs/>
                <w:color w:val="000000"/>
                <w:sz w:val="18"/>
                <w:szCs w:val="18"/>
                <w:lang w:eastAsia="lv-LV"/>
              </w:rPr>
            </w:pPr>
            <w:r w:rsidRPr="002869EC">
              <w:rPr>
                <w:rFonts w:eastAsia="Times New Roman" w:cs="Times New Roman"/>
                <w:b/>
                <w:bCs/>
                <w:color w:val="000000"/>
                <w:sz w:val="18"/>
                <w:szCs w:val="18"/>
                <w:lang w:eastAsia="lv-LV"/>
              </w:rPr>
              <w:t>2028</w:t>
            </w:r>
          </w:p>
        </w:tc>
      </w:tr>
      <w:tr w:rsidR="003F481B" w:rsidRPr="002869EC" w14:paraId="7E5B87D2" w14:textId="77777777" w:rsidTr="006F36F0">
        <w:trPr>
          <w:trHeight w:val="20"/>
          <w:jc w:val="center"/>
        </w:trPr>
        <w:tc>
          <w:tcPr>
            <w:tcW w:w="2693" w:type="dxa"/>
            <w:shd w:val="clear" w:color="auto" w:fill="auto"/>
            <w:noWrap/>
            <w:vAlign w:val="center"/>
          </w:tcPr>
          <w:p w14:paraId="4F4CF24B" w14:textId="6E63F044" w:rsidR="003F481B" w:rsidRPr="002869EC"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S</w:t>
            </w:r>
            <w:r w:rsidR="003F481B" w:rsidRPr="002869EC">
              <w:rPr>
                <w:rFonts w:eastAsia="Times New Roman" w:cs="Times New Roman"/>
                <w:color w:val="000000"/>
                <w:sz w:val="18"/>
                <w:szCs w:val="18"/>
                <w:lang w:eastAsia="lv-LV"/>
              </w:rPr>
              <w:t>trukturālās primārās bilances mērķis, % no IKP</w:t>
            </w:r>
          </w:p>
        </w:tc>
        <w:tc>
          <w:tcPr>
            <w:tcW w:w="709" w:type="dxa"/>
            <w:vAlign w:val="center"/>
          </w:tcPr>
          <w:p w14:paraId="55F8189D" w14:textId="77777777" w:rsidR="003F481B" w:rsidRPr="002869EC" w:rsidRDefault="003F481B"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(1)</w:t>
            </w:r>
          </w:p>
        </w:tc>
        <w:tc>
          <w:tcPr>
            <w:tcW w:w="1048" w:type="dxa"/>
            <w:shd w:val="clear" w:color="auto" w:fill="auto"/>
            <w:noWrap/>
            <w:vAlign w:val="center"/>
          </w:tcPr>
          <w:p w14:paraId="29D5120F" w14:textId="77777777" w:rsidR="003F481B" w:rsidRPr="002869EC" w:rsidRDefault="003F481B"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-0,789</w:t>
            </w:r>
          </w:p>
        </w:tc>
        <w:tc>
          <w:tcPr>
            <w:tcW w:w="1049" w:type="dxa"/>
            <w:shd w:val="clear" w:color="auto" w:fill="auto"/>
            <w:noWrap/>
            <w:vAlign w:val="center"/>
          </w:tcPr>
          <w:p w14:paraId="6E2286D0" w14:textId="77777777" w:rsidR="003F481B" w:rsidRPr="002869EC" w:rsidRDefault="003F481B"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-1,342</w:t>
            </w:r>
          </w:p>
        </w:tc>
        <w:tc>
          <w:tcPr>
            <w:tcW w:w="1049" w:type="dxa"/>
            <w:shd w:val="clear" w:color="auto" w:fill="FFFFFF" w:themeFill="background1"/>
            <w:noWrap/>
            <w:vAlign w:val="center"/>
            <w:hideMark/>
          </w:tcPr>
          <w:p w14:paraId="3D9AD0B3" w14:textId="77777777" w:rsidR="003F481B" w:rsidRPr="002869EC" w:rsidRDefault="003F481B"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-1,322</w:t>
            </w:r>
          </w:p>
        </w:tc>
        <w:tc>
          <w:tcPr>
            <w:tcW w:w="1049" w:type="dxa"/>
            <w:shd w:val="clear" w:color="auto" w:fill="FFFFFF" w:themeFill="background1"/>
            <w:noWrap/>
            <w:vAlign w:val="center"/>
            <w:hideMark/>
          </w:tcPr>
          <w:p w14:paraId="774535AC" w14:textId="77777777" w:rsidR="003F481B" w:rsidRPr="002869EC" w:rsidRDefault="003F481B"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-1,302</w:t>
            </w:r>
          </w:p>
        </w:tc>
        <w:tc>
          <w:tcPr>
            <w:tcW w:w="1049" w:type="dxa"/>
            <w:shd w:val="clear" w:color="auto" w:fill="FFFFFF" w:themeFill="background1"/>
            <w:noWrap/>
            <w:vAlign w:val="center"/>
            <w:hideMark/>
          </w:tcPr>
          <w:p w14:paraId="3528EEBD" w14:textId="40DA3227" w:rsidR="003F481B" w:rsidRPr="002869EC" w:rsidRDefault="003F481B"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-1,2</w:t>
            </w:r>
            <w:r w:rsidR="002E7C6D">
              <w:rPr>
                <w:rFonts w:eastAsia="Times New Roman" w:cs="Times New Roman"/>
                <w:color w:val="000000"/>
                <w:sz w:val="18"/>
                <w:szCs w:val="18"/>
                <w:lang w:eastAsia="lv-LV"/>
              </w:rPr>
              <w:t>57</w:t>
            </w:r>
          </w:p>
        </w:tc>
      </w:tr>
      <w:tr w:rsidR="002E7C6D" w:rsidRPr="002869EC" w14:paraId="4A44C714" w14:textId="77777777" w:rsidTr="002E7C6D">
        <w:trPr>
          <w:trHeight w:val="20"/>
          <w:jc w:val="center"/>
        </w:trPr>
        <w:tc>
          <w:tcPr>
            <w:tcW w:w="2693" w:type="dxa"/>
            <w:shd w:val="clear" w:color="auto" w:fill="auto"/>
            <w:noWrap/>
            <w:vAlign w:val="center"/>
          </w:tcPr>
          <w:p w14:paraId="18768837" w14:textId="659A9619" w:rsidR="002E7C6D" w:rsidRPr="002869EC"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V</w:t>
            </w:r>
            <w:r w:rsidR="002E7C6D" w:rsidRPr="002869EC">
              <w:rPr>
                <w:rFonts w:eastAsia="Times New Roman" w:cs="Times New Roman"/>
                <w:color w:val="000000"/>
                <w:sz w:val="18"/>
                <w:szCs w:val="18"/>
                <w:lang w:eastAsia="lv-LV"/>
              </w:rPr>
              <w:t>ispārējās valdības procentu izdevumi, % no IKP</w:t>
            </w:r>
          </w:p>
        </w:tc>
        <w:tc>
          <w:tcPr>
            <w:tcW w:w="709" w:type="dxa"/>
            <w:vAlign w:val="center"/>
          </w:tcPr>
          <w:p w14:paraId="16546273" w14:textId="77777777" w:rsidR="002E7C6D" w:rsidRPr="002869EC" w:rsidRDefault="002E7C6D"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(2)</w:t>
            </w:r>
          </w:p>
        </w:tc>
        <w:tc>
          <w:tcPr>
            <w:tcW w:w="1048" w:type="dxa"/>
            <w:shd w:val="clear" w:color="auto" w:fill="auto"/>
            <w:noWrap/>
            <w:vAlign w:val="center"/>
          </w:tcPr>
          <w:p w14:paraId="3E519FA8" w14:textId="77777777" w:rsidR="002E7C6D" w:rsidRPr="002869EC" w:rsidRDefault="002E7C6D" w:rsidP="006357B3">
            <w:pPr>
              <w:spacing w:before="60" w:line="240" w:lineRule="auto"/>
              <w:ind w:firstLine="0"/>
              <w:jc w:val="center"/>
              <w:rPr>
                <w:rFonts w:eastAsia="Times New Roman" w:cs="Times New Roman"/>
                <w:color w:val="000000"/>
                <w:sz w:val="18"/>
                <w:szCs w:val="18"/>
                <w:lang w:eastAsia="lv-LV"/>
              </w:rPr>
            </w:pPr>
          </w:p>
        </w:tc>
        <w:tc>
          <w:tcPr>
            <w:tcW w:w="1049" w:type="dxa"/>
            <w:shd w:val="clear" w:color="auto" w:fill="auto"/>
            <w:noWrap/>
            <w:vAlign w:val="center"/>
          </w:tcPr>
          <w:p w14:paraId="5C66CD9E" w14:textId="5B7FBB86"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1,2</w:t>
            </w:r>
          </w:p>
        </w:tc>
        <w:tc>
          <w:tcPr>
            <w:tcW w:w="1049" w:type="dxa"/>
            <w:shd w:val="clear" w:color="auto" w:fill="FFFFFF" w:themeFill="background1"/>
            <w:noWrap/>
            <w:vAlign w:val="center"/>
            <w:hideMark/>
          </w:tcPr>
          <w:p w14:paraId="6EEAFB37" w14:textId="04F48FC6"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1,4</w:t>
            </w:r>
          </w:p>
        </w:tc>
        <w:tc>
          <w:tcPr>
            <w:tcW w:w="1049" w:type="dxa"/>
            <w:shd w:val="clear" w:color="auto" w:fill="FFFFFF" w:themeFill="background1"/>
            <w:noWrap/>
            <w:vAlign w:val="center"/>
            <w:hideMark/>
          </w:tcPr>
          <w:p w14:paraId="47B45E7F" w14:textId="666E8EBC"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1,5</w:t>
            </w:r>
          </w:p>
        </w:tc>
        <w:tc>
          <w:tcPr>
            <w:tcW w:w="1049" w:type="dxa"/>
            <w:shd w:val="clear" w:color="auto" w:fill="FFFFFF" w:themeFill="background1"/>
            <w:noWrap/>
            <w:vAlign w:val="center"/>
            <w:hideMark/>
          </w:tcPr>
          <w:p w14:paraId="6D9A0F2B" w14:textId="11B6ABE5"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1,5</w:t>
            </w:r>
          </w:p>
        </w:tc>
      </w:tr>
      <w:tr w:rsidR="002E7C6D" w:rsidRPr="002869EC" w14:paraId="2CDAB13C" w14:textId="77777777" w:rsidTr="002E7C6D">
        <w:trPr>
          <w:trHeight w:val="20"/>
          <w:jc w:val="center"/>
        </w:trPr>
        <w:tc>
          <w:tcPr>
            <w:tcW w:w="2693" w:type="dxa"/>
            <w:shd w:val="clear" w:color="auto" w:fill="auto"/>
            <w:noWrap/>
            <w:vAlign w:val="center"/>
          </w:tcPr>
          <w:p w14:paraId="4B9617D1" w14:textId="3C8E17BD" w:rsidR="002E7C6D" w:rsidRPr="002869EC" w:rsidRDefault="00BC0A7E" w:rsidP="006357B3">
            <w:pPr>
              <w:spacing w:before="60" w:line="240" w:lineRule="auto"/>
              <w:ind w:firstLine="0"/>
              <w:jc w:val="left"/>
              <w:rPr>
                <w:rFonts w:eastAsia="Times New Roman" w:cs="Times New Roman"/>
                <w:color w:val="000000"/>
                <w:sz w:val="18"/>
                <w:szCs w:val="18"/>
                <w:lang w:eastAsia="lv-LV"/>
              </w:rPr>
            </w:pPr>
            <w:proofErr w:type="spellStart"/>
            <w:r w:rsidRPr="00BC0A7E">
              <w:rPr>
                <w:rFonts w:eastAsia="Times New Roman" w:cs="Times New Roman"/>
                <w:i/>
                <w:iCs/>
                <w:color w:val="000000"/>
                <w:sz w:val="18"/>
                <w:szCs w:val="18"/>
                <w:lang w:eastAsia="lv-LV"/>
              </w:rPr>
              <w:t>O</w:t>
            </w:r>
            <w:r w:rsidR="002E7C6D" w:rsidRPr="00BC0A7E">
              <w:rPr>
                <w:rFonts w:eastAsia="Times New Roman" w:cs="Times New Roman"/>
                <w:i/>
                <w:iCs/>
                <w:color w:val="000000"/>
                <w:sz w:val="18"/>
                <w:szCs w:val="18"/>
                <w:lang w:eastAsia="lv-LV"/>
              </w:rPr>
              <w:t>ne-off</w:t>
            </w:r>
            <w:proofErr w:type="spellEnd"/>
            <w:r w:rsidR="002E7C6D" w:rsidRPr="002869EC">
              <w:rPr>
                <w:rFonts w:eastAsia="Times New Roman" w:cs="Times New Roman"/>
                <w:color w:val="000000"/>
                <w:sz w:val="18"/>
                <w:szCs w:val="18"/>
                <w:lang w:eastAsia="lv-LV"/>
              </w:rPr>
              <w:t xml:space="preserve"> un citi īslaicīgie pasākumi, % no IKP</w:t>
            </w:r>
          </w:p>
        </w:tc>
        <w:tc>
          <w:tcPr>
            <w:tcW w:w="709" w:type="dxa"/>
            <w:vAlign w:val="center"/>
          </w:tcPr>
          <w:p w14:paraId="581C86B0" w14:textId="77777777" w:rsidR="002E7C6D" w:rsidRPr="002869EC" w:rsidRDefault="002E7C6D" w:rsidP="006357B3">
            <w:pPr>
              <w:spacing w:before="60" w:line="240" w:lineRule="auto"/>
              <w:ind w:firstLine="0"/>
              <w:jc w:val="center"/>
              <w:rPr>
                <w:rFonts w:eastAsia="Times New Roman" w:cs="Times New Roman"/>
                <w:color w:val="000000"/>
                <w:sz w:val="18"/>
                <w:szCs w:val="18"/>
                <w:lang w:eastAsia="lv-LV"/>
              </w:rPr>
            </w:pPr>
            <w:r w:rsidRPr="002869EC">
              <w:rPr>
                <w:rFonts w:eastAsia="Times New Roman" w:cs="Times New Roman"/>
                <w:color w:val="000000"/>
                <w:sz w:val="18"/>
                <w:szCs w:val="18"/>
                <w:lang w:eastAsia="lv-LV"/>
              </w:rPr>
              <w:t>(3)</w:t>
            </w:r>
          </w:p>
        </w:tc>
        <w:tc>
          <w:tcPr>
            <w:tcW w:w="1048" w:type="dxa"/>
            <w:shd w:val="clear" w:color="auto" w:fill="auto"/>
            <w:noWrap/>
            <w:vAlign w:val="center"/>
          </w:tcPr>
          <w:p w14:paraId="5967FF01" w14:textId="77777777" w:rsidR="002E7C6D" w:rsidRPr="002869EC" w:rsidRDefault="002E7C6D" w:rsidP="006357B3">
            <w:pPr>
              <w:spacing w:before="60" w:line="240" w:lineRule="auto"/>
              <w:ind w:firstLine="0"/>
              <w:jc w:val="center"/>
              <w:rPr>
                <w:rFonts w:eastAsia="Times New Roman" w:cs="Times New Roman"/>
                <w:color w:val="000000"/>
                <w:sz w:val="18"/>
                <w:szCs w:val="18"/>
                <w:lang w:eastAsia="lv-LV"/>
              </w:rPr>
            </w:pPr>
          </w:p>
        </w:tc>
        <w:tc>
          <w:tcPr>
            <w:tcW w:w="1049" w:type="dxa"/>
            <w:shd w:val="clear" w:color="auto" w:fill="auto"/>
            <w:noWrap/>
            <w:vAlign w:val="center"/>
          </w:tcPr>
          <w:p w14:paraId="05AEA6E1" w14:textId="4DCC1C52"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-1,7</w:t>
            </w:r>
          </w:p>
        </w:tc>
        <w:tc>
          <w:tcPr>
            <w:tcW w:w="1049" w:type="dxa"/>
            <w:shd w:val="clear" w:color="auto" w:fill="FFFFFF" w:themeFill="background1"/>
            <w:noWrap/>
            <w:vAlign w:val="center"/>
            <w:hideMark/>
          </w:tcPr>
          <w:p w14:paraId="1844AD3A" w14:textId="599A3752"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-1,8</w:t>
            </w:r>
          </w:p>
        </w:tc>
        <w:tc>
          <w:tcPr>
            <w:tcW w:w="1049" w:type="dxa"/>
            <w:shd w:val="clear" w:color="auto" w:fill="FFFFFF" w:themeFill="background1"/>
            <w:noWrap/>
            <w:vAlign w:val="center"/>
            <w:hideMark/>
          </w:tcPr>
          <w:p w14:paraId="1DB65959" w14:textId="6F001770"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-1,7</w:t>
            </w:r>
          </w:p>
        </w:tc>
        <w:tc>
          <w:tcPr>
            <w:tcW w:w="1049" w:type="dxa"/>
            <w:shd w:val="clear" w:color="auto" w:fill="FFFFFF" w:themeFill="background1"/>
            <w:noWrap/>
            <w:vAlign w:val="center"/>
            <w:hideMark/>
          </w:tcPr>
          <w:p w14:paraId="778E658C" w14:textId="40A6E032"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-1,3</w:t>
            </w:r>
          </w:p>
        </w:tc>
      </w:tr>
      <w:tr w:rsidR="002E7C6D" w:rsidRPr="002869EC" w14:paraId="1690F442" w14:textId="77777777" w:rsidTr="000C5CF0">
        <w:trPr>
          <w:trHeight w:val="20"/>
          <w:jc w:val="center"/>
        </w:trPr>
        <w:tc>
          <w:tcPr>
            <w:tcW w:w="2693" w:type="dxa"/>
            <w:shd w:val="clear" w:color="auto" w:fill="D9E2F3" w:themeFill="accent5" w:themeFillTint="33"/>
            <w:noWrap/>
            <w:vAlign w:val="center"/>
          </w:tcPr>
          <w:p w14:paraId="5CCE0A8F" w14:textId="6805147F" w:rsidR="002E7C6D" w:rsidRPr="002869EC" w:rsidRDefault="002E7C6D" w:rsidP="006357B3">
            <w:pPr>
              <w:spacing w:before="60" w:line="240" w:lineRule="auto"/>
              <w:ind w:firstLine="0"/>
              <w:jc w:val="left"/>
              <w:rPr>
                <w:rFonts w:eastAsia="Times New Roman" w:cs="Times New Roman"/>
                <w:b/>
                <w:bCs/>
                <w:color w:val="000000"/>
                <w:sz w:val="18"/>
                <w:szCs w:val="18"/>
                <w:lang w:eastAsia="lv-LV"/>
              </w:rPr>
            </w:pPr>
            <w:r w:rsidRPr="002869EC">
              <w:rPr>
                <w:rFonts w:eastAsia="Times New Roman" w:cs="Times New Roman"/>
                <w:b/>
                <w:bCs/>
                <w:color w:val="000000"/>
                <w:sz w:val="18"/>
                <w:szCs w:val="18"/>
                <w:lang w:eastAsia="lv-LV"/>
              </w:rPr>
              <w:t>Vispārējās valdības strukturālās bilance % no IKP</w:t>
            </w:r>
          </w:p>
        </w:tc>
        <w:tc>
          <w:tcPr>
            <w:tcW w:w="709" w:type="dxa"/>
            <w:shd w:val="clear" w:color="auto" w:fill="D9E2F3" w:themeFill="accent5" w:themeFillTint="33"/>
            <w:vAlign w:val="center"/>
          </w:tcPr>
          <w:p w14:paraId="6777FFE4" w14:textId="77777777" w:rsidR="002E7C6D" w:rsidRPr="002869EC" w:rsidRDefault="002E7C6D" w:rsidP="006357B3">
            <w:pPr>
              <w:spacing w:before="60" w:line="240" w:lineRule="auto"/>
              <w:ind w:firstLine="0"/>
              <w:jc w:val="center"/>
              <w:rPr>
                <w:rFonts w:eastAsia="Times New Roman" w:cs="Times New Roman"/>
                <w:b/>
                <w:bCs/>
                <w:color w:val="000000"/>
                <w:sz w:val="18"/>
                <w:szCs w:val="18"/>
                <w:lang w:eastAsia="lv-LV"/>
              </w:rPr>
            </w:pPr>
            <w:r w:rsidRPr="002869EC">
              <w:rPr>
                <w:rFonts w:eastAsia="Times New Roman" w:cs="Times New Roman"/>
                <w:b/>
                <w:bCs/>
                <w:color w:val="000000"/>
                <w:sz w:val="18"/>
                <w:szCs w:val="18"/>
                <w:lang w:eastAsia="lv-LV"/>
              </w:rPr>
              <w:t>(4)</w:t>
            </w:r>
          </w:p>
        </w:tc>
        <w:tc>
          <w:tcPr>
            <w:tcW w:w="1048" w:type="dxa"/>
            <w:shd w:val="clear" w:color="auto" w:fill="D9E2F3" w:themeFill="accent5" w:themeFillTint="33"/>
            <w:noWrap/>
            <w:vAlign w:val="center"/>
          </w:tcPr>
          <w:p w14:paraId="01A0B5E8" w14:textId="77777777" w:rsidR="002E7C6D" w:rsidRPr="002869EC" w:rsidRDefault="002E7C6D" w:rsidP="006357B3">
            <w:pPr>
              <w:spacing w:before="60" w:line="240" w:lineRule="auto"/>
              <w:ind w:firstLine="0"/>
              <w:jc w:val="center"/>
              <w:rPr>
                <w:rFonts w:eastAsia="Times New Roman" w:cs="Times New Roman"/>
                <w:b/>
                <w:bCs/>
                <w:color w:val="000000"/>
                <w:sz w:val="18"/>
                <w:szCs w:val="18"/>
                <w:lang w:eastAsia="lv-LV"/>
              </w:rPr>
            </w:pPr>
          </w:p>
        </w:tc>
        <w:tc>
          <w:tcPr>
            <w:tcW w:w="1049" w:type="dxa"/>
            <w:shd w:val="clear" w:color="auto" w:fill="D9E2F3" w:themeFill="accent5" w:themeFillTint="33"/>
            <w:noWrap/>
            <w:vAlign w:val="center"/>
          </w:tcPr>
          <w:p w14:paraId="0D6F4439" w14:textId="0B995F0A"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-0,817</w:t>
            </w:r>
          </w:p>
        </w:tc>
        <w:tc>
          <w:tcPr>
            <w:tcW w:w="1049" w:type="dxa"/>
            <w:shd w:val="clear" w:color="auto" w:fill="D9E2F3" w:themeFill="accent5" w:themeFillTint="33"/>
            <w:noWrap/>
            <w:vAlign w:val="center"/>
            <w:hideMark/>
          </w:tcPr>
          <w:p w14:paraId="0099085E" w14:textId="44EF4419"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-0,923</w:t>
            </w:r>
          </w:p>
        </w:tc>
        <w:tc>
          <w:tcPr>
            <w:tcW w:w="1049" w:type="dxa"/>
            <w:shd w:val="clear" w:color="auto" w:fill="D9E2F3" w:themeFill="accent5" w:themeFillTint="33"/>
            <w:noWrap/>
            <w:vAlign w:val="center"/>
            <w:hideMark/>
          </w:tcPr>
          <w:p w14:paraId="09E2ABF9" w14:textId="6975B8C8"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-1,101</w:t>
            </w:r>
          </w:p>
        </w:tc>
        <w:tc>
          <w:tcPr>
            <w:tcW w:w="1049" w:type="dxa"/>
            <w:shd w:val="clear" w:color="auto" w:fill="D9E2F3" w:themeFill="accent5" w:themeFillTint="33"/>
            <w:noWrap/>
            <w:vAlign w:val="center"/>
            <w:hideMark/>
          </w:tcPr>
          <w:p w14:paraId="57EC1290" w14:textId="561C3968"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-1,456</w:t>
            </w:r>
          </w:p>
        </w:tc>
      </w:tr>
    </w:tbl>
    <w:p w14:paraId="51F74890" w14:textId="77777777" w:rsidR="003F481B" w:rsidRPr="002869EC" w:rsidRDefault="003F481B" w:rsidP="000B10A3">
      <w:pPr>
        <w:spacing w:line="240" w:lineRule="auto"/>
        <w:jc w:val="right"/>
        <w:rPr>
          <w:rFonts w:cs="Times New Roman"/>
          <w:szCs w:val="24"/>
          <w:lang w:eastAsia="lv-LV"/>
        </w:rPr>
      </w:pPr>
    </w:p>
    <w:p w14:paraId="15E0831C" w14:textId="01C4D686" w:rsidR="003F481B" w:rsidRPr="00AB19CC" w:rsidRDefault="00234244" w:rsidP="000B10A3">
      <w:pPr>
        <w:widowControl w:val="0"/>
        <w:spacing w:before="240" w:line="240" w:lineRule="auto"/>
        <w:ind w:firstLine="0"/>
        <w:jc w:val="right"/>
        <w:rPr>
          <w:rFonts w:eastAsia="Times New Roman" w:cs="Times New Roman"/>
          <w:b/>
          <w:szCs w:val="24"/>
          <w:lang w:eastAsia="lv-LV"/>
        </w:rPr>
      </w:pPr>
      <w:r>
        <w:rPr>
          <w:rFonts w:eastAsia="Times New Roman" w:cs="Times New Roman"/>
          <w:b/>
          <w:szCs w:val="24"/>
          <w:lang w:eastAsia="lv-LV"/>
        </w:rPr>
        <w:t>H</w:t>
      </w:r>
      <w:r w:rsidR="00202325">
        <w:rPr>
          <w:rFonts w:eastAsia="Times New Roman" w:cs="Times New Roman"/>
          <w:b/>
          <w:szCs w:val="24"/>
          <w:lang w:eastAsia="lv-LV"/>
        </w:rPr>
        <w:t>.</w:t>
      </w:r>
      <w:r w:rsidR="00202325" w:rsidRPr="00AB19CC">
        <w:rPr>
          <w:rFonts w:eastAsia="Times New Roman" w:cs="Times New Roman"/>
          <w:b/>
          <w:szCs w:val="24"/>
          <w:lang w:eastAsia="lv-LV"/>
        </w:rPr>
        <w:t xml:space="preserve"> </w:t>
      </w:r>
      <w:r w:rsidR="003F481B" w:rsidRPr="00AB19CC">
        <w:rPr>
          <w:rFonts w:eastAsia="Times New Roman" w:cs="Times New Roman"/>
          <w:b/>
          <w:szCs w:val="24"/>
          <w:lang w:eastAsia="lv-LV"/>
        </w:rPr>
        <w:t>tabula. Vispārējās valdības strukturālās bilance</w:t>
      </w:r>
      <w:r w:rsidR="00EE7219" w:rsidRPr="00AB19CC">
        <w:rPr>
          <w:rFonts w:eastAsia="Times New Roman" w:cs="Times New Roman"/>
          <w:b/>
          <w:szCs w:val="24"/>
          <w:lang w:eastAsia="lv-LV"/>
        </w:rPr>
        <w:t xml:space="preserve"> </w:t>
      </w:r>
      <w:r w:rsidR="0024479C" w:rsidRPr="00AB19CC">
        <w:rPr>
          <w:rFonts w:eastAsia="Times New Roman" w:cs="Times New Roman"/>
          <w:b/>
          <w:szCs w:val="24"/>
          <w:lang w:eastAsia="lv-LV"/>
        </w:rPr>
        <w:t>atbilstoši</w:t>
      </w:r>
      <w:r w:rsidR="00EE7219" w:rsidRPr="00AB19CC">
        <w:rPr>
          <w:rFonts w:eastAsia="Times New Roman" w:cs="Times New Roman"/>
          <w:b/>
          <w:szCs w:val="24"/>
          <w:lang w:eastAsia="lv-LV"/>
        </w:rPr>
        <w:t xml:space="preserve"> </w:t>
      </w:r>
      <w:r w:rsidR="003F481B" w:rsidRPr="00AB19CC">
        <w:rPr>
          <w:rFonts w:eastAsia="Times New Roman" w:cs="Times New Roman"/>
          <w:b/>
          <w:szCs w:val="24"/>
          <w:lang w:eastAsia="lv-LV"/>
        </w:rPr>
        <w:t>ES izdevumu pieauguma nosacījumu</w:t>
      </w:r>
      <w:r w:rsidR="0024479C" w:rsidRPr="00AB19CC">
        <w:rPr>
          <w:rFonts w:eastAsia="Times New Roman" w:cs="Times New Roman"/>
          <w:b/>
          <w:szCs w:val="24"/>
          <w:lang w:eastAsia="lv-LV"/>
        </w:rPr>
        <w:t xml:space="preserve"> mērķa rādītājiem</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134"/>
        <w:gridCol w:w="963"/>
        <w:gridCol w:w="964"/>
        <w:gridCol w:w="964"/>
        <w:gridCol w:w="964"/>
        <w:gridCol w:w="964"/>
      </w:tblGrid>
      <w:tr w:rsidR="003F481B" w:rsidRPr="002869EC" w14:paraId="5615F4B9" w14:textId="77777777" w:rsidTr="00702199">
        <w:trPr>
          <w:trHeight w:val="20"/>
          <w:tblHeader/>
          <w:jc w:val="center"/>
        </w:trPr>
        <w:tc>
          <w:tcPr>
            <w:tcW w:w="3114" w:type="dxa"/>
            <w:shd w:val="clear" w:color="auto" w:fill="BDD6EE" w:themeFill="accent1" w:themeFillTint="66"/>
            <w:noWrap/>
            <w:vAlign w:val="bottom"/>
            <w:hideMark/>
          </w:tcPr>
          <w:p w14:paraId="6112906D" w14:textId="77777777" w:rsidR="003F481B" w:rsidRPr="00AB19CC" w:rsidRDefault="003F481B" w:rsidP="006357B3">
            <w:pPr>
              <w:spacing w:before="60" w:line="240" w:lineRule="auto"/>
              <w:ind w:firstLine="0"/>
              <w:jc w:val="left"/>
              <w:rPr>
                <w:rFonts w:eastAsia="Times New Roman" w:cs="Times New Roman"/>
                <w:color w:val="000000"/>
                <w:sz w:val="18"/>
                <w:szCs w:val="18"/>
                <w:lang w:eastAsia="lv-LV"/>
              </w:rPr>
            </w:pPr>
            <w:r w:rsidRPr="00AB19CC">
              <w:rPr>
                <w:rFonts w:eastAsia="Times New Roman" w:cs="Times New Roman"/>
                <w:color w:val="000000"/>
                <w:sz w:val="18"/>
                <w:szCs w:val="18"/>
                <w:lang w:eastAsia="lv-LV"/>
              </w:rPr>
              <w:t> </w:t>
            </w:r>
          </w:p>
        </w:tc>
        <w:tc>
          <w:tcPr>
            <w:tcW w:w="1134" w:type="dxa"/>
            <w:shd w:val="clear" w:color="auto" w:fill="BDD6EE" w:themeFill="accent1" w:themeFillTint="66"/>
          </w:tcPr>
          <w:p w14:paraId="203B9BD6" w14:textId="77777777" w:rsidR="003F481B" w:rsidRPr="00AB19CC" w:rsidRDefault="003F481B" w:rsidP="006357B3">
            <w:pPr>
              <w:spacing w:before="60" w:line="240" w:lineRule="auto"/>
              <w:ind w:firstLine="0"/>
              <w:jc w:val="center"/>
              <w:rPr>
                <w:rFonts w:eastAsia="Times New Roman" w:cs="Times New Roman"/>
                <w:b/>
                <w:bCs/>
                <w:color w:val="000000"/>
                <w:sz w:val="18"/>
                <w:szCs w:val="18"/>
                <w:lang w:eastAsia="lv-LV"/>
              </w:rPr>
            </w:pPr>
          </w:p>
        </w:tc>
        <w:tc>
          <w:tcPr>
            <w:tcW w:w="963" w:type="dxa"/>
            <w:shd w:val="clear" w:color="auto" w:fill="BDD6EE" w:themeFill="accent1" w:themeFillTint="66"/>
            <w:noWrap/>
            <w:vAlign w:val="center"/>
            <w:hideMark/>
          </w:tcPr>
          <w:p w14:paraId="29D62C59" w14:textId="77777777" w:rsidR="003F481B" w:rsidRPr="00AB19CC" w:rsidRDefault="003F481B" w:rsidP="006357B3">
            <w:pPr>
              <w:spacing w:before="60" w:line="240" w:lineRule="auto"/>
              <w:ind w:firstLine="0"/>
              <w:jc w:val="center"/>
              <w:rPr>
                <w:rFonts w:eastAsia="Times New Roman" w:cs="Times New Roman"/>
                <w:b/>
                <w:bCs/>
                <w:color w:val="000000"/>
                <w:sz w:val="18"/>
                <w:szCs w:val="18"/>
                <w:lang w:eastAsia="lv-LV"/>
              </w:rPr>
            </w:pPr>
            <w:r w:rsidRPr="00AB19CC">
              <w:rPr>
                <w:rFonts w:eastAsia="Times New Roman" w:cs="Times New Roman"/>
                <w:b/>
                <w:bCs/>
                <w:color w:val="000000"/>
                <w:sz w:val="18"/>
                <w:szCs w:val="18"/>
                <w:lang w:eastAsia="lv-LV"/>
              </w:rPr>
              <w:t>2024</w:t>
            </w:r>
          </w:p>
        </w:tc>
        <w:tc>
          <w:tcPr>
            <w:tcW w:w="964" w:type="dxa"/>
            <w:shd w:val="clear" w:color="auto" w:fill="BDD6EE" w:themeFill="accent1" w:themeFillTint="66"/>
            <w:noWrap/>
            <w:vAlign w:val="center"/>
            <w:hideMark/>
          </w:tcPr>
          <w:p w14:paraId="18701060" w14:textId="77777777" w:rsidR="003F481B" w:rsidRPr="00AB19CC" w:rsidRDefault="003F481B" w:rsidP="006357B3">
            <w:pPr>
              <w:spacing w:before="60" w:line="240" w:lineRule="auto"/>
              <w:ind w:firstLine="0"/>
              <w:jc w:val="center"/>
              <w:rPr>
                <w:rFonts w:eastAsia="Times New Roman" w:cs="Times New Roman"/>
                <w:b/>
                <w:bCs/>
                <w:color w:val="000000"/>
                <w:sz w:val="18"/>
                <w:szCs w:val="18"/>
                <w:lang w:eastAsia="lv-LV"/>
              </w:rPr>
            </w:pPr>
            <w:r w:rsidRPr="00AB19CC">
              <w:rPr>
                <w:rFonts w:eastAsia="Times New Roman" w:cs="Times New Roman"/>
                <w:b/>
                <w:bCs/>
                <w:color w:val="000000"/>
                <w:sz w:val="18"/>
                <w:szCs w:val="18"/>
                <w:lang w:eastAsia="lv-LV"/>
              </w:rPr>
              <w:t>2025</w:t>
            </w:r>
          </w:p>
        </w:tc>
        <w:tc>
          <w:tcPr>
            <w:tcW w:w="964" w:type="dxa"/>
            <w:shd w:val="clear" w:color="auto" w:fill="BDD6EE" w:themeFill="accent1" w:themeFillTint="66"/>
            <w:noWrap/>
            <w:vAlign w:val="center"/>
            <w:hideMark/>
          </w:tcPr>
          <w:p w14:paraId="1E30F5A3" w14:textId="77777777" w:rsidR="003F481B" w:rsidRPr="00AB19CC" w:rsidRDefault="003F481B" w:rsidP="006357B3">
            <w:pPr>
              <w:spacing w:before="60" w:line="240" w:lineRule="auto"/>
              <w:ind w:firstLine="0"/>
              <w:jc w:val="center"/>
              <w:rPr>
                <w:rFonts w:eastAsia="Times New Roman" w:cs="Times New Roman"/>
                <w:b/>
                <w:bCs/>
                <w:color w:val="000000"/>
                <w:sz w:val="18"/>
                <w:szCs w:val="18"/>
                <w:lang w:eastAsia="lv-LV"/>
              </w:rPr>
            </w:pPr>
            <w:r w:rsidRPr="00AB19CC">
              <w:rPr>
                <w:rFonts w:eastAsia="Times New Roman" w:cs="Times New Roman"/>
                <w:b/>
                <w:bCs/>
                <w:color w:val="000000"/>
                <w:sz w:val="18"/>
                <w:szCs w:val="18"/>
                <w:lang w:eastAsia="lv-LV"/>
              </w:rPr>
              <w:t>2026</w:t>
            </w:r>
          </w:p>
        </w:tc>
        <w:tc>
          <w:tcPr>
            <w:tcW w:w="964" w:type="dxa"/>
            <w:shd w:val="clear" w:color="auto" w:fill="BDD6EE" w:themeFill="accent1" w:themeFillTint="66"/>
            <w:noWrap/>
            <w:vAlign w:val="center"/>
            <w:hideMark/>
          </w:tcPr>
          <w:p w14:paraId="574C41FC" w14:textId="77777777" w:rsidR="003F481B" w:rsidRPr="00AB19CC" w:rsidRDefault="003F481B" w:rsidP="006357B3">
            <w:pPr>
              <w:spacing w:before="60" w:line="240" w:lineRule="auto"/>
              <w:ind w:firstLine="0"/>
              <w:jc w:val="center"/>
              <w:rPr>
                <w:rFonts w:eastAsia="Times New Roman" w:cs="Times New Roman"/>
                <w:b/>
                <w:bCs/>
                <w:color w:val="000000"/>
                <w:sz w:val="18"/>
                <w:szCs w:val="18"/>
                <w:lang w:eastAsia="lv-LV"/>
              </w:rPr>
            </w:pPr>
            <w:r w:rsidRPr="00AB19CC">
              <w:rPr>
                <w:rFonts w:eastAsia="Times New Roman" w:cs="Times New Roman"/>
                <w:b/>
                <w:bCs/>
                <w:color w:val="000000"/>
                <w:sz w:val="18"/>
                <w:szCs w:val="18"/>
                <w:lang w:eastAsia="lv-LV"/>
              </w:rPr>
              <w:t>2027</w:t>
            </w:r>
          </w:p>
        </w:tc>
        <w:tc>
          <w:tcPr>
            <w:tcW w:w="964" w:type="dxa"/>
            <w:shd w:val="clear" w:color="auto" w:fill="BDD6EE" w:themeFill="accent1" w:themeFillTint="66"/>
            <w:noWrap/>
            <w:vAlign w:val="center"/>
            <w:hideMark/>
          </w:tcPr>
          <w:p w14:paraId="238C3D3C" w14:textId="77777777" w:rsidR="003F481B" w:rsidRPr="00AB19CC" w:rsidRDefault="003F481B" w:rsidP="006357B3">
            <w:pPr>
              <w:spacing w:before="60" w:line="240" w:lineRule="auto"/>
              <w:ind w:firstLine="0"/>
              <w:jc w:val="center"/>
              <w:rPr>
                <w:rFonts w:eastAsia="Times New Roman" w:cs="Times New Roman"/>
                <w:b/>
                <w:bCs/>
                <w:color w:val="000000"/>
                <w:sz w:val="18"/>
                <w:szCs w:val="18"/>
                <w:lang w:eastAsia="lv-LV"/>
              </w:rPr>
            </w:pPr>
            <w:r w:rsidRPr="00AB19CC">
              <w:rPr>
                <w:rFonts w:eastAsia="Times New Roman" w:cs="Times New Roman"/>
                <w:b/>
                <w:bCs/>
                <w:color w:val="000000"/>
                <w:sz w:val="18"/>
                <w:szCs w:val="18"/>
                <w:lang w:eastAsia="lv-LV"/>
              </w:rPr>
              <w:t>2028</w:t>
            </w:r>
          </w:p>
        </w:tc>
      </w:tr>
      <w:tr w:rsidR="002E7C6D" w:rsidRPr="002869EC" w14:paraId="7662F914" w14:textId="77777777" w:rsidTr="002E7C6D">
        <w:trPr>
          <w:trHeight w:val="20"/>
          <w:jc w:val="center"/>
        </w:trPr>
        <w:tc>
          <w:tcPr>
            <w:tcW w:w="3114" w:type="dxa"/>
            <w:shd w:val="clear" w:color="auto" w:fill="auto"/>
            <w:noWrap/>
            <w:vAlign w:val="center"/>
          </w:tcPr>
          <w:p w14:paraId="235A3374" w14:textId="77777777" w:rsidR="002E7C6D" w:rsidRPr="000F5DA8" w:rsidRDefault="002E7C6D"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xml:space="preserve">Valsts finansēto neto primāro izdevumu (NNFPI) pieauguma likme, % </w:t>
            </w:r>
          </w:p>
        </w:tc>
        <w:tc>
          <w:tcPr>
            <w:tcW w:w="1134" w:type="dxa"/>
            <w:vAlign w:val="center"/>
          </w:tcPr>
          <w:p w14:paraId="56749F3D"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w:t>
            </w:r>
          </w:p>
        </w:tc>
        <w:tc>
          <w:tcPr>
            <w:tcW w:w="963" w:type="dxa"/>
            <w:shd w:val="clear" w:color="auto" w:fill="auto"/>
            <w:noWrap/>
            <w:vAlign w:val="center"/>
          </w:tcPr>
          <w:p w14:paraId="530DC68B" w14:textId="77777777" w:rsidR="002E7C6D" w:rsidRPr="002E7C6D" w:rsidRDefault="002E7C6D" w:rsidP="006357B3">
            <w:pPr>
              <w:spacing w:before="60" w:line="240" w:lineRule="auto"/>
              <w:ind w:firstLine="0"/>
              <w:jc w:val="center"/>
              <w:rPr>
                <w:rFonts w:eastAsia="Times New Roman" w:cs="Times New Roman"/>
                <w:color w:val="000000"/>
                <w:sz w:val="18"/>
                <w:szCs w:val="16"/>
                <w:lang w:eastAsia="lv-LV"/>
              </w:rPr>
            </w:pPr>
          </w:p>
        </w:tc>
        <w:tc>
          <w:tcPr>
            <w:tcW w:w="964" w:type="dxa"/>
            <w:shd w:val="clear" w:color="auto" w:fill="auto"/>
            <w:noWrap/>
            <w:vAlign w:val="center"/>
          </w:tcPr>
          <w:p w14:paraId="5286A51A" w14:textId="69576A2F" w:rsidR="002E7C6D" w:rsidRPr="002E7C6D" w:rsidRDefault="002E7C6D" w:rsidP="006357B3">
            <w:pPr>
              <w:spacing w:before="60" w:line="240" w:lineRule="auto"/>
              <w:ind w:firstLine="0"/>
              <w:jc w:val="center"/>
              <w:rPr>
                <w:rFonts w:eastAsia="Times New Roman" w:cs="Times New Roman"/>
                <w:color w:val="000000"/>
                <w:sz w:val="18"/>
                <w:szCs w:val="16"/>
                <w:lang w:eastAsia="lv-LV"/>
              </w:rPr>
            </w:pPr>
            <w:r w:rsidRPr="002E7C6D">
              <w:rPr>
                <w:sz w:val="18"/>
                <w:szCs w:val="16"/>
              </w:rPr>
              <w:t>5,902</w:t>
            </w:r>
          </w:p>
        </w:tc>
        <w:tc>
          <w:tcPr>
            <w:tcW w:w="964" w:type="dxa"/>
            <w:shd w:val="clear" w:color="auto" w:fill="FFFFFF" w:themeFill="background1"/>
            <w:noWrap/>
            <w:vAlign w:val="center"/>
          </w:tcPr>
          <w:p w14:paraId="1278B1C9" w14:textId="3EE2FA1B" w:rsidR="002E7C6D" w:rsidRPr="002E7C6D" w:rsidRDefault="002E7C6D" w:rsidP="006357B3">
            <w:pPr>
              <w:spacing w:before="60" w:line="240" w:lineRule="auto"/>
              <w:ind w:firstLine="0"/>
              <w:jc w:val="center"/>
              <w:rPr>
                <w:rFonts w:eastAsia="Times New Roman" w:cs="Times New Roman"/>
                <w:color w:val="000000"/>
                <w:sz w:val="18"/>
                <w:szCs w:val="16"/>
                <w:lang w:eastAsia="lv-LV"/>
              </w:rPr>
            </w:pPr>
            <w:r w:rsidRPr="002E7C6D">
              <w:rPr>
                <w:sz w:val="18"/>
                <w:szCs w:val="16"/>
              </w:rPr>
              <w:t>3,645</w:t>
            </w:r>
          </w:p>
        </w:tc>
        <w:tc>
          <w:tcPr>
            <w:tcW w:w="964" w:type="dxa"/>
            <w:shd w:val="clear" w:color="auto" w:fill="FFFFFF" w:themeFill="background1"/>
            <w:noWrap/>
            <w:vAlign w:val="center"/>
          </w:tcPr>
          <w:p w14:paraId="3B492F9B" w14:textId="691543BC" w:rsidR="002E7C6D" w:rsidRPr="002E7C6D" w:rsidRDefault="002E7C6D" w:rsidP="006357B3">
            <w:pPr>
              <w:spacing w:before="60" w:line="240" w:lineRule="auto"/>
              <w:ind w:firstLine="0"/>
              <w:jc w:val="center"/>
              <w:rPr>
                <w:rFonts w:eastAsia="Times New Roman" w:cs="Times New Roman"/>
                <w:color w:val="000000"/>
                <w:sz w:val="18"/>
                <w:szCs w:val="16"/>
                <w:lang w:eastAsia="lv-LV"/>
              </w:rPr>
            </w:pPr>
            <w:r w:rsidRPr="002E7C6D">
              <w:rPr>
                <w:sz w:val="18"/>
                <w:szCs w:val="16"/>
              </w:rPr>
              <w:t>3,363</w:t>
            </w:r>
          </w:p>
        </w:tc>
        <w:tc>
          <w:tcPr>
            <w:tcW w:w="964" w:type="dxa"/>
            <w:shd w:val="clear" w:color="auto" w:fill="FFFFFF" w:themeFill="background1"/>
            <w:noWrap/>
            <w:vAlign w:val="center"/>
          </w:tcPr>
          <w:p w14:paraId="01B42102" w14:textId="462A5E28" w:rsidR="002E7C6D" w:rsidRPr="002E7C6D" w:rsidRDefault="002E7C6D" w:rsidP="006357B3">
            <w:pPr>
              <w:spacing w:before="60" w:line="240" w:lineRule="auto"/>
              <w:ind w:firstLine="0"/>
              <w:jc w:val="center"/>
              <w:rPr>
                <w:rFonts w:eastAsia="Times New Roman" w:cs="Times New Roman"/>
                <w:color w:val="000000"/>
                <w:sz w:val="18"/>
                <w:szCs w:val="16"/>
                <w:lang w:eastAsia="lv-LV"/>
              </w:rPr>
            </w:pPr>
            <w:r w:rsidRPr="002E7C6D">
              <w:rPr>
                <w:sz w:val="18"/>
                <w:szCs w:val="16"/>
              </w:rPr>
              <w:t>3,326</w:t>
            </w:r>
          </w:p>
        </w:tc>
      </w:tr>
      <w:tr w:rsidR="002E7C6D" w:rsidRPr="002869EC" w14:paraId="1C3D42DF" w14:textId="77777777" w:rsidTr="002E7C6D">
        <w:trPr>
          <w:trHeight w:val="20"/>
          <w:jc w:val="center"/>
        </w:trPr>
        <w:tc>
          <w:tcPr>
            <w:tcW w:w="3114" w:type="dxa"/>
            <w:shd w:val="clear" w:color="auto" w:fill="auto"/>
            <w:noWrap/>
            <w:vAlign w:val="center"/>
          </w:tcPr>
          <w:p w14:paraId="4DFA6CAD" w14:textId="77777777" w:rsidR="002E7C6D" w:rsidRPr="000F5DA8" w:rsidRDefault="002E7C6D"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xml:space="preserve">NNFPI līmenis, milj. </w:t>
            </w:r>
            <w:proofErr w:type="spellStart"/>
            <w:r w:rsidRPr="000F5DA8">
              <w:rPr>
                <w:rFonts w:eastAsia="Times New Roman" w:cs="Times New Roman"/>
                <w:i/>
                <w:iCs/>
                <w:color w:val="000000"/>
                <w:sz w:val="18"/>
                <w:szCs w:val="18"/>
                <w:lang w:eastAsia="lv-LV"/>
              </w:rPr>
              <w:t>euro</w:t>
            </w:r>
            <w:proofErr w:type="spellEnd"/>
          </w:p>
        </w:tc>
        <w:tc>
          <w:tcPr>
            <w:tcW w:w="1134" w:type="dxa"/>
            <w:vAlign w:val="center"/>
          </w:tcPr>
          <w:p w14:paraId="1B2815B9"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(2)</w:t>
            </w:r>
          </w:p>
        </w:tc>
        <w:tc>
          <w:tcPr>
            <w:tcW w:w="963" w:type="dxa"/>
            <w:shd w:val="clear" w:color="auto" w:fill="auto"/>
            <w:noWrap/>
            <w:vAlign w:val="center"/>
          </w:tcPr>
          <w:p w14:paraId="6BD60AC2" w14:textId="3C76E22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17 263</w:t>
            </w:r>
          </w:p>
        </w:tc>
        <w:tc>
          <w:tcPr>
            <w:tcW w:w="964" w:type="dxa"/>
            <w:shd w:val="clear" w:color="auto" w:fill="auto"/>
            <w:noWrap/>
            <w:vAlign w:val="center"/>
          </w:tcPr>
          <w:p w14:paraId="0D67A94B" w14:textId="1119958F"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18 282</w:t>
            </w:r>
          </w:p>
        </w:tc>
        <w:tc>
          <w:tcPr>
            <w:tcW w:w="964" w:type="dxa"/>
            <w:shd w:val="clear" w:color="auto" w:fill="FFFFFF" w:themeFill="background1"/>
            <w:noWrap/>
            <w:vAlign w:val="center"/>
          </w:tcPr>
          <w:p w14:paraId="5CD65C9D" w14:textId="05A4FD10"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18 700</w:t>
            </w:r>
          </w:p>
        </w:tc>
        <w:tc>
          <w:tcPr>
            <w:tcW w:w="964" w:type="dxa"/>
            <w:shd w:val="clear" w:color="auto" w:fill="FFFFFF" w:themeFill="background1"/>
            <w:noWrap/>
            <w:vAlign w:val="center"/>
          </w:tcPr>
          <w:p w14:paraId="26ABDFFC" w14:textId="2D196881"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19 274</w:t>
            </w:r>
          </w:p>
        </w:tc>
        <w:tc>
          <w:tcPr>
            <w:tcW w:w="964" w:type="dxa"/>
            <w:shd w:val="clear" w:color="auto" w:fill="FFFFFF" w:themeFill="background1"/>
            <w:noWrap/>
            <w:vAlign w:val="center"/>
          </w:tcPr>
          <w:p w14:paraId="2ABC7E12" w14:textId="7EFFADB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19 871</w:t>
            </w:r>
          </w:p>
        </w:tc>
      </w:tr>
      <w:tr w:rsidR="002E7C6D" w:rsidRPr="002869EC" w14:paraId="3528D855" w14:textId="77777777" w:rsidTr="002E7C6D">
        <w:trPr>
          <w:trHeight w:val="20"/>
          <w:jc w:val="center"/>
        </w:trPr>
        <w:tc>
          <w:tcPr>
            <w:tcW w:w="3114" w:type="dxa"/>
            <w:shd w:val="clear" w:color="auto" w:fill="auto"/>
            <w:noWrap/>
            <w:vAlign w:val="center"/>
          </w:tcPr>
          <w:p w14:paraId="753B1FAD" w14:textId="77777777" w:rsidR="002E7C6D" w:rsidRPr="000F5DA8" w:rsidRDefault="002E7C6D" w:rsidP="006357B3">
            <w:pPr>
              <w:spacing w:before="60" w:line="240" w:lineRule="auto"/>
              <w:ind w:firstLine="0"/>
              <w:jc w:val="left"/>
              <w:rPr>
                <w:rFonts w:eastAsia="Times New Roman" w:cs="Times New Roman"/>
                <w:color w:val="000000"/>
                <w:sz w:val="18"/>
                <w:szCs w:val="18"/>
                <w:lang w:eastAsia="lv-LV"/>
              </w:rPr>
            </w:pPr>
            <w:proofErr w:type="spellStart"/>
            <w:r w:rsidRPr="000F5DA8">
              <w:rPr>
                <w:rFonts w:eastAsia="Times New Roman" w:cs="Times New Roman"/>
                <w:color w:val="000000"/>
                <w:sz w:val="18"/>
                <w:szCs w:val="18"/>
                <w:lang w:eastAsia="lv-LV"/>
              </w:rPr>
              <w:t>Diskrecionārie</w:t>
            </w:r>
            <w:proofErr w:type="spellEnd"/>
            <w:r w:rsidRPr="000F5DA8">
              <w:rPr>
                <w:rFonts w:eastAsia="Times New Roman" w:cs="Times New Roman"/>
                <w:color w:val="000000"/>
                <w:sz w:val="18"/>
                <w:szCs w:val="18"/>
                <w:lang w:eastAsia="lv-LV"/>
              </w:rPr>
              <w:t xml:space="preserve"> ieņēmumu pasākumi (DRM)</w:t>
            </w:r>
          </w:p>
        </w:tc>
        <w:tc>
          <w:tcPr>
            <w:tcW w:w="1134" w:type="dxa"/>
            <w:vAlign w:val="center"/>
          </w:tcPr>
          <w:p w14:paraId="783B38AA"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(3)</w:t>
            </w:r>
          </w:p>
        </w:tc>
        <w:tc>
          <w:tcPr>
            <w:tcW w:w="963" w:type="dxa"/>
            <w:shd w:val="clear" w:color="auto" w:fill="auto"/>
            <w:noWrap/>
            <w:vAlign w:val="center"/>
          </w:tcPr>
          <w:p w14:paraId="12F9C5AD" w14:textId="6833B46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354,3</w:t>
            </w:r>
          </w:p>
        </w:tc>
        <w:tc>
          <w:tcPr>
            <w:tcW w:w="964" w:type="dxa"/>
            <w:shd w:val="clear" w:color="auto" w:fill="auto"/>
            <w:noWrap/>
            <w:vAlign w:val="center"/>
          </w:tcPr>
          <w:p w14:paraId="13213154" w14:textId="2F7F23A0"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-16,5</w:t>
            </w:r>
          </w:p>
        </w:tc>
        <w:tc>
          <w:tcPr>
            <w:tcW w:w="964" w:type="dxa"/>
            <w:shd w:val="clear" w:color="auto" w:fill="FFFFFF" w:themeFill="background1"/>
            <w:noWrap/>
            <w:vAlign w:val="center"/>
          </w:tcPr>
          <w:p w14:paraId="7B6E0ED2" w14:textId="306BFB7C"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-53,6</w:t>
            </w:r>
          </w:p>
        </w:tc>
        <w:tc>
          <w:tcPr>
            <w:tcW w:w="964" w:type="dxa"/>
            <w:shd w:val="clear" w:color="auto" w:fill="FFFFFF" w:themeFill="background1"/>
            <w:noWrap/>
            <w:vAlign w:val="center"/>
          </w:tcPr>
          <w:p w14:paraId="483B8E0B" w14:textId="21C881DB"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-43,0</w:t>
            </w:r>
          </w:p>
        </w:tc>
        <w:tc>
          <w:tcPr>
            <w:tcW w:w="964" w:type="dxa"/>
            <w:shd w:val="clear" w:color="auto" w:fill="FFFFFF" w:themeFill="background1"/>
            <w:noWrap/>
            <w:vAlign w:val="center"/>
          </w:tcPr>
          <w:p w14:paraId="2FC50A4C" w14:textId="0A6714C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-95,6</w:t>
            </w:r>
          </w:p>
        </w:tc>
      </w:tr>
      <w:tr w:rsidR="002E7C6D" w:rsidRPr="002869EC" w14:paraId="69DCFCA8" w14:textId="77777777" w:rsidTr="002E7C6D">
        <w:trPr>
          <w:trHeight w:val="20"/>
          <w:jc w:val="center"/>
        </w:trPr>
        <w:tc>
          <w:tcPr>
            <w:tcW w:w="3114" w:type="dxa"/>
            <w:shd w:val="clear" w:color="auto" w:fill="auto"/>
            <w:noWrap/>
            <w:vAlign w:val="center"/>
          </w:tcPr>
          <w:p w14:paraId="7AFFFCBB" w14:textId="77777777" w:rsidR="002E7C6D" w:rsidRPr="000F5DA8" w:rsidRDefault="002E7C6D"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xml:space="preserve">NNFPI līmenis (ar DRM), milj. </w:t>
            </w:r>
            <w:proofErr w:type="spellStart"/>
            <w:r w:rsidRPr="000F5DA8">
              <w:rPr>
                <w:rFonts w:eastAsia="Times New Roman" w:cs="Times New Roman"/>
                <w:i/>
                <w:iCs/>
                <w:color w:val="000000"/>
                <w:sz w:val="18"/>
                <w:szCs w:val="18"/>
                <w:lang w:eastAsia="lv-LV"/>
              </w:rPr>
              <w:t>euro</w:t>
            </w:r>
            <w:proofErr w:type="spellEnd"/>
          </w:p>
        </w:tc>
        <w:tc>
          <w:tcPr>
            <w:tcW w:w="1134" w:type="dxa"/>
            <w:vAlign w:val="center"/>
          </w:tcPr>
          <w:p w14:paraId="498F998E"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(4)=(2)+(3)</w:t>
            </w:r>
          </w:p>
        </w:tc>
        <w:tc>
          <w:tcPr>
            <w:tcW w:w="963" w:type="dxa"/>
            <w:shd w:val="clear" w:color="auto" w:fill="auto"/>
            <w:noWrap/>
            <w:vAlign w:val="center"/>
          </w:tcPr>
          <w:p w14:paraId="2502ADBC" w14:textId="7777777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p>
        </w:tc>
        <w:tc>
          <w:tcPr>
            <w:tcW w:w="964" w:type="dxa"/>
            <w:shd w:val="clear" w:color="auto" w:fill="auto"/>
            <w:noWrap/>
            <w:vAlign w:val="center"/>
          </w:tcPr>
          <w:p w14:paraId="72CFD445" w14:textId="7D46571E"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18 265</w:t>
            </w:r>
          </w:p>
        </w:tc>
        <w:tc>
          <w:tcPr>
            <w:tcW w:w="964" w:type="dxa"/>
            <w:shd w:val="clear" w:color="auto" w:fill="FFFFFF" w:themeFill="background1"/>
            <w:noWrap/>
            <w:vAlign w:val="center"/>
          </w:tcPr>
          <w:p w14:paraId="2A0F4624" w14:textId="3DA3FEA4"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18 647*</w:t>
            </w:r>
          </w:p>
        </w:tc>
        <w:tc>
          <w:tcPr>
            <w:tcW w:w="964" w:type="dxa"/>
            <w:shd w:val="clear" w:color="auto" w:fill="FFFFFF" w:themeFill="background1"/>
            <w:noWrap/>
            <w:vAlign w:val="center"/>
          </w:tcPr>
          <w:p w14:paraId="27029C49" w14:textId="01D26E89"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19 231</w:t>
            </w:r>
          </w:p>
        </w:tc>
        <w:tc>
          <w:tcPr>
            <w:tcW w:w="964" w:type="dxa"/>
            <w:shd w:val="clear" w:color="auto" w:fill="FFFFFF" w:themeFill="background1"/>
            <w:noWrap/>
            <w:vAlign w:val="center"/>
          </w:tcPr>
          <w:p w14:paraId="2A3261C1" w14:textId="417B6280"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19 775</w:t>
            </w:r>
          </w:p>
        </w:tc>
      </w:tr>
      <w:tr w:rsidR="002E7C6D" w:rsidRPr="002869EC" w14:paraId="14F67CFB" w14:textId="77777777" w:rsidTr="002E7C6D">
        <w:trPr>
          <w:trHeight w:val="20"/>
          <w:jc w:val="center"/>
        </w:trPr>
        <w:tc>
          <w:tcPr>
            <w:tcW w:w="3114" w:type="dxa"/>
            <w:shd w:val="clear" w:color="auto" w:fill="auto"/>
            <w:noWrap/>
            <w:vAlign w:val="center"/>
          </w:tcPr>
          <w:p w14:paraId="00268DE3" w14:textId="2DC3F23B"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V</w:t>
            </w:r>
            <w:r w:rsidR="002E7C6D" w:rsidRPr="000F5DA8">
              <w:rPr>
                <w:rFonts w:eastAsia="Times New Roman" w:cs="Times New Roman"/>
                <w:color w:val="000000"/>
                <w:sz w:val="18"/>
                <w:szCs w:val="18"/>
                <w:lang w:eastAsia="lv-LV"/>
              </w:rPr>
              <w:t xml:space="preserve">ispārējās valdības procentu izdevumi, </w:t>
            </w:r>
          </w:p>
          <w:p w14:paraId="621DE866" w14:textId="77777777" w:rsidR="002E7C6D" w:rsidRPr="000F5DA8" w:rsidRDefault="002E7C6D"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xml:space="preserve">milj. </w:t>
            </w:r>
            <w:proofErr w:type="spellStart"/>
            <w:r w:rsidRPr="000F5DA8">
              <w:rPr>
                <w:rFonts w:eastAsia="Times New Roman" w:cs="Times New Roman"/>
                <w:i/>
                <w:iCs/>
                <w:color w:val="000000"/>
                <w:sz w:val="18"/>
                <w:szCs w:val="18"/>
                <w:lang w:eastAsia="lv-LV"/>
              </w:rPr>
              <w:t>euro</w:t>
            </w:r>
            <w:proofErr w:type="spellEnd"/>
            <w:r w:rsidRPr="000F5DA8">
              <w:rPr>
                <w:rFonts w:eastAsia="Times New Roman" w:cs="Times New Roman"/>
                <w:i/>
                <w:iCs/>
                <w:color w:val="000000"/>
                <w:sz w:val="18"/>
                <w:szCs w:val="18"/>
                <w:lang w:eastAsia="lv-LV"/>
              </w:rPr>
              <w:t xml:space="preserve"> </w:t>
            </w:r>
          </w:p>
        </w:tc>
        <w:tc>
          <w:tcPr>
            <w:tcW w:w="1134" w:type="dxa"/>
            <w:vAlign w:val="center"/>
          </w:tcPr>
          <w:p w14:paraId="30696DF8"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(6)</w:t>
            </w:r>
          </w:p>
        </w:tc>
        <w:tc>
          <w:tcPr>
            <w:tcW w:w="963" w:type="dxa"/>
            <w:shd w:val="clear" w:color="auto" w:fill="auto"/>
            <w:noWrap/>
            <w:vAlign w:val="center"/>
          </w:tcPr>
          <w:p w14:paraId="57AC8DF2" w14:textId="7777777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p>
        </w:tc>
        <w:tc>
          <w:tcPr>
            <w:tcW w:w="964" w:type="dxa"/>
            <w:shd w:val="clear" w:color="auto" w:fill="auto"/>
            <w:noWrap/>
            <w:vAlign w:val="center"/>
          </w:tcPr>
          <w:p w14:paraId="11CE685D" w14:textId="54A54D23"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541</w:t>
            </w:r>
          </w:p>
        </w:tc>
        <w:tc>
          <w:tcPr>
            <w:tcW w:w="964" w:type="dxa"/>
            <w:shd w:val="clear" w:color="auto" w:fill="FFFFFF" w:themeFill="background1"/>
            <w:noWrap/>
            <w:vAlign w:val="center"/>
          </w:tcPr>
          <w:p w14:paraId="36867D65" w14:textId="134621FE"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645</w:t>
            </w:r>
          </w:p>
        </w:tc>
        <w:tc>
          <w:tcPr>
            <w:tcW w:w="964" w:type="dxa"/>
            <w:shd w:val="clear" w:color="auto" w:fill="FFFFFF" w:themeFill="background1"/>
            <w:noWrap/>
            <w:vAlign w:val="center"/>
          </w:tcPr>
          <w:p w14:paraId="60855BB7" w14:textId="0F85DA11"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721</w:t>
            </w:r>
          </w:p>
        </w:tc>
        <w:tc>
          <w:tcPr>
            <w:tcW w:w="964" w:type="dxa"/>
            <w:shd w:val="clear" w:color="auto" w:fill="FFFFFF" w:themeFill="background1"/>
            <w:noWrap/>
            <w:vAlign w:val="center"/>
          </w:tcPr>
          <w:p w14:paraId="771C5504" w14:textId="5E8C1D60"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772</w:t>
            </w:r>
          </w:p>
        </w:tc>
      </w:tr>
      <w:tr w:rsidR="002E7C6D" w:rsidRPr="002869EC" w14:paraId="1A52D5A9" w14:textId="77777777" w:rsidTr="002E7C6D">
        <w:trPr>
          <w:trHeight w:val="20"/>
          <w:jc w:val="center"/>
        </w:trPr>
        <w:tc>
          <w:tcPr>
            <w:tcW w:w="3114" w:type="dxa"/>
            <w:shd w:val="clear" w:color="auto" w:fill="auto"/>
            <w:noWrap/>
            <w:vAlign w:val="center"/>
          </w:tcPr>
          <w:p w14:paraId="4F256CD8" w14:textId="5FE8F8C7"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B</w:t>
            </w:r>
            <w:r w:rsidR="002E7C6D" w:rsidRPr="000F5DA8">
              <w:rPr>
                <w:rFonts w:eastAsia="Times New Roman" w:cs="Times New Roman"/>
                <w:color w:val="000000"/>
                <w:sz w:val="18"/>
                <w:szCs w:val="18"/>
                <w:lang w:eastAsia="lv-LV"/>
              </w:rPr>
              <w:t>ezdarbnieka pabalstu izdevumu ciklisk</w:t>
            </w:r>
            <w:r w:rsidR="00D05EC7">
              <w:rPr>
                <w:rFonts w:eastAsia="Times New Roman" w:cs="Times New Roman"/>
                <w:color w:val="000000"/>
                <w:sz w:val="18"/>
                <w:szCs w:val="18"/>
                <w:lang w:eastAsia="lv-LV"/>
              </w:rPr>
              <w:t>ie</w:t>
            </w:r>
            <w:r w:rsidR="002E7C6D" w:rsidRPr="000F5DA8">
              <w:rPr>
                <w:rFonts w:eastAsia="Times New Roman" w:cs="Times New Roman"/>
                <w:color w:val="000000"/>
                <w:sz w:val="18"/>
                <w:szCs w:val="18"/>
                <w:lang w:eastAsia="lv-LV"/>
              </w:rPr>
              <w:t xml:space="preserve"> elementi, milj. </w:t>
            </w:r>
            <w:proofErr w:type="spellStart"/>
            <w:r w:rsidR="002E7C6D" w:rsidRPr="000F5DA8">
              <w:rPr>
                <w:rFonts w:eastAsia="Times New Roman" w:cs="Times New Roman"/>
                <w:i/>
                <w:iCs/>
                <w:color w:val="000000"/>
                <w:sz w:val="18"/>
                <w:szCs w:val="18"/>
                <w:lang w:eastAsia="lv-LV"/>
              </w:rPr>
              <w:t>euro</w:t>
            </w:r>
            <w:proofErr w:type="spellEnd"/>
          </w:p>
        </w:tc>
        <w:tc>
          <w:tcPr>
            <w:tcW w:w="1134" w:type="dxa"/>
            <w:vAlign w:val="center"/>
          </w:tcPr>
          <w:p w14:paraId="69CD7521"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(7)</w:t>
            </w:r>
          </w:p>
        </w:tc>
        <w:tc>
          <w:tcPr>
            <w:tcW w:w="963" w:type="dxa"/>
            <w:shd w:val="clear" w:color="auto" w:fill="auto"/>
            <w:noWrap/>
            <w:vAlign w:val="center"/>
          </w:tcPr>
          <w:p w14:paraId="0A136AF4" w14:textId="7777777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p>
        </w:tc>
        <w:tc>
          <w:tcPr>
            <w:tcW w:w="964" w:type="dxa"/>
            <w:shd w:val="clear" w:color="auto" w:fill="auto"/>
            <w:noWrap/>
            <w:vAlign w:val="center"/>
          </w:tcPr>
          <w:p w14:paraId="25FABEB3" w14:textId="53F2BA84"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8</w:t>
            </w:r>
          </w:p>
        </w:tc>
        <w:tc>
          <w:tcPr>
            <w:tcW w:w="964" w:type="dxa"/>
            <w:shd w:val="clear" w:color="auto" w:fill="FFFFFF" w:themeFill="background1"/>
            <w:noWrap/>
            <w:vAlign w:val="center"/>
          </w:tcPr>
          <w:p w14:paraId="1F72AB60" w14:textId="325B92B4"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6</w:t>
            </w:r>
          </w:p>
        </w:tc>
        <w:tc>
          <w:tcPr>
            <w:tcW w:w="964" w:type="dxa"/>
            <w:shd w:val="clear" w:color="auto" w:fill="FFFFFF" w:themeFill="background1"/>
            <w:noWrap/>
            <w:vAlign w:val="center"/>
          </w:tcPr>
          <w:p w14:paraId="0D254D42" w14:textId="705EC25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-6</w:t>
            </w:r>
          </w:p>
        </w:tc>
        <w:tc>
          <w:tcPr>
            <w:tcW w:w="964" w:type="dxa"/>
            <w:shd w:val="clear" w:color="auto" w:fill="FFFFFF" w:themeFill="background1"/>
            <w:noWrap/>
            <w:vAlign w:val="center"/>
          </w:tcPr>
          <w:p w14:paraId="6B11861C" w14:textId="3EEDAA11"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-25</w:t>
            </w:r>
          </w:p>
        </w:tc>
      </w:tr>
      <w:tr w:rsidR="002E7C6D" w:rsidRPr="002869EC" w14:paraId="6E097369" w14:textId="77777777" w:rsidTr="002E7C6D">
        <w:trPr>
          <w:trHeight w:val="20"/>
          <w:jc w:val="center"/>
        </w:trPr>
        <w:tc>
          <w:tcPr>
            <w:tcW w:w="3114" w:type="dxa"/>
            <w:shd w:val="clear" w:color="auto" w:fill="auto"/>
            <w:noWrap/>
            <w:vAlign w:val="center"/>
          </w:tcPr>
          <w:p w14:paraId="76DB870A" w14:textId="651578C2"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I</w:t>
            </w:r>
            <w:r w:rsidR="002E7C6D" w:rsidRPr="000F5DA8">
              <w:rPr>
                <w:rFonts w:eastAsia="Times New Roman" w:cs="Times New Roman"/>
                <w:color w:val="000000"/>
                <w:sz w:val="18"/>
                <w:szCs w:val="18"/>
                <w:lang w:eastAsia="lv-LV"/>
              </w:rPr>
              <w:t xml:space="preserve">zdevumi par ES programmām, kas pilnībā atbilst ES fondu ieņēmumiem, milj. </w:t>
            </w:r>
            <w:proofErr w:type="spellStart"/>
            <w:r w:rsidR="002E7C6D" w:rsidRPr="000F5DA8">
              <w:rPr>
                <w:rFonts w:eastAsia="Times New Roman" w:cs="Times New Roman"/>
                <w:i/>
                <w:iCs/>
                <w:color w:val="000000"/>
                <w:sz w:val="18"/>
                <w:szCs w:val="18"/>
                <w:lang w:eastAsia="lv-LV"/>
              </w:rPr>
              <w:t>euro</w:t>
            </w:r>
            <w:proofErr w:type="spellEnd"/>
          </w:p>
        </w:tc>
        <w:tc>
          <w:tcPr>
            <w:tcW w:w="1134" w:type="dxa"/>
            <w:vAlign w:val="center"/>
          </w:tcPr>
          <w:p w14:paraId="5ED871E2"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(8)</w:t>
            </w:r>
          </w:p>
        </w:tc>
        <w:tc>
          <w:tcPr>
            <w:tcW w:w="963" w:type="dxa"/>
            <w:shd w:val="clear" w:color="auto" w:fill="auto"/>
            <w:noWrap/>
            <w:vAlign w:val="center"/>
          </w:tcPr>
          <w:p w14:paraId="3095D0A1" w14:textId="7777777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p>
        </w:tc>
        <w:tc>
          <w:tcPr>
            <w:tcW w:w="964" w:type="dxa"/>
            <w:shd w:val="clear" w:color="auto" w:fill="auto"/>
            <w:noWrap/>
            <w:vAlign w:val="center"/>
          </w:tcPr>
          <w:p w14:paraId="7E718F0B" w14:textId="6D9B367C"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970</w:t>
            </w:r>
          </w:p>
        </w:tc>
        <w:tc>
          <w:tcPr>
            <w:tcW w:w="964" w:type="dxa"/>
            <w:shd w:val="clear" w:color="auto" w:fill="FFFFFF" w:themeFill="background1"/>
            <w:noWrap/>
            <w:vAlign w:val="center"/>
          </w:tcPr>
          <w:p w14:paraId="6589A20A" w14:textId="1426FE7C"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884</w:t>
            </w:r>
          </w:p>
        </w:tc>
        <w:tc>
          <w:tcPr>
            <w:tcW w:w="964" w:type="dxa"/>
            <w:shd w:val="clear" w:color="auto" w:fill="FFFFFF" w:themeFill="background1"/>
            <w:noWrap/>
            <w:vAlign w:val="center"/>
          </w:tcPr>
          <w:p w14:paraId="6C1A3C03" w14:textId="397C6EE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623</w:t>
            </w:r>
          </w:p>
        </w:tc>
        <w:tc>
          <w:tcPr>
            <w:tcW w:w="964" w:type="dxa"/>
            <w:shd w:val="clear" w:color="auto" w:fill="FFFFFF" w:themeFill="background1"/>
            <w:noWrap/>
            <w:vAlign w:val="center"/>
          </w:tcPr>
          <w:p w14:paraId="457D2BE3" w14:textId="17EC494F"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494</w:t>
            </w:r>
          </w:p>
        </w:tc>
      </w:tr>
      <w:tr w:rsidR="002E7C6D" w:rsidRPr="002869EC" w14:paraId="5483A874" w14:textId="77777777" w:rsidTr="002E7C6D">
        <w:trPr>
          <w:trHeight w:val="20"/>
          <w:jc w:val="center"/>
        </w:trPr>
        <w:tc>
          <w:tcPr>
            <w:tcW w:w="3114" w:type="dxa"/>
            <w:shd w:val="clear" w:color="auto" w:fill="auto"/>
            <w:noWrap/>
            <w:vAlign w:val="center"/>
          </w:tcPr>
          <w:p w14:paraId="7B9D7C13" w14:textId="7452CC20"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V</w:t>
            </w:r>
            <w:r w:rsidR="002E7C6D" w:rsidRPr="000F5DA8">
              <w:rPr>
                <w:rFonts w:eastAsia="Times New Roman" w:cs="Times New Roman"/>
                <w:color w:val="000000"/>
                <w:sz w:val="18"/>
                <w:szCs w:val="18"/>
                <w:lang w:eastAsia="lv-LV"/>
              </w:rPr>
              <w:t xml:space="preserve">alsts izdevumi par ES finansēto programmu līdzfinansēšanu, milj. </w:t>
            </w:r>
            <w:proofErr w:type="spellStart"/>
            <w:r w:rsidR="002E7C6D" w:rsidRPr="000F5DA8">
              <w:rPr>
                <w:rFonts w:eastAsia="Times New Roman" w:cs="Times New Roman"/>
                <w:i/>
                <w:iCs/>
                <w:color w:val="000000"/>
                <w:sz w:val="18"/>
                <w:szCs w:val="18"/>
                <w:lang w:eastAsia="lv-LV"/>
              </w:rPr>
              <w:t>euro</w:t>
            </w:r>
            <w:proofErr w:type="spellEnd"/>
          </w:p>
        </w:tc>
        <w:tc>
          <w:tcPr>
            <w:tcW w:w="1134" w:type="dxa"/>
            <w:vAlign w:val="center"/>
          </w:tcPr>
          <w:p w14:paraId="63ADEBB2"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(9)</w:t>
            </w:r>
          </w:p>
        </w:tc>
        <w:tc>
          <w:tcPr>
            <w:tcW w:w="963" w:type="dxa"/>
            <w:shd w:val="clear" w:color="auto" w:fill="auto"/>
            <w:noWrap/>
            <w:vAlign w:val="center"/>
          </w:tcPr>
          <w:p w14:paraId="2238032D" w14:textId="7777777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p>
        </w:tc>
        <w:tc>
          <w:tcPr>
            <w:tcW w:w="964" w:type="dxa"/>
            <w:shd w:val="clear" w:color="auto" w:fill="auto"/>
            <w:noWrap/>
            <w:vAlign w:val="center"/>
          </w:tcPr>
          <w:p w14:paraId="59DEA452" w14:textId="49627D54"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193</w:t>
            </w:r>
          </w:p>
        </w:tc>
        <w:tc>
          <w:tcPr>
            <w:tcW w:w="964" w:type="dxa"/>
            <w:shd w:val="clear" w:color="auto" w:fill="FFFFFF" w:themeFill="background1"/>
            <w:noWrap/>
            <w:vAlign w:val="center"/>
          </w:tcPr>
          <w:p w14:paraId="4D52C8DC" w14:textId="53167866"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156</w:t>
            </w:r>
          </w:p>
        </w:tc>
        <w:tc>
          <w:tcPr>
            <w:tcW w:w="964" w:type="dxa"/>
            <w:shd w:val="clear" w:color="auto" w:fill="FFFFFF" w:themeFill="background1"/>
            <w:noWrap/>
            <w:vAlign w:val="center"/>
          </w:tcPr>
          <w:p w14:paraId="7BF08F69" w14:textId="00198D8D"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132</w:t>
            </w:r>
          </w:p>
        </w:tc>
        <w:tc>
          <w:tcPr>
            <w:tcW w:w="964" w:type="dxa"/>
            <w:shd w:val="clear" w:color="auto" w:fill="FFFFFF" w:themeFill="background1"/>
            <w:noWrap/>
            <w:vAlign w:val="center"/>
          </w:tcPr>
          <w:p w14:paraId="56BABA23" w14:textId="21FB07B8"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108</w:t>
            </w:r>
          </w:p>
        </w:tc>
      </w:tr>
      <w:tr w:rsidR="002E7C6D" w:rsidRPr="002869EC" w14:paraId="7FF5B563" w14:textId="77777777" w:rsidTr="002E7C6D">
        <w:trPr>
          <w:trHeight w:val="20"/>
          <w:jc w:val="center"/>
        </w:trPr>
        <w:tc>
          <w:tcPr>
            <w:tcW w:w="3114" w:type="dxa"/>
            <w:shd w:val="clear" w:color="auto" w:fill="auto"/>
            <w:noWrap/>
            <w:vAlign w:val="center"/>
          </w:tcPr>
          <w:p w14:paraId="59E25EE1" w14:textId="3DF646AD"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V</w:t>
            </w:r>
            <w:r w:rsidR="002E7C6D" w:rsidRPr="000F5DA8">
              <w:rPr>
                <w:rFonts w:eastAsia="Times New Roman" w:cs="Times New Roman"/>
                <w:color w:val="000000"/>
                <w:sz w:val="18"/>
                <w:szCs w:val="18"/>
                <w:lang w:eastAsia="lv-LV"/>
              </w:rPr>
              <w:t xml:space="preserve">ispārējās valdības kopējie izdevumi, milj. </w:t>
            </w:r>
            <w:proofErr w:type="spellStart"/>
            <w:r w:rsidR="002E7C6D" w:rsidRPr="000F5DA8">
              <w:rPr>
                <w:rFonts w:eastAsia="Times New Roman" w:cs="Times New Roman"/>
                <w:i/>
                <w:iCs/>
                <w:color w:val="000000"/>
                <w:sz w:val="18"/>
                <w:szCs w:val="18"/>
                <w:lang w:eastAsia="lv-LV"/>
              </w:rPr>
              <w:t>euro</w:t>
            </w:r>
            <w:proofErr w:type="spellEnd"/>
          </w:p>
        </w:tc>
        <w:tc>
          <w:tcPr>
            <w:tcW w:w="1134" w:type="dxa"/>
            <w:vAlign w:val="center"/>
          </w:tcPr>
          <w:p w14:paraId="5C5EB76D"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(10)=(4)+(6)+(7)+(8)+(9)</w:t>
            </w:r>
          </w:p>
        </w:tc>
        <w:tc>
          <w:tcPr>
            <w:tcW w:w="963" w:type="dxa"/>
            <w:shd w:val="clear" w:color="auto" w:fill="auto"/>
            <w:noWrap/>
            <w:vAlign w:val="center"/>
          </w:tcPr>
          <w:p w14:paraId="38AFBAB2" w14:textId="77777777" w:rsidR="002E7C6D" w:rsidRPr="000F5DA8" w:rsidRDefault="002E7C6D" w:rsidP="006357B3">
            <w:pPr>
              <w:spacing w:before="60" w:line="240" w:lineRule="auto"/>
              <w:ind w:firstLine="0"/>
              <w:jc w:val="center"/>
              <w:rPr>
                <w:rFonts w:eastAsia="Times New Roman" w:cs="Times New Roman"/>
                <w:color w:val="000000"/>
                <w:sz w:val="18"/>
                <w:szCs w:val="18"/>
                <w:highlight w:val="yellow"/>
                <w:lang w:eastAsia="lv-LV"/>
              </w:rPr>
            </w:pPr>
          </w:p>
        </w:tc>
        <w:tc>
          <w:tcPr>
            <w:tcW w:w="964" w:type="dxa"/>
            <w:shd w:val="clear" w:color="auto" w:fill="auto"/>
            <w:noWrap/>
            <w:vAlign w:val="center"/>
          </w:tcPr>
          <w:p w14:paraId="489A204C" w14:textId="273F39A5"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19 978</w:t>
            </w:r>
          </w:p>
        </w:tc>
        <w:tc>
          <w:tcPr>
            <w:tcW w:w="964" w:type="dxa"/>
            <w:shd w:val="clear" w:color="auto" w:fill="FFFFFF" w:themeFill="background1"/>
            <w:noWrap/>
            <w:vAlign w:val="center"/>
          </w:tcPr>
          <w:p w14:paraId="5BD5D115" w14:textId="0D09189D"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20 338</w:t>
            </w:r>
          </w:p>
        </w:tc>
        <w:tc>
          <w:tcPr>
            <w:tcW w:w="964" w:type="dxa"/>
            <w:shd w:val="clear" w:color="auto" w:fill="FFFFFF" w:themeFill="background1"/>
            <w:noWrap/>
            <w:vAlign w:val="center"/>
          </w:tcPr>
          <w:p w14:paraId="34C30BCA" w14:textId="31852B7D"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20 701</w:t>
            </w:r>
          </w:p>
        </w:tc>
        <w:tc>
          <w:tcPr>
            <w:tcW w:w="964" w:type="dxa"/>
            <w:shd w:val="clear" w:color="auto" w:fill="FFFFFF" w:themeFill="background1"/>
            <w:noWrap/>
            <w:vAlign w:val="center"/>
          </w:tcPr>
          <w:p w14:paraId="39A81335" w14:textId="6BDBD9DA"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21 124</w:t>
            </w:r>
          </w:p>
        </w:tc>
      </w:tr>
      <w:tr w:rsidR="002E7C6D" w:rsidRPr="002869EC" w14:paraId="3F012BF7" w14:textId="77777777" w:rsidTr="002E7C6D">
        <w:trPr>
          <w:trHeight w:val="20"/>
          <w:jc w:val="center"/>
        </w:trPr>
        <w:tc>
          <w:tcPr>
            <w:tcW w:w="3114" w:type="dxa"/>
            <w:shd w:val="clear" w:color="auto" w:fill="auto"/>
            <w:noWrap/>
            <w:vAlign w:val="center"/>
          </w:tcPr>
          <w:p w14:paraId="103C8EB4" w14:textId="6D1EE4ED"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V</w:t>
            </w:r>
            <w:r w:rsidR="002E7C6D" w:rsidRPr="000F5DA8">
              <w:rPr>
                <w:rFonts w:eastAsia="Times New Roman" w:cs="Times New Roman"/>
                <w:color w:val="000000"/>
                <w:sz w:val="18"/>
                <w:szCs w:val="18"/>
                <w:lang w:eastAsia="lv-LV"/>
              </w:rPr>
              <w:t xml:space="preserve">ispārējās valdības kopējie ieņēmumi, milj. </w:t>
            </w:r>
            <w:proofErr w:type="spellStart"/>
            <w:r w:rsidR="002E7C6D" w:rsidRPr="000F5DA8">
              <w:rPr>
                <w:rFonts w:eastAsia="Times New Roman" w:cs="Times New Roman"/>
                <w:i/>
                <w:iCs/>
                <w:color w:val="000000"/>
                <w:sz w:val="18"/>
                <w:szCs w:val="18"/>
                <w:lang w:eastAsia="lv-LV"/>
              </w:rPr>
              <w:t>euro</w:t>
            </w:r>
            <w:proofErr w:type="spellEnd"/>
          </w:p>
        </w:tc>
        <w:tc>
          <w:tcPr>
            <w:tcW w:w="1134" w:type="dxa"/>
            <w:vAlign w:val="center"/>
          </w:tcPr>
          <w:p w14:paraId="7E3B4D0E"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(11)</w:t>
            </w:r>
          </w:p>
        </w:tc>
        <w:tc>
          <w:tcPr>
            <w:tcW w:w="963" w:type="dxa"/>
            <w:shd w:val="clear" w:color="auto" w:fill="auto"/>
            <w:noWrap/>
            <w:vAlign w:val="center"/>
          </w:tcPr>
          <w:p w14:paraId="4407FEBB" w14:textId="77777777" w:rsidR="002E7C6D" w:rsidRPr="000F5DA8" w:rsidRDefault="002E7C6D" w:rsidP="006357B3">
            <w:pPr>
              <w:spacing w:before="60" w:line="240" w:lineRule="auto"/>
              <w:ind w:firstLine="0"/>
              <w:jc w:val="center"/>
              <w:rPr>
                <w:rFonts w:eastAsia="Times New Roman" w:cs="Times New Roman"/>
                <w:color w:val="000000"/>
                <w:sz w:val="18"/>
                <w:szCs w:val="18"/>
                <w:highlight w:val="yellow"/>
                <w:lang w:eastAsia="lv-LV"/>
              </w:rPr>
            </w:pPr>
          </w:p>
        </w:tc>
        <w:tc>
          <w:tcPr>
            <w:tcW w:w="964" w:type="dxa"/>
            <w:shd w:val="clear" w:color="auto" w:fill="auto"/>
            <w:noWrap/>
            <w:vAlign w:val="center"/>
          </w:tcPr>
          <w:p w14:paraId="01C43476" w14:textId="265AECA6"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18 428</w:t>
            </w:r>
          </w:p>
        </w:tc>
        <w:tc>
          <w:tcPr>
            <w:tcW w:w="964" w:type="dxa"/>
            <w:shd w:val="clear" w:color="auto" w:fill="FFFFFF" w:themeFill="background1"/>
            <w:noWrap/>
            <w:vAlign w:val="center"/>
          </w:tcPr>
          <w:p w14:paraId="5F1D5541" w14:textId="62FC7B5F"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19 050</w:t>
            </w:r>
          </w:p>
        </w:tc>
        <w:tc>
          <w:tcPr>
            <w:tcW w:w="964" w:type="dxa"/>
            <w:shd w:val="clear" w:color="auto" w:fill="FFFFFF" w:themeFill="background1"/>
            <w:noWrap/>
            <w:vAlign w:val="center"/>
          </w:tcPr>
          <w:p w14:paraId="035C75E9" w14:textId="5E6BD1EA"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19 451</w:t>
            </w:r>
          </w:p>
        </w:tc>
        <w:tc>
          <w:tcPr>
            <w:tcW w:w="964" w:type="dxa"/>
            <w:shd w:val="clear" w:color="auto" w:fill="FFFFFF" w:themeFill="background1"/>
            <w:noWrap/>
            <w:vAlign w:val="center"/>
          </w:tcPr>
          <w:p w14:paraId="0D242737" w14:textId="47F6FB72"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19 969</w:t>
            </w:r>
          </w:p>
        </w:tc>
      </w:tr>
      <w:tr w:rsidR="002E7C6D" w:rsidRPr="002869EC" w14:paraId="408B3228" w14:textId="77777777" w:rsidTr="002E7C6D">
        <w:trPr>
          <w:trHeight w:val="20"/>
          <w:jc w:val="center"/>
        </w:trPr>
        <w:tc>
          <w:tcPr>
            <w:tcW w:w="3114" w:type="dxa"/>
            <w:shd w:val="clear" w:color="auto" w:fill="auto"/>
            <w:noWrap/>
            <w:vAlign w:val="center"/>
          </w:tcPr>
          <w:p w14:paraId="2B008B68" w14:textId="41E62D58"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V</w:t>
            </w:r>
            <w:r w:rsidR="002E7C6D" w:rsidRPr="000F5DA8">
              <w:rPr>
                <w:rFonts w:eastAsia="Times New Roman" w:cs="Times New Roman"/>
                <w:color w:val="000000"/>
                <w:sz w:val="18"/>
                <w:szCs w:val="18"/>
                <w:lang w:eastAsia="lv-LV"/>
              </w:rPr>
              <w:t xml:space="preserve">ispārējās valdības budžeta bilance, milj. </w:t>
            </w:r>
            <w:proofErr w:type="spellStart"/>
            <w:r w:rsidR="002E7C6D" w:rsidRPr="000F5DA8">
              <w:rPr>
                <w:rFonts w:eastAsia="Times New Roman" w:cs="Times New Roman"/>
                <w:i/>
                <w:iCs/>
                <w:color w:val="000000"/>
                <w:sz w:val="18"/>
                <w:szCs w:val="18"/>
                <w:lang w:eastAsia="lv-LV"/>
              </w:rPr>
              <w:t>euro</w:t>
            </w:r>
            <w:proofErr w:type="spellEnd"/>
          </w:p>
        </w:tc>
        <w:tc>
          <w:tcPr>
            <w:tcW w:w="1134" w:type="dxa"/>
            <w:vAlign w:val="center"/>
          </w:tcPr>
          <w:p w14:paraId="4EF0E51B"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(12)=(11)-(10)</w:t>
            </w:r>
          </w:p>
        </w:tc>
        <w:tc>
          <w:tcPr>
            <w:tcW w:w="963" w:type="dxa"/>
            <w:shd w:val="clear" w:color="auto" w:fill="auto"/>
            <w:noWrap/>
            <w:vAlign w:val="center"/>
          </w:tcPr>
          <w:p w14:paraId="0A920BDD" w14:textId="77777777" w:rsidR="002E7C6D" w:rsidRPr="000F5DA8" w:rsidRDefault="002E7C6D" w:rsidP="006357B3">
            <w:pPr>
              <w:spacing w:before="60" w:line="240" w:lineRule="auto"/>
              <w:ind w:firstLine="0"/>
              <w:jc w:val="center"/>
              <w:rPr>
                <w:rFonts w:eastAsia="Times New Roman" w:cs="Times New Roman"/>
                <w:color w:val="000000"/>
                <w:sz w:val="18"/>
                <w:szCs w:val="18"/>
                <w:highlight w:val="yellow"/>
                <w:lang w:eastAsia="lv-LV"/>
              </w:rPr>
            </w:pPr>
          </w:p>
        </w:tc>
        <w:tc>
          <w:tcPr>
            <w:tcW w:w="964" w:type="dxa"/>
            <w:shd w:val="clear" w:color="auto" w:fill="auto"/>
            <w:noWrap/>
            <w:vAlign w:val="center"/>
          </w:tcPr>
          <w:p w14:paraId="1FDDC29A" w14:textId="0428EF99"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-1 549,9</w:t>
            </w:r>
          </w:p>
        </w:tc>
        <w:tc>
          <w:tcPr>
            <w:tcW w:w="964" w:type="dxa"/>
            <w:shd w:val="clear" w:color="auto" w:fill="FFFFFF" w:themeFill="background1"/>
            <w:noWrap/>
            <w:vAlign w:val="center"/>
          </w:tcPr>
          <w:p w14:paraId="197F52F5" w14:textId="0FFE63CB"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-1 287,6</w:t>
            </w:r>
          </w:p>
        </w:tc>
        <w:tc>
          <w:tcPr>
            <w:tcW w:w="964" w:type="dxa"/>
            <w:shd w:val="clear" w:color="auto" w:fill="FFFFFF" w:themeFill="background1"/>
            <w:noWrap/>
            <w:vAlign w:val="center"/>
          </w:tcPr>
          <w:p w14:paraId="449E3FA5" w14:textId="1E963311"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-1 249,5</w:t>
            </w:r>
          </w:p>
        </w:tc>
        <w:tc>
          <w:tcPr>
            <w:tcW w:w="964" w:type="dxa"/>
            <w:shd w:val="clear" w:color="auto" w:fill="FFFFFF" w:themeFill="background1"/>
            <w:noWrap/>
            <w:vAlign w:val="center"/>
          </w:tcPr>
          <w:p w14:paraId="05FC7117" w14:textId="2987705B"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-1 155,2</w:t>
            </w:r>
          </w:p>
        </w:tc>
      </w:tr>
      <w:tr w:rsidR="002E7C6D" w:rsidRPr="002869EC" w14:paraId="1AE61771" w14:textId="77777777" w:rsidTr="002E7C6D">
        <w:trPr>
          <w:trHeight w:val="20"/>
          <w:jc w:val="center"/>
        </w:trPr>
        <w:tc>
          <w:tcPr>
            <w:tcW w:w="3114" w:type="dxa"/>
            <w:shd w:val="clear" w:color="auto" w:fill="auto"/>
            <w:noWrap/>
            <w:vAlign w:val="center"/>
          </w:tcPr>
          <w:p w14:paraId="37100837" w14:textId="77777777" w:rsidR="002E7C6D" w:rsidRPr="000F5DA8" w:rsidRDefault="002E7C6D" w:rsidP="006357B3">
            <w:pPr>
              <w:spacing w:before="60" w:line="240" w:lineRule="auto"/>
              <w:ind w:firstLine="0"/>
              <w:jc w:val="left"/>
              <w:rPr>
                <w:rFonts w:eastAsia="Times New Roman" w:cs="Times New Roman"/>
                <w:color w:val="000000"/>
                <w:sz w:val="18"/>
                <w:szCs w:val="18"/>
                <w:lang w:eastAsia="lv-LV"/>
              </w:rPr>
            </w:pPr>
            <w:r w:rsidRPr="000F5DA8">
              <w:rPr>
                <w:rFonts w:eastAsia="Times New Roman" w:cs="Times New Roman"/>
                <w:color w:val="000000"/>
                <w:sz w:val="18"/>
                <w:szCs w:val="18"/>
                <w:lang w:eastAsia="lv-LV"/>
              </w:rPr>
              <w:t xml:space="preserve">IKP prognoze, milj. </w:t>
            </w:r>
            <w:proofErr w:type="spellStart"/>
            <w:r w:rsidRPr="000F5DA8">
              <w:rPr>
                <w:rFonts w:eastAsia="Times New Roman" w:cs="Times New Roman"/>
                <w:i/>
                <w:iCs/>
                <w:color w:val="000000"/>
                <w:sz w:val="18"/>
                <w:szCs w:val="18"/>
                <w:lang w:eastAsia="lv-LV"/>
              </w:rPr>
              <w:t>euro</w:t>
            </w:r>
            <w:proofErr w:type="spellEnd"/>
          </w:p>
        </w:tc>
        <w:tc>
          <w:tcPr>
            <w:tcW w:w="1134" w:type="dxa"/>
            <w:vAlign w:val="center"/>
          </w:tcPr>
          <w:p w14:paraId="7D17FE18"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(13)</w:t>
            </w:r>
          </w:p>
        </w:tc>
        <w:tc>
          <w:tcPr>
            <w:tcW w:w="963" w:type="dxa"/>
            <w:shd w:val="clear" w:color="auto" w:fill="auto"/>
            <w:noWrap/>
            <w:vAlign w:val="center"/>
          </w:tcPr>
          <w:p w14:paraId="1C7BCFF0" w14:textId="77777777" w:rsidR="002E7C6D" w:rsidRPr="000F5DA8" w:rsidRDefault="002E7C6D" w:rsidP="006357B3">
            <w:pPr>
              <w:spacing w:before="60" w:line="240" w:lineRule="auto"/>
              <w:ind w:firstLine="0"/>
              <w:jc w:val="center"/>
              <w:rPr>
                <w:rFonts w:eastAsia="Times New Roman" w:cs="Times New Roman"/>
                <w:color w:val="000000"/>
                <w:sz w:val="18"/>
                <w:szCs w:val="18"/>
                <w:highlight w:val="yellow"/>
                <w:lang w:eastAsia="lv-LV"/>
              </w:rPr>
            </w:pPr>
          </w:p>
        </w:tc>
        <w:tc>
          <w:tcPr>
            <w:tcW w:w="964" w:type="dxa"/>
            <w:shd w:val="clear" w:color="auto" w:fill="auto"/>
            <w:noWrap/>
            <w:vAlign w:val="center"/>
          </w:tcPr>
          <w:p w14:paraId="54E4EF58" w14:textId="09AAEE57"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44 379</w:t>
            </w:r>
          </w:p>
        </w:tc>
        <w:tc>
          <w:tcPr>
            <w:tcW w:w="964" w:type="dxa"/>
            <w:shd w:val="clear" w:color="auto" w:fill="FFFFFF" w:themeFill="background1"/>
            <w:noWrap/>
            <w:vAlign w:val="center"/>
          </w:tcPr>
          <w:p w14:paraId="6DBEF5E8" w14:textId="1F2EEC24"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46 836</w:t>
            </w:r>
          </w:p>
        </w:tc>
        <w:tc>
          <w:tcPr>
            <w:tcW w:w="964" w:type="dxa"/>
            <w:shd w:val="clear" w:color="auto" w:fill="FFFFFF" w:themeFill="background1"/>
            <w:noWrap/>
            <w:vAlign w:val="center"/>
          </w:tcPr>
          <w:p w14:paraId="51ECB78C" w14:textId="5720FD2F"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49 349</w:t>
            </w:r>
          </w:p>
        </w:tc>
        <w:tc>
          <w:tcPr>
            <w:tcW w:w="964" w:type="dxa"/>
            <w:shd w:val="clear" w:color="auto" w:fill="FFFFFF" w:themeFill="background1"/>
            <w:noWrap/>
            <w:vAlign w:val="center"/>
          </w:tcPr>
          <w:p w14:paraId="014A4FDA" w14:textId="6DF104A8"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51 851</w:t>
            </w:r>
          </w:p>
        </w:tc>
      </w:tr>
      <w:tr w:rsidR="002E7C6D" w:rsidRPr="002869EC" w14:paraId="2C3A0392" w14:textId="77777777" w:rsidTr="002E7C6D">
        <w:trPr>
          <w:trHeight w:val="20"/>
          <w:jc w:val="center"/>
        </w:trPr>
        <w:tc>
          <w:tcPr>
            <w:tcW w:w="3114" w:type="dxa"/>
            <w:shd w:val="clear" w:color="auto" w:fill="auto"/>
            <w:noWrap/>
            <w:vAlign w:val="center"/>
          </w:tcPr>
          <w:p w14:paraId="081E1B34" w14:textId="11CC86A8"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t>V</w:t>
            </w:r>
            <w:r w:rsidR="002E7C6D" w:rsidRPr="000F5DA8">
              <w:rPr>
                <w:rFonts w:eastAsia="Times New Roman" w:cs="Times New Roman"/>
                <w:color w:val="000000"/>
                <w:sz w:val="18"/>
                <w:szCs w:val="18"/>
                <w:lang w:eastAsia="lv-LV"/>
              </w:rPr>
              <w:t>ispārējās valdības budžeta bilance, % no IKP</w:t>
            </w:r>
          </w:p>
        </w:tc>
        <w:tc>
          <w:tcPr>
            <w:tcW w:w="1134" w:type="dxa"/>
            <w:vAlign w:val="center"/>
          </w:tcPr>
          <w:p w14:paraId="06064E02"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(14)=(12)/(13)*100</w:t>
            </w:r>
          </w:p>
        </w:tc>
        <w:tc>
          <w:tcPr>
            <w:tcW w:w="963" w:type="dxa"/>
            <w:shd w:val="clear" w:color="auto" w:fill="auto"/>
            <w:noWrap/>
            <w:vAlign w:val="center"/>
          </w:tcPr>
          <w:p w14:paraId="3AEB4FB9" w14:textId="77777777" w:rsidR="002E7C6D" w:rsidRPr="000F5DA8" w:rsidRDefault="002E7C6D" w:rsidP="006357B3">
            <w:pPr>
              <w:spacing w:before="60" w:line="240" w:lineRule="auto"/>
              <w:ind w:firstLine="0"/>
              <w:jc w:val="center"/>
              <w:rPr>
                <w:rFonts w:eastAsia="Times New Roman" w:cs="Times New Roman"/>
                <w:color w:val="000000"/>
                <w:sz w:val="18"/>
                <w:szCs w:val="18"/>
                <w:highlight w:val="yellow"/>
                <w:lang w:eastAsia="lv-LV"/>
              </w:rPr>
            </w:pPr>
          </w:p>
        </w:tc>
        <w:tc>
          <w:tcPr>
            <w:tcW w:w="964" w:type="dxa"/>
            <w:shd w:val="clear" w:color="auto" w:fill="auto"/>
            <w:noWrap/>
            <w:vAlign w:val="center"/>
          </w:tcPr>
          <w:p w14:paraId="705E35BF" w14:textId="600ED556"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-3,492</w:t>
            </w:r>
          </w:p>
        </w:tc>
        <w:tc>
          <w:tcPr>
            <w:tcW w:w="964" w:type="dxa"/>
            <w:shd w:val="clear" w:color="auto" w:fill="FFFFFF" w:themeFill="background1"/>
            <w:noWrap/>
            <w:vAlign w:val="center"/>
          </w:tcPr>
          <w:p w14:paraId="6940D81F" w14:textId="12185DE1"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-2,749</w:t>
            </w:r>
          </w:p>
        </w:tc>
        <w:tc>
          <w:tcPr>
            <w:tcW w:w="964" w:type="dxa"/>
            <w:shd w:val="clear" w:color="auto" w:fill="FFFFFF" w:themeFill="background1"/>
            <w:noWrap/>
            <w:vAlign w:val="center"/>
          </w:tcPr>
          <w:p w14:paraId="77B0014A" w14:textId="72F45B48"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-2,532</w:t>
            </w:r>
          </w:p>
        </w:tc>
        <w:tc>
          <w:tcPr>
            <w:tcW w:w="964" w:type="dxa"/>
            <w:shd w:val="clear" w:color="auto" w:fill="FFFFFF" w:themeFill="background1"/>
            <w:noWrap/>
            <w:vAlign w:val="center"/>
          </w:tcPr>
          <w:p w14:paraId="362E6088" w14:textId="04E5BCDD"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-2,228</w:t>
            </w:r>
          </w:p>
        </w:tc>
      </w:tr>
      <w:tr w:rsidR="002E7C6D" w:rsidRPr="002869EC" w14:paraId="501AB722" w14:textId="77777777" w:rsidTr="002E7C6D">
        <w:trPr>
          <w:trHeight w:val="20"/>
          <w:jc w:val="center"/>
        </w:trPr>
        <w:tc>
          <w:tcPr>
            <w:tcW w:w="3114" w:type="dxa"/>
            <w:shd w:val="clear" w:color="auto" w:fill="auto"/>
            <w:noWrap/>
            <w:vAlign w:val="center"/>
          </w:tcPr>
          <w:p w14:paraId="48A7BA6D" w14:textId="79F8F81E" w:rsidR="002E7C6D" w:rsidRPr="000F5DA8" w:rsidRDefault="00BC0A7E" w:rsidP="006357B3">
            <w:pPr>
              <w:spacing w:before="60" w:line="240" w:lineRule="auto"/>
              <w:ind w:firstLine="0"/>
              <w:jc w:val="left"/>
              <w:rPr>
                <w:rFonts w:eastAsia="Times New Roman" w:cs="Times New Roman"/>
                <w:color w:val="000000"/>
                <w:sz w:val="18"/>
                <w:szCs w:val="18"/>
                <w:lang w:eastAsia="lv-LV"/>
              </w:rPr>
            </w:pPr>
            <w:r>
              <w:rPr>
                <w:rFonts w:eastAsia="Times New Roman" w:cs="Times New Roman"/>
                <w:color w:val="000000"/>
                <w:sz w:val="18"/>
                <w:szCs w:val="18"/>
                <w:lang w:eastAsia="lv-LV"/>
              </w:rPr>
              <w:lastRenderedPageBreak/>
              <w:t>B</w:t>
            </w:r>
            <w:r w:rsidR="002E7C6D" w:rsidRPr="000F5DA8">
              <w:rPr>
                <w:rFonts w:eastAsia="Times New Roman" w:cs="Times New Roman"/>
                <w:color w:val="000000"/>
                <w:sz w:val="18"/>
                <w:szCs w:val="18"/>
                <w:lang w:eastAsia="lv-LV"/>
              </w:rPr>
              <w:t>ilances cikliskā komponente, % no IKP</w:t>
            </w:r>
          </w:p>
        </w:tc>
        <w:tc>
          <w:tcPr>
            <w:tcW w:w="1134" w:type="dxa"/>
            <w:vAlign w:val="center"/>
          </w:tcPr>
          <w:p w14:paraId="65A7BEE3"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(15)</w:t>
            </w:r>
          </w:p>
        </w:tc>
        <w:tc>
          <w:tcPr>
            <w:tcW w:w="963" w:type="dxa"/>
            <w:shd w:val="clear" w:color="auto" w:fill="auto"/>
            <w:noWrap/>
            <w:vAlign w:val="center"/>
          </w:tcPr>
          <w:p w14:paraId="6F52FBC1" w14:textId="77777777" w:rsidR="002E7C6D" w:rsidRPr="000F5DA8" w:rsidRDefault="002E7C6D" w:rsidP="006357B3">
            <w:pPr>
              <w:spacing w:before="60" w:line="240" w:lineRule="auto"/>
              <w:ind w:firstLine="0"/>
              <w:jc w:val="center"/>
              <w:rPr>
                <w:rFonts w:eastAsia="Times New Roman" w:cs="Times New Roman"/>
                <w:color w:val="000000"/>
                <w:sz w:val="18"/>
                <w:szCs w:val="18"/>
                <w:highlight w:val="yellow"/>
                <w:lang w:eastAsia="lv-LV"/>
              </w:rPr>
            </w:pPr>
          </w:p>
        </w:tc>
        <w:tc>
          <w:tcPr>
            <w:tcW w:w="964" w:type="dxa"/>
            <w:shd w:val="clear" w:color="auto" w:fill="auto"/>
            <w:noWrap/>
            <w:vAlign w:val="center"/>
          </w:tcPr>
          <w:p w14:paraId="5D910D87" w14:textId="3F4B1B86"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-0,4</w:t>
            </w:r>
          </w:p>
        </w:tc>
        <w:tc>
          <w:tcPr>
            <w:tcW w:w="964" w:type="dxa"/>
            <w:shd w:val="clear" w:color="auto" w:fill="FFFFFF" w:themeFill="background1"/>
            <w:noWrap/>
            <w:vAlign w:val="center"/>
          </w:tcPr>
          <w:p w14:paraId="20C0DBF9" w14:textId="3F6BC6E3"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-0,2</w:t>
            </w:r>
          </w:p>
        </w:tc>
        <w:tc>
          <w:tcPr>
            <w:tcW w:w="964" w:type="dxa"/>
            <w:shd w:val="clear" w:color="auto" w:fill="FFFFFF" w:themeFill="background1"/>
            <w:noWrap/>
            <w:vAlign w:val="center"/>
          </w:tcPr>
          <w:p w14:paraId="21C39076" w14:textId="4C3A008B"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-0,</w:t>
            </w:r>
            <w:r w:rsidR="00C31B05">
              <w:rPr>
                <w:sz w:val="18"/>
                <w:szCs w:val="16"/>
              </w:rPr>
              <w:t>1</w:t>
            </w:r>
          </w:p>
        </w:tc>
        <w:tc>
          <w:tcPr>
            <w:tcW w:w="964" w:type="dxa"/>
            <w:shd w:val="clear" w:color="auto" w:fill="FFFFFF" w:themeFill="background1"/>
            <w:noWrap/>
            <w:vAlign w:val="center"/>
          </w:tcPr>
          <w:p w14:paraId="6689D0C3" w14:textId="36DEC355"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0,00</w:t>
            </w:r>
          </w:p>
        </w:tc>
      </w:tr>
      <w:tr w:rsidR="002E7C6D" w:rsidRPr="002869EC" w14:paraId="639CF2A9" w14:textId="77777777" w:rsidTr="002E7C6D">
        <w:trPr>
          <w:trHeight w:val="20"/>
          <w:jc w:val="center"/>
        </w:trPr>
        <w:tc>
          <w:tcPr>
            <w:tcW w:w="3114" w:type="dxa"/>
            <w:shd w:val="clear" w:color="auto" w:fill="auto"/>
            <w:noWrap/>
            <w:vAlign w:val="center"/>
          </w:tcPr>
          <w:p w14:paraId="2BF07B94" w14:textId="247C9655" w:rsidR="002E7C6D" w:rsidRPr="000F5DA8" w:rsidRDefault="00BC0A7E" w:rsidP="006357B3">
            <w:pPr>
              <w:spacing w:before="60" w:line="240" w:lineRule="auto"/>
              <w:ind w:firstLine="0"/>
              <w:jc w:val="left"/>
              <w:rPr>
                <w:rFonts w:eastAsia="Times New Roman" w:cs="Times New Roman"/>
                <w:color w:val="000000"/>
                <w:sz w:val="18"/>
                <w:szCs w:val="18"/>
                <w:lang w:eastAsia="lv-LV"/>
              </w:rPr>
            </w:pPr>
            <w:proofErr w:type="spellStart"/>
            <w:r w:rsidRPr="00BC0A7E">
              <w:rPr>
                <w:rFonts w:eastAsia="Times New Roman" w:cs="Times New Roman"/>
                <w:i/>
                <w:iCs/>
                <w:color w:val="000000"/>
                <w:sz w:val="18"/>
                <w:szCs w:val="18"/>
                <w:lang w:eastAsia="lv-LV"/>
              </w:rPr>
              <w:t>O</w:t>
            </w:r>
            <w:r w:rsidR="002E7C6D" w:rsidRPr="00BC0A7E">
              <w:rPr>
                <w:rFonts w:eastAsia="Times New Roman" w:cs="Times New Roman"/>
                <w:i/>
                <w:iCs/>
                <w:color w:val="000000"/>
                <w:sz w:val="18"/>
                <w:szCs w:val="18"/>
                <w:lang w:eastAsia="lv-LV"/>
              </w:rPr>
              <w:t>ne-off</w:t>
            </w:r>
            <w:proofErr w:type="spellEnd"/>
            <w:r w:rsidR="002E7C6D" w:rsidRPr="000F5DA8">
              <w:rPr>
                <w:rFonts w:eastAsia="Times New Roman" w:cs="Times New Roman"/>
                <w:color w:val="000000"/>
                <w:sz w:val="18"/>
                <w:szCs w:val="18"/>
                <w:lang w:eastAsia="lv-LV"/>
              </w:rPr>
              <w:t xml:space="preserve"> un citi īslaicīgie pasākumi, % no IKP</w:t>
            </w:r>
          </w:p>
        </w:tc>
        <w:tc>
          <w:tcPr>
            <w:tcW w:w="1134" w:type="dxa"/>
            <w:vAlign w:val="center"/>
          </w:tcPr>
          <w:p w14:paraId="43C1A9A4" w14:textId="77777777" w:rsidR="002E7C6D" w:rsidRPr="000F5DA8" w:rsidRDefault="002E7C6D" w:rsidP="006357B3">
            <w:pPr>
              <w:spacing w:before="60" w:line="240" w:lineRule="auto"/>
              <w:ind w:firstLine="0"/>
              <w:jc w:val="center"/>
              <w:rPr>
                <w:rFonts w:eastAsia="Times New Roman" w:cs="Times New Roman"/>
                <w:color w:val="000000"/>
                <w:sz w:val="18"/>
                <w:szCs w:val="18"/>
                <w:lang w:eastAsia="lv-LV"/>
              </w:rPr>
            </w:pPr>
            <w:r w:rsidRPr="000F5DA8">
              <w:rPr>
                <w:rFonts w:eastAsia="Times New Roman" w:cs="Times New Roman"/>
                <w:color w:val="000000"/>
                <w:sz w:val="18"/>
                <w:szCs w:val="18"/>
                <w:lang w:eastAsia="lv-LV"/>
              </w:rPr>
              <w:t>(16)</w:t>
            </w:r>
          </w:p>
        </w:tc>
        <w:tc>
          <w:tcPr>
            <w:tcW w:w="963" w:type="dxa"/>
            <w:shd w:val="clear" w:color="auto" w:fill="auto"/>
            <w:noWrap/>
            <w:vAlign w:val="center"/>
          </w:tcPr>
          <w:p w14:paraId="7795E05A" w14:textId="77777777" w:rsidR="002E7C6D" w:rsidRPr="000F5DA8" w:rsidRDefault="002E7C6D" w:rsidP="006357B3">
            <w:pPr>
              <w:spacing w:before="60" w:line="240" w:lineRule="auto"/>
              <w:ind w:firstLine="0"/>
              <w:jc w:val="center"/>
              <w:rPr>
                <w:rFonts w:eastAsia="Times New Roman" w:cs="Times New Roman"/>
                <w:color w:val="000000"/>
                <w:sz w:val="18"/>
                <w:szCs w:val="18"/>
                <w:highlight w:val="yellow"/>
                <w:lang w:eastAsia="lv-LV"/>
              </w:rPr>
            </w:pPr>
          </w:p>
        </w:tc>
        <w:tc>
          <w:tcPr>
            <w:tcW w:w="964" w:type="dxa"/>
            <w:shd w:val="clear" w:color="auto" w:fill="auto"/>
            <w:noWrap/>
            <w:vAlign w:val="center"/>
          </w:tcPr>
          <w:p w14:paraId="4BCCCC7D" w14:textId="4836F646"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-1,7</w:t>
            </w:r>
          </w:p>
        </w:tc>
        <w:tc>
          <w:tcPr>
            <w:tcW w:w="964" w:type="dxa"/>
            <w:shd w:val="clear" w:color="auto" w:fill="FFFFFF" w:themeFill="background1"/>
            <w:noWrap/>
            <w:vAlign w:val="center"/>
          </w:tcPr>
          <w:p w14:paraId="0ACDB18D" w14:textId="3A18AB8D"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-1,8</w:t>
            </w:r>
          </w:p>
        </w:tc>
        <w:tc>
          <w:tcPr>
            <w:tcW w:w="964" w:type="dxa"/>
            <w:shd w:val="clear" w:color="auto" w:fill="FFFFFF" w:themeFill="background1"/>
            <w:noWrap/>
            <w:vAlign w:val="center"/>
          </w:tcPr>
          <w:p w14:paraId="10213568" w14:textId="675B4B1B"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-1,7</w:t>
            </w:r>
          </w:p>
        </w:tc>
        <w:tc>
          <w:tcPr>
            <w:tcW w:w="964" w:type="dxa"/>
            <w:shd w:val="clear" w:color="auto" w:fill="FFFFFF" w:themeFill="background1"/>
            <w:noWrap/>
            <w:vAlign w:val="center"/>
          </w:tcPr>
          <w:p w14:paraId="650A9FAF" w14:textId="799AC931" w:rsidR="002E7C6D" w:rsidRPr="002E7C6D" w:rsidRDefault="002E7C6D" w:rsidP="006357B3">
            <w:pPr>
              <w:spacing w:before="60" w:line="240" w:lineRule="auto"/>
              <w:ind w:firstLine="0"/>
              <w:jc w:val="center"/>
              <w:rPr>
                <w:rFonts w:eastAsia="Times New Roman" w:cs="Times New Roman"/>
                <w:color w:val="000000"/>
                <w:sz w:val="18"/>
                <w:szCs w:val="16"/>
                <w:highlight w:val="yellow"/>
                <w:lang w:eastAsia="lv-LV"/>
              </w:rPr>
            </w:pPr>
            <w:r w:rsidRPr="002E7C6D">
              <w:rPr>
                <w:sz w:val="18"/>
                <w:szCs w:val="16"/>
              </w:rPr>
              <w:t>-1,3</w:t>
            </w:r>
          </w:p>
        </w:tc>
      </w:tr>
      <w:tr w:rsidR="002E7C6D" w:rsidRPr="002869EC" w14:paraId="2A3F76F2" w14:textId="77777777" w:rsidTr="000C5CF0">
        <w:trPr>
          <w:trHeight w:val="20"/>
          <w:jc w:val="center"/>
        </w:trPr>
        <w:tc>
          <w:tcPr>
            <w:tcW w:w="3114" w:type="dxa"/>
            <w:shd w:val="clear" w:color="auto" w:fill="D9E2F3" w:themeFill="accent5" w:themeFillTint="33"/>
            <w:noWrap/>
            <w:vAlign w:val="center"/>
          </w:tcPr>
          <w:p w14:paraId="1716216D" w14:textId="77777777" w:rsidR="002E7C6D" w:rsidRPr="000F5DA8" w:rsidRDefault="002E7C6D" w:rsidP="006357B3">
            <w:pPr>
              <w:spacing w:before="60" w:line="240" w:lineRule="auto"/>
              <w:ind w:firstLine="0"/>
              <w:jc w:val="left"/>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Vispārējās valdības strukturālās bilances mērķi, % no IKP</w:t>
            </w:r>
          </w:p>
        </w:tc>
        <w:tc>
          <w:tcPr>
            <w:tcW w:w="1134" w:type="dxa"/>
            <w:shd w:val="clear" w:color="auto" w:fill="D9E2F3" w:themeFill="accent5" w:themeFillTint="33"/>
            <w:vAlign w:val="center"/>
          </w:tcPr>
          <w:p w14:paraId="470D18E1" w14:textId="77777777" w:rsidR="002E7C6D" w:rsidRPr="000F5DA8" w:rsidRDefault="002E7C6D" w:rsidP="006357B3">
            <w:pPr>
              <w:spacing w:before="60" w:line="240" w:lineRule="auto"/>
              <w:ind w:firstLine="0"/>
              <w:jc w:val="center"/>
              <w:rPr>
                <w:rFonts w:eastAsia="Times New Roman" w:cs="Times New Roman"/>
                <w:b/>
                <w:bCs/>
                <w:color w:val="000000"/>
                <w:sz w:val="18"/>
                <w:szCs w:val="18"/>
                <w:lang w:eastAsia="lv-LV"/>
              </w:rPr>
            </w:pPr>
            <w:r w:rsidRPr="000F5DA8">
              <w:rPr>
                <w:rFonts w:eastAsia="Times New Roman" w:cs="Times New Roman"/>
                <w:b/>
                <w:bCs/>
                <w:color w:val="000000"/>
                <w:sz w:val="18"/>
                <w:szCs w:val="18"/>
                <w:lang w:eastAsia="lv-LV"/>
              </w:rPr>
              <w:t>(17)=(14)-(15)-(16)</w:t>
            </w:r>
          </w:p>
        </w:tc>
        <w:tc>
          <w:tcPr>
            <w:tcW w:w="963" w:type="dxa"/>
            <w:shd w:val="clear" w:color="auto" w:fill="D9E2F3" w:themeFill="accent5" w:themeFillTint="33"/>
            <w:noWrap/>
            <w:vAlign w:val="center"/>
          </w:tcPr>
          <w:p w14:paraId="5C80581D" w14:textId="77777777" w:rsidR="002E7C6D" w:rsidRPr="000F5DA8" w:rsidRDefault="002E7C6D" w:rsidP="006357B3">
            <w:pPr>
              <w:spacing w:before="60" w:line="240" w:lineRule="auto"/>
              <w:ind w:firstLine="0"/>
              <w:jc w:val="center"/>
              <w:rPr>
                <w:rFonts w:eastAsia="Times New Roman" w:cs="Times New Roman"/>
                <w:b/>
                <w:bCs/>
                <w:color w:val="000000"/>
                <w:sz w:val="18"/>
                <w:szCs w:val="18"/>
                <w:highlight w:val="yellow"/>
                <w:lang w:eastAsia="lv-LV"/>
              </w:rPr>
            </w:pPr>
          </w:p>
        </w:tc>
        <w:tc>
          <w:tcPr>
            <w:tcW w:w="964" w:type="dxa"/>
            <w:shd w:val="clear" w:color="auto" w:fill="D9E2F3" w:themeFill="accent5" w:themeFillTint="33"/>
            <w:noWrap/>
            <w:vAlign w:val="center"/>
          </w:tcPr>
          <w:p w14:paraId="42C12B59" w14:textId="2B8DE238"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-1,318</w:t>
            </w:r>
          </w:p>
        </w:tc>
        <w:tc>
          <w:tcPr>
            <w:tcW w:w="964" w:type="dxa"/>
            <w:shd w:val="clear" w:color="auto" w:fill="D9E2F3" w:themeFill="accent5" w:themeFillTint="33"/>
            <w:noWrap/>
            <w:vAlign w:val="center"/>
          </w:tcPr>
          <w:p w14:paraId="07A8D4DF" w14:textId="275A0A9B"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-0,749</w:t>
            </w:r>
          </w:p>
        </w:tc>
        <w:tc>
          <w:tcPr>
            <w:tcW w:w="964" w:type="dxa"/>
            <w:shd w:val="clear" w:color="auto" w:fill="D9E2F3" w:themeFill="accent5" w:themeFillTint="33"/>
            <w:noWrap/>
            <w:vAlign w:val="center"/>
          </w:tcPr>
          <w:p w14:paraId="72FB12D3" w14:textId="224E9A20"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-0,792</w:t>
            </w:r>
          </w:p>
        </w:tc>
        <w:tc>
          <w:tcPr>
            <w:tcW w:w="964" w:type="dxa"/>
            <w:shd w:val="clear" w:color="auto" w:fill="D9E2F3" w:themeFill="accent5" w:themeFillTint="33"/>
            <w:noWrap/>
            <w:vAlign w:val="center"/>
          </w:tcPr>
          <w:p w14:paraId="250E221D" w14:textId="66E84187" w:rsidR="002E7C6D" w:rsidRPr="002E7C6D" w:rsidRDefault="002E7C6D" w:rsidP="006357B3">
            <w:pPr>
              <w:spacing w:before="60" w:line="240" w:lineRule="auto"/>
              <w:ind w:firstLine="0"/>
              <w:jc w:val="center"/>
              <w:rPr>
                <w:rFonts w:eastAsia="Times New Roman" w:cs="Times New Roman"/>
                <w:b/>
                <w:bCs/>
                <w:color w:val="000000"/>
                <w:sz w:val="18"/>
                <w:szCs w:val="16"/>
                <w:highlight w:val="yellow"/>
                <w:lang w:eastAsia="lv-LV"/>
              </w:rPr>
            </w:pPr>
            <w:r w:rsidRPr="002E7C6D">
              <w:rPr>
                <w:sz w:val="18"/>
                <w:szCs w:val="16"/>
              </w:rPr>
              <w:t>-0,932</w:t>
            </w:r>
          </w:p>
        </w:tc>
      </w:tr>
    </w:tbl>
    <w:p w14:paraId="32873A85" w14:textId="14B8C512" w:rsidR="00007564" w:rsidRDefault="002E7C6D" w:rsidP="006357B3">
      <w:pPr>
        <w:spacing w:before="120" w:after="0" w:line="240" w:lineRule="auto"/>
        <w:rPr>
          <w:szCs w:val="20"/>
        </w:rPr>
      </w:pPr>
      <w:r w:rsidRPr="00FA3108">
        <w:rPr>
          <w:szCs w:val="20"/>
        </w:rPr>
        <w:t>*</w:t>
      </w:r>
      <w:r>
        <w:rPr>
          <w:szCs w:val="20"/>
        </w:rPr>
        <w:t xml:space="preserve"> - NNFPI līmenis 2026. gadā tiek noteikts, ņemot vērā dominējošo nosacījumu 2025. gadā – ES strukturālās primārās bilances nosacījumu, t.i. NNFPI izdevumu pieaugums 2025. gadā tiek noteikts tādā apjomā, lai ievērotu stingrāko nosacījumu.</w:t>
      </w:r>
    </w:p>
    <w:p w14:paraId="635B59F7" w14:textId="77777777" w:rsidR="002E7C6D" w:rsidRPr="002E7C6D" w:rsidRDefault="002E7C6D" w:rsidP="006357B3">
      <w:pPr>
        <w:spacing w:after="0" w:line="240" w:lineRule="auto"/>
        <w:rPr>
          <w:szCs w:val="20"/>
        </w:rPr>
      </w:pPr>
    </w:p>
    <w:p w14:paraId="74AC1E60" w14:textId="5A7DFDC6" w:rsidR="0024479C" w:rsidRPr="002869EC" w:rsidRDefault="0024479C" w:rsidP="006357B3">
      <w:pPr>
        <w:spacing w:line="240" w:lineRule="auto"/>
        <w:rPr>
          <w:rFonts w:eastAsiaTheme="majorEastAsia"/>
        </w:rPr>
      </w:pPr>
      <w:r w:rsidRPr="002869EC">
        <w:rPr>
          <w:rFonts w:eastAsiaTheme="majorEastAsia"/>
        </w:rPr>
        <w:t xml:space="preserve">Kā redzams, 2025. gadā dominējošais ir strukturālās </w:t>
      </w:r>
      <w:r w:rsidR="00511E0E" w:rsidRPr="002869EC">
        <w:rPr>
          <w:rFonts w:eastAsiaTheme="majorEastAsia"/>
        </w:rPr>
        <w:t xml:space="preserve">primārās </w:t>
      </w:r>
      <w:r w:rsidRPr="002869EC">
        <w:rPr>
          <w:rFonts w:eastAsiaTheme="majorEastAsia"/>
        </w:rPr>
        <w:t>bilances nosacījums, bet turpmākajos gados tas ir NNFPI</w:t>
      </w:r>
      <w:r w:rsidR="00EE7219" w:rsidRPr="002869EC">
        <w:rPr>
          <w:rFonts w:eastAsiaTheme="majorEastAsia"/>
        </w:rPr>
        <w:t xml:space="preserve"> </w:t>
      </w:r>
      <w:r w:rsidRPr="002869EC">
        <w:rPr>
          <w:rFonts w:eastAsiaTheme="majorEastAsia"/>
        </w:rPr>
        <w:t>pieauguma nosacījums.</w:t>
      </w:r>
    </w:p>
    <w:p w14:paraId="26534730" w14:textId="0611B370" w:rsidR="0024479C" w:rsidRDefault="00234244" w:rsidP="006357B3">
      <w:pPr>
        <w:spacing w:line="240" w:lineRule="auto"/>
        <w:jc w:val="right"/>
        <w:rPr>
          <w:rFonts w:cs="Times New Roman"/>
          <w:b/>
          <w:bCs/>
          <w:szCs w:val="24"/>
          <w:lang w:eastAsia="lv-LV"/>
        </w:rPr>
      </w:pPr>
      <w:r>
        <w:rPr>
          <w:rFonts w:cs="Times New Roman"/>
          <w:b/>
          <w:bCs/>
          <w:szCs w:val="24"/>
          <w:lang w:eastAsia="lv-LV"/>
        </w:rPr>
        <w:t>I</w:t>
      </w:r>
      <w:r w:rsidR="00511E0E">
        <w:rPr>
          <w:rFonts w:cs="Times New Roman"/>
          <w:b/>
          <w:bCs/>
          <w:szCs w:val="24"/>
          <w:lang w:eastAsia="lv-LV"/>
        </w:rPr>
        <w:t>.</w:t>
      </w:r>
      <w:r w:rsidR="00511E0E" w:rsidRPr="000F5DA8">
        <w:rPr>
          <w:rFonts w:cs="Times New Roman"/>
          <w:b/>
          <w:bCs/>
          <w:szCs w:val="24"/>
          <w:lang w:eastAsia="lv-LV"/>
        </w:rPr>
        <w:t xml:space="preserve"> </w:t>
      </w:r>
      <w:r w:rsidR="0024479C" w:rsidRPr="000F5DA8">
        <w:rPr>
          <w:rFonts w:cs="Times New Roman"/>
          <w:b/>
          <w:bCs/>
          <w:szCs w:val="24"/>
          <w:lang w:eastAsia="lv-LV"/>
        </w:rPr>
        <w:t>tabula. Dominējošais fiskālais nosacījums</w:t>
      </w:r>
    </w:p>
    <w:tbl>
      <w:tblPr>
        <w:tblW w:w="7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6"/>
        <w:gridCol w:w="1068"/>
        <w:gridCol w:w="1068"/>
        <w:gridCol w:w="1068"/>
        <w:gridCol w:w="1068"/>
      </w:tblGrid>
      <w:tr w:rsidR="00511E0E" w:rsidRPr="00FD1578" w14:paraId="2840FF53" w14:textId="77777777" w:rsidTr="002E7C6D">
        <w:trPr>
          <w:trHeight w:val="20"/>
          <w:tblHeader/>
          <w:jc w:val="center"/>
        </w:trPr>
        <w:tc>
          <w:tcPr>
            <w:tcW w:w="3346" w:type="dxa"/>
            <w:shd w:val="clear" w:color="auto" w:fill="BDD6EE" w:themeFill="accent1" w:themeFillTint="66"/>
            <w:vAlign w:val="bottom"/>
            <w:hideMark/>
          </w:tcPr>
          <w:p w14:paraId="204C4B2F" w14:textId="77777777" w:rsidR="00511E0E" w:rsidRPr="00FD1578" w:rsidRDefault="00511E0E" w:rsidP="006357B3">
            <w:pPr>
              <w:spacing w:before="60" w:line="240" w:lineRule="auto"/>
              <w:ind w:firstLine="0"/>
              <w:jc w:val="left"/>
              <w:rPr>
                <w:rFonts w:eastAsia="Times New Roman" w:cs="Times New Roman"/>
                <w:color w:val="000000"/>
                <w:sz w:val="18"/>
                <w:szCs w:val="18"/>
              </w:rPr>
            </w:pPr>
          </w:p>
        </w:tc>
        <w:tc>
          <w:tcPr>
            <w:tcW w:w="1068" w:type="dxa"/>
            <w:shd w:val="clear" w:color="auto" w:fill="BDD6EE" w:themeFill="accent1" w:themeFillTint="66"/>
            <w:noWrap/>
            <w:vAlign w:val="center"/>
            <w:hideMark/>
          </w:tcPr>
          <w:p w14:paraId="29ED1E25"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2025</w:t>
            </w:r>
          </w:p>
        </w:tc>
        <w:tc>
          <w:tcPr>
            <w:tcW w:w="1068" w:type="dxa"/>
            <w:shd w:val="clear" w:color="auto" w:fill="BDD6EE" w:themeFill="accent1" w:themeFillTint="66"/>
            <w:noWrap/>
            <w:vAlign w:val="center"/>
            <w:hideMark/>
          </w:tcPr>
          <w:p w14:paraId="08AA43A4"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2026</w:t>
            </w:r>
          </w:p>
        </w:tc>
        <w:tc>
          <w:tcPr>
            <w:tcW w:w="1068" w:type="dxa"/>
            <w:shd w:val="clear" w:color="auto" w:fill="BDD6EE" w:themeFill="accent1" w:themeFillTint="66"/>
            <w:vAlign w:val="center"/>
          </w:tcPr>
          <w:p w14:paraId="06F1A806"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2027</w:t>
            </w:r>
          </w:p>
        </w:tc>
        <w:tc>
          <w:tcPr>
            <w:tcW w:w="1068" w:type="dxa"/>
            <w:shd w:val="clear" w:color="auto" w:fill="BDD6EE" w:themeFill="accent1" w:themeFillTint="66"/>
            <w:vAlign w:val="center"/>
          </w:tcPr>
          <w:p w14:paraId="7FC79F8E"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2028</w:t>
            </w:r>
          </w:p>
        </w:tc>
      </w:tr>
      <w:tr w:rsidR="00511E0E" w:rsidRPr="00FD1578" w14:paraId="0748E428" w14:textId="77777777" w:rsidTr="002E7C6D">
        <w:trPr>
          <w:trHeight w:val="20"/>
          <w:jc w:val="center"/>
        </w:trPr>
        <w:tc>
          <w:tcPr>
            <w:tcW w:w="3346" w:type="dxa"/>
            <w:shd w:val="clear" w:color="auto" w:fill="auto"/>
            <w:vAlign w:val="bottom"/>
          </w:tcPr>
          <w:p w14:paraId="608FECFD" w14:textId="77777777" w:rsidR="00511E0E" w:rsidRPr="00FD1578" w:rsidRDefault="00511E0E" w:rsidP="006357B3">
            <w:pPr>
              <w:spacing w:before="60" w:line="240" w:lineRule="auto"/>
              <w:ind w:firstLine="0"/>
              <w:jc w:val="left"/>
              <w:rPr>
                <w:rFonts w:eastAsia="Times New Roman" w:cs="Times New Roman"/>
                <w:color w:val="000000"/>
                <w:sz w:val="18"/>
                <w:szCs w:val="18"/>
              </w:rPr>
            </w:pPr>
            <w:r w:rsidRPr="00FD1578">
              <w:rPr>
                <w:rFonts w:cs="Times New Roman"/>
                <w:sz w:val="18"/>
                <w:szCs w:val="18"/>
              </w:rPr>
              <w:t>FDL strukturālās bilances nosacījums</w:t>
            </w:r>
          </w:p>
        </w:tc>
        <w:tc>
          <w:tcPr>
            <w:tcW w:w="1068" w:type="dxa"/>
            <w:shd w:val="clear" w:color="auto" w:fill="auto"/>
            <w:noWrap/>
            <w:vAlign w:val="center"/>
          </w:tcPr>
          <w:p w14:paraId="0C839DF3"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c>
          <w:tcPr>
            <w:tcW w:w="1068" w:type="dxa"/>
            <w:shd w:val="clear" w:color="auto" w:fill="auto"/>
            <w:noWrap/>
            <w:vAlign w:val="center"/>
          </w:tcPr>
          <w:p w14:paraId="304F264E"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c>
          <w:tcPr>
            <w:tcW w:w="1068" w:type="dxa"/>
            <w:vAlign w:val="center"/>
          </w:tcPr>
          <w:p w14:paraId="677D4C8F"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c>
          <w:tcPr>
            <w:tcW w:w="1068" w:type="dxa"/>
            <w:vAlign w:val="center"/>
          </w:tcPr>
          <w:p w14:paraId="4CEEFC11"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r>
      <w:tr w:rsidR="00511E0E" w:rsidRPr="00FD1578" w14:paraId="20AB0E10" w14:textId="77777777" w:rsidTr="002E7C6D">
        <w:trPr>
          <w:trHeight w:val="20"/>
          <w:jc w:val="center"/>
        </w:trPr>
        <w:tc>
          <w:tcPr>
            <w:tcW w:w="3346" w:type="dxa"/>
            <w:shd w:val="clear" w:color="auto" w:fill="auto"/>
            <w:vAlign w:val="bottom"/>
          </w:tcPr>
          <w:p w14:paraId="12658D0E" w14:textId="77777777" w:rsidR="00511E0E" w:rsidRPr="00FD1578" w:rsidRDefault="00511E0E" w:rsidP="006357B3">
            <w:pPr>
              <w:spacing w:before="60" w:line="240" w:lineRule="auto"/>
              <w:ind w:firstLine="0"/>
              <w:jc w:val="left"/>
              <w:rPr>
                <w:rFonts w:eastAsia="Times New Roman" w:cs="Times New Roman"/>
                <w:color w:val="000000"/>
                <w:sz w:val="18"/>
                <w:szCs w:val="18"/>
              </w:rPr>
            </w:pPr>
            <w:r w:rsidRPr="00FD1578">
              <w:rPr>
                <w:rFonts w:cs="Times New Roman"/>
                <w:sz w:val="18"/>
                <w:szCs w:val="18"/>
              </w:rPr>
              <w:t>ES strukturālās primārās bilances nosacījums</w:t>
            </w:r>
          </w:p>
        </w:tc>
        <w:tc>
          <w:tcPr>
            <w:tcW w:w="1068" w:type="dxa"/>
            <w:shd w:val="clear" w:color="auto" w:fill="auto"/>
            <w:noWrap/>
            <w:vAlign w:val="center"/>
          </w:tcPr>
          <w:p w14:paraId="5CE1003E" w14:textId="0765696B"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cs="Times New Roman"/>
                <w:sz w:val="18"/>
                <w:szCs w:val="18"/>
              </w:rPr>
              <w:t>X</w:t>
            </w:r>
          </w:p>
        </w:tc>
        <w:tc>
          <w:tcPr>
            <w:tcW w:w="1068" w:type="dxa"/>
            <w:shd w:val="clear" w:color="auto" w:fill="auto"/>
            <w:noWrap/>
            <w:vAlign w:val="center"/>
          </w:tcPr>
          <w:p w14:paraId="3ED3202B"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c>
          <w:tcPr>
            <w:tcW w:w="1068" w:type="dxa"/>
            <w:vAlign w:val="center"/>
          </w:tcPr>
          <w:p w14:paraId="4485DCB3"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c>
          <w:tcPr>
            <w:tcW w:w="1068" w:type="dxa"/>
            <w:vAlign w:val="center"/>
          </w:tcPr>
          <w:p w14:paraId="5E709904"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r>
      <w:tr w:rsidR="00511E0E" w:rsidRPr="00FD1578" w14:paraId="6B789376" w14:textId="77777777" w:rsidTr="002E7C6D">
        <w:trPr>
          <w:trHeight w:val="20"/>
          <w:jc w:val="center"/>
        </w:trPr>
        <w:tc>
          <w:tcPr>
            <w:tcW w:w="3346" w:type="dxa"/>
            <w:shd w:val="clear" w:color="auto" w:fill="auto"/>
            <w:vAlign w:val="bottom"/>
          </w:tcPr>
          <w:p w14:paraId="5D474CF5" w14:textId="77777777" w:rsidR="00511E0E" w:rsidRPr="00FD1578" w:rsidRDefault="00511E0E" w:rsidP="006357B3">
            <w:pPr>
              <w:spacing w:before="60" w:line="240" w:lineRule="auto"/>
              <w:ind w:firstLine="0"/>
              <w:jc w:val="left"/>
              <w:rPr>
                <w:rFonts w:cs="Times New Roman"/>
                <w:sz w:val="18"/>
                <w:szCs w:val="18"/>
              </w:rPr>
            </w:pPr>
            <w:r w:rsidRPr="00FD1578">
              <w:rPr>
                <w:rFonts w:cs="Times New Roman"/>
                <w:sz w:val="18"/>
                <w:szCs w:val="18"/>
              </w:rPr>
              <w:t>ES izdevumu pieauguma nosacījums</w:t>
            </w:r>
          </w:p>
        </w:tc>
        <w:tc>
          <w:tcPr>
            <w:tcW w:w="1068" w:type="dxa"/>
            <w:shd w:val="clear" w:color="auto" w:fill="auto"/>
            <w:noWrap/>
            <w:vAlign w:val="bottom"/>
          </w:tcPr>
          <w:p w14:paraId="13604858" w14:textId="79BDF4CE" w:rsidR="00511E0E" w:rsidRPr="00FD1578" w:rsidRDefault="00511E0E" w:rsidP="006357B3">
            <w:pPr>
              <w:spacing w:before="60" w:line="240" w:lineRule="auto"/>
              <w:ind w:firstLine="0"/>
              <w:jc w:val="center"/>
              <w:rPr>
                <w:rFonts w:cs="Times New Roman"/>
                <w:sz w:val="18"/>
                <w:szCs w:val="18"/>
              </w:rPr>
            </w:pPr>
          </w:p>
        </w:tc>
        <w:tc>
          <w:tcPr>
            <w:tcW w:w="1068" w:type="dxa"/>
            <w:shd w:val="clear" w:color="auto" w:fill="auto"/>
            <w:noWrap/>
            <w:vAlign w:val="bottom"/>
          </w:tcPr>
          <w:p w14:paraId="6FC41CAD" w14:textId="77777777" w:rsidR="00511E0E" w:rsidRPr="00FD1578" w:rsidRDefault="00511E0E" w:rsidP="006357B3">
            <w:pPr>
              <w:spacing w:before="60" w:line="240" w:lineRule="auto"/>
              <w:ind w:firstLine="0"/>
              <w:jc w:val="center"/>
              <w:rPr>
                <w:rFonts w:cs="Times New Roman"/>
                <w:sz w:val="18"/>
                <w:szCs w:val="18"/>
              </w:rPr>
            </w:pPr>
            <w:r w:rsidRPr="00FD1578">
              <w:rPr>
                <w:rFonts w:cs="Times New Roman"/>
                <w:sz w:val="18"/>
                <w:szCs w:val="18"/>
              </w:rPr>
              <w:t>X</w:t>
            </w:r>
          </w:p>
        </w:tc>
        <w:tc>
          <w:tcPr>
            <w:tcW w:w="1068" w:type="dxa"/>
            <w:vAlign w:val="bottom"/>
          </w:tcPr>
          <w:p w14:paraId="518D0857" w14:textId="77777777" w:rsidR="00511E0E" w:rsidRPr="00FD1578" w:rsidRDefault="00511E0E" w:rsidP="006357B3">
            <w:pPr>
              <w:spacing w:before="60" w:line="240" w:lineRule="auto"/>
              <w:ind w:firstLine="0"/>
              <w:jc w:val="center"/>
              <w:rPr>
                <w:rFonts w:cs="Times New Roman"/>
                <w:sz w:val="18"/>
                <w:szCs w:val="18"/>
              </w:rPr>
            </w:pPr>
            <w:r w:rsidRPr="00FD1578">
              <w:rPr>
                <w:rFonts w:cs="Times New Roman"/>
                <w:sz w:val="18"/>
                <w:szCs w:val="18"/>
              </w:rPr>
              <w:t>X</w:t>
            </w:r>
          </w:p>
        </w:tc>
        <w:tc>
          <w:tcPr>
            <w:tcW w:w="1068" w:type="dxa"/>
            <w:vAlign w:val="center"/>
          </w:tcPr>
          <w:p w14:paraId="2A85D63C" w14:textId="77777777" w:rsidR="00511E0E" w:rsidRPr="00FD1578" w:rsidRDefault="00511E0E" w:rsidP="006357B3">
            <w:pPr>
              <w:spacing w:before="60" w:line="240" w:lineRule="auto"/>
              <w:ind w:firstLine="0"/>
              <w:jc w:val="center"/>
              <w:rPr>
                <w:rFonts w:eastAsia="Times New Roman" w:cs="Times New Roman"/>
                <w:color w:val="000000"/>
                <w:sz w:val="18"/>
                <w:szCs w:val="18"/>
              </w:rPr>
            </w:pPr>
            <w:r w:rsidRPr="00FD1578">
              <w:rPr>
                <w:rFonts w:eastAsia="Times New Roman" w:cs="Times New Roman"/>
                <w:color w:val="000000"/>
                <w:sz w:val="18"/>
                <w:szCs w:val="18"/>
              </w:rPr>
              <w:t>X</w:t>
            </w:r>
          </w:p>
        </w:tc>
      </w:tr>
    </w:tbl>
    <w:p w14:paraId="57C300F9" w14:textId="77777777" w:rsidR="00007564" w:rsidRPr="002869EC" w:rsidRDefault="00007564" w:rsidP="006357B3">
      <w:pPr>
        <w:spacing w:line="240" w:lineRule="auto"/>
        <w:rPr>
          <w:rFonts w:eastAsiaTheme="majorEastAsia"/>
        </w:rPr>
      </w:pPr>
    </w:p>
    <w:p w14:paraId="1480A13A" w14:textId="6D0C668D" w:rsidR="005A4348" w:rsidRPr="002869EC" w:rsidRDefault="00511E0E" w:rsidP="006357B3">
      <w:pPr>
        <w:keepNext/>
        <w:keepLines/>
        <w:spacing w:before="120" w:line="240" w:lineRule="auto"/>
        <w:ind w:firstLine="0"/>
        <w:jc w:val="center"/>
        <w:outlineLvl w:val="1"/>
        <w:rPr>
          <w:rFonts w:eastAsia="Times New Roman" w:cs="Times New Roman"/>
          <w:b/>
          <w:bCs/>
          <w:color w:val="000000"/>
          <w:szCs w:val="24"/>
          <w:lang w:eastAsia="lv-LV"/>
        </w:rPr>
      </w:pPr>
      <w:bookmarkStart w:id="39" w:name="_Toc38887979"/>
      <w:bookmarkStart w:id="40" w:name="_Toc179540634"/>
      <w:r>
        <w:rPr>
          <w:rFonts w:eastAsia="Times New Roman" w:cs="Times New Roman"/>
          <w:b/>
          <w:bCs/>
          <w:color w:val="000000"/>
          <w:szCs w:val="24"/>
          <w:lang w:eastAsia="lv-LV"/>
        </w:rPr>
        <w:t>6</w:t>
      </w:r>
      <w:r w:rsidR="005A4348" w:rsidRPr="002869EC">
        <w:rPr>
          <w:rFonts w:eastAsia="Times New Roman" w:cs="Times New Roman"/>
          <w:b/>
          <w:bCs/>
          <w:color w:val="000000"/>
          <w:szCs w:val="24"/>
          <w:lang w:eastAsia="lv-LV"/>
        </w:rPr>
        <w:t>.3</w:t>
      </w:r>
      <w:r w:rsidR="009A7932" w:rsidRPr="002869EC">
        <w:rPr>
          <w:rFonts w:eastAsia="Times New Roman" w:cs="Times New Roman"/>
          <w:b/>
          <w:bCs/>
          <w:color w:val="000000"/>
          <w:szCs w:val="24"/>
          <w:lang w:eastAsia="lv-LV"/>
        </w:rPr>
        <w:t xml:space="preserve">. </w:t>
      </w:r>
      <w:bookmarkEnd w:id="39"/>
      <w:r w:rsidR="005A4348" w:rsidRPr="002869EC">
        <w:rPr>
          <w:rFonts w:eastAsia="Times New Roman" w:cs="Times New Roman"/>
          <w:b/>
          <w:bCs/>
          <w:color w:val="000000"/>
          <w:szCs w:val="24"/>
          <w:lang w:eastAsia="lv-LV"/>
        </w:rPr>
        <w:t>Fiskālie mērķi un prognozes pie mainīgas politikas 2025.</w:t>
      </w:r>
      <w:r>
        <w:rPr>
          <w:rFonts w:eastAsia="Times New Roman" w:cs="Times New Roman"/>
          <w:b/>
          <w:bCs/>
          <w:color w:val="000000"/>
          <w:szCs w:val="24"/>
          <w:lang w:eastAsia="lv-LV"/>
        </w:rPr>
        <w:t xml:space="preserve"> </w:t>
      </w:r>
      <w:r w:rsidR="005A4348" w:rsidRPr="002869EC">
        <w:rPr>
          <w:rFonts w:eastAsia="Times New Roman" w:cs="Times New Roman"/>
          <w:b/>
          <w:bCs/>
          <w:color w:val="000000"/>
          <w:szCs w:val="24"/>
          <w:lang w:eastAsia="lv-LV"/>
        </w:rPr>
        <w:t>-</w:t>
      </w:r>
      <w:r>
        <w:rPr>
          <w:rFonts w:eastAsia="Times New Roman" w:cs="Times New Roman"/>
          <w:b/>
          <w:bCs/>
          <w:color w:val="000000"/>
          <w:szCs w:val="24"/>
          <w:lang w:eastAsia="lv-LV"/>
        </w:rPr>
        <w:t xml:space="preserve"> </w:t>
      </w:r>
      <w:r w:rsidR="005A4348" w:rsidRPr="002869EC">
        <w:rPr>
          <w:rFonts w:eastAsia="Times New Roman" w:cs="Times New Roman"/>
          <w:b/>
          <w:bCs/>
          <w:color w:val="000000"/>
          <w:szCs w:val="24"/>
          <w:lang w:eastAsia="lv-LV"/>
        </w:rPr>
        <w:t>2028. gadu periodam</w:t>
      </w:r>
      <w:bookmarkEnd w:id="40"/>
      <w:r w:rsidR="005A4348" w:rsidRPr="002869EC">
        <w:rPr>
          <w:rFonts w:eastAsia="Times New Roman" w:cs="Times New Roman"/>
          <w:b/>
          <w:bCs/>
          <w:color w:val="000000"/>
          <w:szCs w:val="24"/>
          <w:lang w:eastAsia="lv-LV"/>
        </w:rPr>
        <w:t xml:space="preserve"> </w:t>
      </w:r>
    </w:p>
    <w:p w14:paraId="6674113A" w14:textId="1276A6B5" w:rsidR="00424AD5" w:rsidRPr="000F5DA8" w:rsidRDefault="00424AD5" w:rsidP="006357B3">
      <w:pPr>
        <w:spacing w:line="240" w:lineRule="auto"/>
        <w:rPr>
          <w:rFonts w:eastAsia="Times New Roman" w:cs="Times New Roman"/>
          <w:bCs/>
          <w:lang w:eastAsia="lv-LV"/>
        </w:rPr>
      </w:pPr>
      <w:r w:rsidRPr="00C31B05">
        <w:rPr>
          <w:rFonts w:cs="Times New Roman"/>
          <w:szCs w:val="24"/>
          <w:lang w:eastAsia="lv-LV"/>
        </w:rPr>
        <w:t xml:space="preserve">Ņemot vērā </w:t>
      </w:r>
      <w:r w:rsidR="006D0991">
        <w:rPr>
          <w:rFonts w:cs="Times New Roman"/>
          <w:szCs w:val="24"/>
          <w:lang w:eastAsia="lv-LV"/>
        </w:rPr>
        <w:t>G</w:t>
      </w:r>
      <w:r w:rsidR="00511E0E" w:rsidRPr="00C31B05">
        <w:rPr>
          <w:rFonts w:cs="Times New Roman"/>
          <w:szCs w:val="24"/>
          <w:lang w:eastAsia="lv-LV"/>
        </w:rPr>
        <w:t xml:space="preserve">., </w:t>
      </w:r>
      <w:r w:rsidR="00234244">
        <w:rPr>
          <w:rFonts w:cs="Times New Roman"/>
          <w:szCs w:val="24"/>
          <w:lang w:eastAsia="lv-LV"/>
        </w:rPr>
        <w:t>H</w:t>
      </w:r>
      <w:r w:rsidR="00511E0E" w:rsidRPr="00C31B05">
        <w:rPr>
          <w:rFonts w:cs="Times New Roman"/>
          <w:szCs w:val="24"/>
          <w:lang w:eastAsia="lv-LV"/>
        </w:rPr>
        <w:t>. un</w:t>
      </w:r>
      <w:r w:rsidR="000F5DA8" w:rsidRPr="00C31B05">
        <w:rPr>
          <w:rFonts w:cs="Times New Roman"/>
          <w:szCs w:val="24"/>
          <w:lang w:eastAsia="lv-LV"/>
        </w:rPr>
        <w:t xml:space="preserve"> </w:t>
      </w:r>
      <w:r w:rsidR="00234244">
        <w:rPr>
          <w:rFonts w:cs="Times New Roman"/>
          <w:szCs w:val="24"/>
          <w:lang w:eastAsia="lv-LV"/>
        </w:rPr>
        <w:t>I</w:t>
      </w:r>
      <w:r w:rsidR="00511E0E" w:rsidRPr="00C31B05">
        <w:rPr>
          <w:rFonts w:cs="Times New Roman"/>
          <w:szCs w:val="24"/>
          <w:lang w:eastAsia="lv-LV"/>
        </w:rPr>
        <w:t xml:space="preserve">. </w:t>
      </w:r>
      <w:r w:rsidRPr="00C31B05">
        <w:rPr>
          <w:rFonts w:cs="Times New Roman"/>
          <w:szCs w:val="24"/>
          <w:lang w:eastAsia="lv-LV"/>
        </w:rPr>
        <w:t>tabulā</w:t>
      </w:r>
      <w:r w:rsidR="00511E0E" w:rsidRPr="00C31B05">
        <w:rPr>
          <w:rFonts w:cs="Times New Roman"/>
          <w:szCs w:val="24"/>
          <w:lang w:eastAsia="lv-LV"/>
        </w:rPr>
        <w:t>s</w:t>
      </w:r>
      <w:r w:rsidRPr="00C31B05">
        <w:rPr>
          <w:rFonts w:cs="Times New Roman"/>
          <w:szCs w:val="24"/>
          <w:lang w:eastAsia="lv-LV"/>
        </w:rPr>
        <w:t xml:space="preserve"> norādīto, </w:t>
      </w:r>
      <w:r w:rsidRPr="00C31B05">
        <w:rPr>
          <w:rFonts w:eastAsia="Times New Roman" w:cs="Times New Roman"/>
          <w:b/>
          <w:lang w:eastAsia="lv-LV"/>
        </w:rPr>
        <w:t xml:space="preserve">vispārējās valdības budžeta </w:t>
      </w:r>
      <w:r w:rsidRPr="00C31B05">
        <w:rPr>
          <w:rFonts w:cs="Times New Roman"/>
          <w:b/>
          <w:bCs/>
          <w:szCs w:val="24"/>
          <w:lang w:eastAsia="lv-LV"/>
        </w:rPr>
        <w:t xml:space="preserve">strukturālās bilances mērķis, kas izpilda visus trīs nosacījumus, </w:t>
      </w:r>
      <w:r w:rsidRPr="00C31B05">
        <w:rPr>
          <w:rFonts w:eastAsia="Times New Roman" w:cs="Times New Roman"/>
          <w:bCs/>
          <w:lang w:eastAsia="lv-LV"/>
        </w:rPr>
        <w:t>2025. – 2028. gadam tiek noteikts: -</w:t>
      </w:r>
      <w:r w:rsidRPr="00C31B05">
        <w:rPr>
          <w:rFonts w:eastAsia="Times New Roman" w:cs="Times New Roman"/>
          <w:b/>
          <w:lang w:eastAsia="lv-LV"/>
        </w:rPr>
        <w:t>0,</w:t>
      </w:r>
      <w:r w:rsidR="002E7C6D" w:rsidRPr="00C31B05">
        <w:rPr>
          <w:rFonts w:eastAsia="Times New Roman" w:cs="Times New Roman"/>
          <w:b/>
          <w:lang w:eastAsia="lv-LV"/>
        </w:rPr>
        <w:t>817</w:t>
      </w:r>
      <w:r w:rsidRPr="00C31B05">
        <w:rPr>
          <w:rFonts w:eastAsia="Times New Roman" w:cs="Times New Roman"/>
          <w:b/>
          <w:lang w:eastAsia="lv-LV"/>
        </w:rPr>
        <w:t>% no IKP 2025. gadam</w:t>
      </w:r>
      <w:r w:rsidRPr="00C31B05">
        <w:rPr>
          <w:rFonts w:eastAsia="Times New Roman" w:cs="Times New Roman"/>
          <w:bCs/>
          <w:lang w:eastAsia="lv-LV"/>
        </w:rPr>
        <w:t xml:space="preserve">, </w:t>
      </w:r>
      <w:r w:rsidRPr="00C31B05">
        <w:rPr>
          <w:rFonts w:eastAsia="Times New Roman" w:cs="Times New Roman"/>
          <w:b/>
          <w:lang w:eastAsia="lv-LV"/>
        </w:rPr>
        <w:t>-0,</w:t>
      </w:r>
      <w:r w:rsidR="002E7C6D" w:rsidRPr="00C31B05">
        <w:rPr>
          <w:rFonts w:eastAsia="Times New Roman" w:cs="Times New Roman"/>
          <w:b/>
          <w:lang w:eastAsia="lv-LV"/>
        </w:rPr>
        <w:t>749</w:t>
      </w:r>
      <w:r w:rsidRPr="00C31B05">
        <w:rPr>
          <w:rFonts w:eastAsia="Times New Roman" w:cs="Times New Roman"/>
          <w:b/>
          <w:lang w:eastAsia="lv-LV"/>
        </w:rPr>
        <w:t>% no IKP 2026. gadam</w:t>
      </w:r>
      <w:r w:rsidRPr="00C31B05">
        <w:rPr>
          <w:rFonts w:eastAsia="Times New Roman" w:cs="Times New Roman"/>
          <w:bCs/>
          <w:lang w:eastAsia="lv-LV"/>
        </w:rPr>
        <w:t xml:space="preserve">, </w:t>
      </w:r>
      <w:r w:rsidRPr="00C31B05">
        <w:rPr>
          <w:rFonts w:eastAsia="Times New Roman" w:cs="Times New Roman"/>
          <w:b/>
          <w:lang w:eastAsia="lv-LV"/>
        </w:rPr>
        <w:t>-</w:t>
      </w:r>
      <w:r w:rsidR="002E7C6D" w:rsidRPr="00C31B05">
        <w:rPr>
          <w:rFonts w:eastAsia="Times New Roman" w:cs="Times New Roman"/>
          <w:b/>
          <w:lang w:eastAsia="lv-LV"/>
        </w:rPr>
        <w:t>0,792</w:t>
      </w:r>
      <w:r w:rsidRPr="00C31B05">
        <w:rPr>
          <w:rFonts w:eastAsia="Times New Roman" w:cs="Times New Roman"/>
          <w:b/>
          <w:lang w:eastAsia="lv-LV"/>
        </w:rPr>
        <w:t xml:space="preserve">% no IKP 2027. gadam </w:t>
      </w:r>
      <w:r w:rsidRPr="00C31B05">
        <w:rPr>
          <w:rFonts w:eastAsia="Times New Roman" w:cs="Times New Roman"/>
          <w:bCs/>
          <w:lang w:eastAsia="lv-LV"/>
        </w:rPr>
        <w:t>un</w:t>
      </w:r>
      <w:r w:rsidRPr="00C31B05">
        <w:rPr>
          <w:rFonts w:eastAsia="Times New Roman" w:cs="Times New Roman"/>
          <w:b/>
          <w:lang w:eastAsia="lv-LV"/>
        </w:rPr>
        <w:t xml:space="preserve"> -0,</w:t>
      </w:r>
      <w:r w:rsidR="002E7C6D" w:rsidRPr="00C31B05">
        <w:rPr>
          <w:rFonts w:eastAsia="Times New Roman" w:cs="Times New Roman"/>
          <w:b/>
          <w:lang w:eastAsia="lv-LV"/>
        </w:rPr>
        <w:t>932</w:t>
      </w:r>
      <w:r w:rsidRPr="00C31B05">
        <w:rPr>
          <w:rFonts w:eastAsia="Times New Roman" w:cs="Times New Roman"/>
          <w:b/>
          <w:lang w:eastAsia="lv-LV"/>
        </w:rPr>
        <w:t>% no IKP 2028. gadam</w:t>
      </w:r>
      <w:r w:rsidRPr="00C31B05">
        <w:rPr>
          <w:rFonts w:eastAsia="Times New Roman" w:cs="Times New Roman"/>
          <w:bCs/>
          <w:lang w:eastAsia="lv-LV"/>
        </w:rPr>
        <w:t>.</w:t>
      </w:r>
      <w:r w:rsidRPr="000F5DA8">
        <w:rPr>
          <w:rFonts w:eastAsia="Times New Roman" w:cs="Times New Roman"/>
          <w:bCs/>
          <w:lang w:eastAsia="lv-LV"/>
        </w:rPr>
        <w:t xml:space="preserve"> </w:t>
      </w:r>
    </w:p>
    <w:p w14:paraId="2B804B1A" w14:textId="13C01127" w:rsidR="00702199" w:rsidRPr="008403D0" w:rsidRDefault="00424AD5" w:rsidP="008403D0">
      <w:pPr>
        <w:spacing w:line="240" w:lineRule="auto"/>
        <w:rPr>
          <w:rFonts w:eastAsia="Times New Roman"/>
          <w:bCs/>
          <w:lang w:eastAsia="lv-LV"/>
        </w:rPr>
      </w:pPr>
      <w:r w:rsidRPr="000F5DA8">
        <w:rPr>
          <w:rFonts w:eastAsia="Times New Roman"/>
          <w:bCs/>
          <w:lang w:eastAsia="lv-LV"/>
        </w:rPr>
        <w:t xml:space="preserve">Šajā </w:t>
      </w:r>
      <w:r w:rsidR="0029545C">
        <w:rPr>
          <w:rFonts w:eastAsia="Times New Roman"/>
          <w:bCs/>
          <w:lang w:eastAsia="lv-LV"/>
        </w:rPr>
        <w:t>FSP</w:t>
      </w:r>
      <w:r w:rsidRPr="000F5DA8">
        <w:rPr>
          <w:rFonts w:eastAsia="Times New Roman"/>
          <w:bCs/>
          <w:lang w:eastAsia="lv-LV"/>
        </w:rPr>
        <w:t xml:space="preserve"> ir ietverti jaunie politikas pasākumi, kas kopā ar fiskālajiem rādītājiem pie nemainīgas politikas dod ieskatu par valsts galveno fiskālo rādītāju prognozēm 2025</w:t>
      </w:r>
      <w:r w:rsidR="005755A6">
        <w:rPr>
          <w:rFonts w:eastAsia="Times New Roman"/>
          <w:bCs/>
          <w:lang w:eastAsia="lv-LV"/>
        </w:rPr>
        <w:t xml:space="preserve">. </w:t>
      </w:r>
      <w:r w:rsidRPr="000F5DA8">
        <w:rPr>
          <w:rFonts w:eastAsia="Times New Roman"/>
          <w:bCs/>
          <w:lang w:eastAsia="lv-LV"/>
        </w:rPr>
        <w:t>- 2028. gadu periodam.</w:t>
      </w:r>
      <w:r w:rsidR="00EE7219" w:rsidRPr="000F5DA8">
        <w:rPr>
          <w:rFonts w:eastAsia="Times New Roman"/>
          <w:bCs/>
          <w:lang w:eastAsia="lv-LV"/>
        </w:rPr>
        <w:t xml:space="preserve"> </w:t>
      </w:r>
    </w:p>
    <w:p w14:paraId="57E5D01C" w14:textId="5673974D" w:rsidR="00511E0E" w:rsidRDefault="00234244" w:rsidP="006357B3">
      <w:pPr>
        <w:spacing w:line="240" w:lineRule="auto"/>
        <w:jc w:val="right"/>
        <w:rPr>
          <w:bCs/>
          <w:lang w:eastAsia="lv-LV"/>
        </w:rPr>
      </w:pPr>
      <w:r>
        <w:rPr>
          <w:rFonts w:cs="Times New Roman"/>
          <w:b/>
          <w:bCs/>
          <w:szCs w:val="24"/>
          <w:lang w:eastAsia="lv-LV"/>
        </w:rPr>
        <w:t>J</w:t>
      </w:r>
      <w:r w:rsidR="005755A6">
        <w:rPr>
          <w:rFonts w:cs="Times New Roman"/>
          <w:b/>
          <w:bCs/>
          <w:szCs w:val="24"/>
          <w:lang w:eastAsia="lv-LV"/>
        </w:rPr>
        <w:t>.</w:t>
      </w:r>
      <w:r w:rsidR="005755A6" w:rsidRPr="00F8093F">
        <w:rPr>
          <w:rFonts w:cs="Times New Roman"/>
          <w:b/>
          <w:bCs/>
          <w:szCs w:val="24"/>
          <w:lang w:eastAsia="lv-LV"/>
        </w:rPr>
        <w:t xml:space="preserve"> tabula. </w:t>
      </w:r>
      <w:r w:rsidR="005755A6">
        <w:rPr>
          <w:rFonts w:cs="Times New Roman"/>
          <w:b/>
          <w:bCs/>
          <w:szCs w:val="24"/>
          <w:lang w:eastAsia="lv-LV"/>
        </w:rPr>
        <w:t>Galveno fiskālo rādītāju prognozes</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134"/>
        <w:gridCol w:w="963"/>
        <w:gridCol w:w="964"/>
        <w:gridCol w:w="964"/>
        <w:gridCol w:w="964"/>
        <w:gridCol w:w="964"/>
      </w:tblGrid>
      <w:tr w:rsidR="00511E0E" w:rsidRPr="00FD1578" w14:paraId="53B4D9EA" w14:textId="77777777" w:rsidTr="00F8093F">
        <w:trPr>
          <w:trHeight w:val="20"/>
          <w:tblHeader/>
          <w:jc w:val="center"/>
        </w:trPr>
        <w:tc>
          <w:tcPr>
            <w:tcW w:w="3114" w:type="dxa"/>
            <w:shd w:val="clear" w:color="auto" w:fill="BDD6EE" w:themeFill="accent1" w:themeFillTint="66"/>
            <w:noWrap/>
            <w:vAlign w:val="bottom"/>
            <w:hideMark/>
          </w:tcPr>
          <w:p w14:paraId="232BAB34" w14:textId="77777777" w:rsidR="00511E0E" w:rsidRPr="00FD1578" w:rsidRDefault="00511E0E" w:rsidP="006357B3">
            <w:pPr>
              <w:spacing w:before="60" w:line="240" w:lineRule="auto"/>
              <w:ind w:firstLine="0"/>
              <w:jc w:val="left"/>
              <w:rPr>
                <w:rFonts w:eastAsia="Times New Roman" w:cs="Times New Roman"/>
                <w:color w:val="000000"/>
                <w:sz w:val="18"/>
                <w:szCs w:val="18"/>
              </w:rPr>
            </w:pPr>
            <w:r w:rsidRPr="00FD1578">
              <w:rPr>
                <w:rFonts w:eastAsia="Times New Roman" w:cs="Times New Roman"/>
                <w:color w:val="000000"/>
                <w:sz w:val="18"/>
                <w:szCs w:val="18"/>
              </w:rPr>
              <w:t> </w:t>
            </w:r>
          </w:p>
        </w:tc>
        <w:tc>
          <w:tcPr>
            <w:tcW w:w="1134" w:type="dxa"/>
            <w:shd w:val="clear" w:color="auto" w:fill="BDD6EE" w:themeFill="accent1" w:themeFillTint="66"/>
          </w:tcPr>
          <w:p w14:paraId="5D53B6FE"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p>
        </w:tc>
        <w:tc>
          <w:tcPr>
            <w:tcW w:w="963" w:type="dxa"/>
            <w:shd w:val="clear" w:color="auto" w:fill="BDD6EE" w:themeFill="accent1" w:themeFillTint="66"/>
            <w:noWrap/>
            <w:vAlign w:val="center"/>
            <w:hideMark/>
          </w:tcPr>
          <w:p w14:paraId="6FA00497"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2024</w:t>
            </w:r>
          </w:p>
        </w:tc>
        <w:tc>
          <w:tcPr>
            <w:tcW w:w="964" w:type="dxa"/>
            <w:shd w:val="clear" w:color="auto" w:fill="BDD6EE" w:themeFill="accent1" w:themeFillTint="66"/>
            <w:noWrap/>
            <w:vAlign w:val="center"/>
            <w:hideMark/>
          </w:tcPr>
          <w:p w14:paraId="68DCF848"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2025</w:t>
            </w:r>
          </w:p>
        </w:tc>
        <w:tc>
          <w:tcPr>
            <w:tcW w:w="964" w:type="dxa"/>
            <w:shd w:val="clear" w:color="auto" w:fill="BDD6EE" w:themeFill="accent1" w:themeFillTint="66"/>
            <w:noWrap/>
            <w:vAlign w:val="center"/>
            <w:hideMark/>
          </w:tcPr>
          <w:p w14:paraId="002DE3DD"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2026</w:t>
            </w:r>
          </w:p>
        </w:tc>
        <w:tc>
          <w:tcPr>
            <w:tcW w:w="964" w:type="dxa"/>
            <w:shd w:val="clear" w:color="auto" w:fill="BDD6EE" w:themeFill="accent1" w:themeFillTint="66"/>
            <w:noWrap/>
            <w:vAlign w:val="center"/>
            <w:hideMark/>
          </w:tcPr>
          <w:p w14:paraId="7B8B3281"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2027</w:t>
            </w:r>
          </w:p>
        </w:tc>
        <w:tc>
          <w:tcPr>
            <w:tcW w:w="964" w:type="dxa"/>
            <w:shd w:val="clear" w:color="auto" w:fill="BDD6EE" w:themeFill="accent1" w:themeFillTint="66"/>
            <w:noWrap/>
            <w:vAlign w:val="center"/>
            <w:hideMark/>
          </w:tcPr>
          <w:p w14:paraId="261D78ED" w14:textId="77777777" w:rsidR="00511E0E" w:rsidRPr="00FD1578" w:rsidRDefault="00511E0E" w:rsidP="006357B3">
            <w:pPr>
              <w:spacing w:before="60" w:line="240" w:lineRule="auto"/>
              <w:ind w:firstLine="0"/>
              <w:jc w:val="center"/>
              <w:rPr>
                <w:rFonts w:eastAsia="Times New Roman" w:cs="Times New Roman"/>
                <w:b/>
                <w:bCs/>
                <w:color w:val="000000"/>
                <w:sz w:val="18"/>
                <w:szCs w:val="18"/>
              </w:rPr>
            </w:pPr>
            <w:r w:rsidRPr="00FD1578">
              <w:rPr>
                <w:rFonts w:eastAsia="Times New Roman" w:cs="Times New Roman"/>
                <w:b/>
                <w:bCs/>
                <w:color w:val="000000"/>
                <w:sz w:val="18"/>
                <w:szCs w:val="18"/>
              </w:rPr>
              <w:t>2028</w:t>
            </w:r>
          </w:p>
        </w:tc>
      </w:tr>
      <w:tr w:rsidR="00FE24E8" w:rsidRPr="00FD1578" w14:paraId="42FDDFA8" w14:textId="77777777" w:rsidTr="00FE24E8">
        <w:trPr>
          <w:trHeight w:val="20"/>
          <w:jc w:val="center"/>
        </w:trPr>
        <w:tc>
          <w:tcPr>
            <w:tcW w:w="3114" w:type="dxa"/>
            <w:shd w:val="clear" w:color="auto" w:fill="auto"/>
            <w:noWrap/>
            <w:vAlign w:val="center"/>
          </w:tcPr>
          <w:p w14:paraId="24F7944C" w14:textId="4805E283" w:rsidR="00FE24E8" w:rsidRPr="00FD157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V</w:t>
            </w:r>
            <w:r w:rsidRPr="00FD1578">
              <w:rPr>
                <w:rFonts w:eastAsia="Times New Roman" w:cs="Times New Roman"/>
                <w:color w:val="000000"/>
                <w:sz w:val="18"/>
                <w:szCs w:val="18"/>
              </w:rPr>
              <w:t>ispārējās valdības budžeta bilance</w:t>
            </w:r>
            <w:r>
              <w:rPr>
                <w:rFonts w:eastAsia="Times New Roman" w:cs="Times New Roman"/>
                <w:color w:val="000000"/>
                <w:sz w:val="18"/>
                <w:szCs w:val="18"/>
              </w:rPr>
              <w:t xml:space="preserve"> (pie nemainīgas politikas)</w:t>
            </w:r>
            <w:r w:rsidRPr="00FD1578">
              <w:rPr>
                <w:rFonts w:eastAsia="Times New Roman" w:cs="Times New Roman"/>
                <w:color w:val="000000"/>
                <w:sz w:val="18"/>
                <w:szCs w:val="18"/>
              </w:rPr>
              <w:t>, % no IKP</w:t>
            </w:r>
          </w:p>
        </w:tc>
        <w:tc>
          <w:tcPr>
            <w:tcW w:w="1134" w:type="dxa"/>
            <w:vAlign w:val="center"/>
          </w:tcPr>
          <w:p w14:paraId="4900FE3A" w14:textId="54ACE8C5"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(1)</w:t>
            </w:r>
          </w:p>
        </w:tc>
        <w:tc>
          <w:tcPr>
            <w:tcW w:w="963" w:type="dxa"/>
            <w:shd w:val="clear" w:color="auto" w:fill="auto"/>
            <w:noWrap/>
            <w:vAlign w:val="center"/>
          </w:tcPr>
          <w:p w14:paraId="4625DB83" w14:textId="58714980"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-2,57</w:t>
            </w:r>
          </w:p>
        </w:tc>
        <w:tc>
          <w:tcPr>
            <w:tcW w:w="964" w:type="dxa"/>
            <w:shd w:val="clear" w:color="auto" w:fill="auto"/>
            <w:noWrap/>
            <w:vAlign w:val="center"/>
          </w:tcPr>
          <w:p w14:paraId="35630A0E" w14:textId="42650D09"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-2,99</w:t>
            </w:r>
          </w:p>
        </w:tc>
        <w:tc>
          <w:tcPr>
            <w:tcW w:w="964" w:type="dxa"/>
            <w:shd w:val="clear" w:color="auto" w:fill="FFFFFF" w:themeFill="background1"/>
            <w:noWrap/>
            <w:vAlign w:val="center"/>
          </w:tcPr>
          <w:p w14:paraId="33859048" w14:textId="799381A7"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-2,88</w:t>
            </w:r>
          </w:p>
        </w:tc>
        <w:tc>
          <w:tcPr>
            <w:tcW w:w="964" w:type="dxa"/>
            <w:shd w:val="clear" w:color="auto" w:fill="FFFFFF" w:themeFill="background1"/>
            <w:noWrap/>
            <w:vAlign w:val="center"/>
          </w:tcPr>
          <w:p w14:paraId="25FCE1CA" w14:textId="34045562"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-2,57</w:t>
            </w:r>
          </w:p>
        </w:tc>
        <w:tc>
          <w:tcPr>
            <w:tcW w:w="964" w:type="dxa"/>
            <w:shd w:val="clear" w:color="auto" w:fill="FFFFFF" w:themeFill="background1"/>
            <w:noWrap/>
            <w:vAlign w:val="center"/>
          </w:tcPr>
          <w:p w14:paraId="716ECEBB" w14:textId="002EDC22"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-2,33</w:t>
            </w:r>
          </w:p>
        </w:tc>
      </w:tr>
      <w:tr w:rsidR="00FE24E8" w:rsidRPr="00FD1578" w14:paraId="1351EE30" w14:textId="77777777" w:rsidTr="00FE24E8">
        <w:trPr>
          <w:trHeight w:val="20"/>
          <w:jc w:val="center"/>
        </w:trPr>
        <w:tc>
          <w:tcPr>
            <w:tcW w:w="3114" w:type="dxa"/>
            <w:shd w:val="clear" w:color="auto" w:fill="auto"/>
            <w:noWrap/>
            <w:vAlign w:val="center"/>
          </w:tcPr>
          <w:p w14:paraId="7115755E" w14:textId="483A6A70" w:rsidR="00FE24E8" w:rsidRPr="00FD157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 xml:space="preserve">Jaunie politikas pasākumi, milj. </w:t>
            </w:r>
            <w:proofErr w:type="spellStart"/>
            <w:r w:rsidRPr="005755A6">
              <w:rPr>
                <w:rFonts w:eastAsia="Times New Roman" w:cs="Times New Roman"/>
                <w:i/>
                <w:iCs/>
                <w:color w:val="000000"/>
                <w:sz w:val="18"/>
                <w:szCs w:val="18"/>
              </w:rPr>
              <w:t>euro</w:t>
            </w:r>
            <w:proofErr w:type="spellEnd"/>
          </w:p>
        </w:tc>
        <w:tc>
          <w:tcPr>
            <w:tcW w:w="1134" w:type="dxa"/>
            <w:vAlign w:val="center"/>
          </w:tcPr>
          <w:p w14:paraId="5F44904E" w14:textId="1165D299"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(2)</w:t>
            </w:r>
          </w:p>
        </w:tc>
        <w:tc>
          <w:tcPr>
            <w:tcW w:w="963" w:type="dxa"/>
            <w:shd w:val="clear" w:color="auto" w:fill="auto"/>
            <w:noWrap/>
            <w:vAlign w:val="center"/>
          </w:tcPr>
          <w:p w14:paraId="6460F599" w14:textId="732A9226"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w:t>
            </w:r>
          </w:p>
        </w:tc>
        <w:tc>
          <w:tcPr>
            <w:tcW w:w="964" w:type="dxa"/>
            <w:shd w:val="clear" w:color="auto" w:fill="auto"/>
            <w:noWrap/>
            <w:vAlign w:val="center"/>
          </w:tcPr>
          <w:p w14:paraId="76BAD2AF" w14:textId="7B9AB72A"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w:t>
            </w:r>
          </w:p>
        </w:tc>
        <w:tc>
          <w:tcPr>
            <w:tcW w:w="964" w:type="dxa"/>
            <w:shd w:val="clear" w:color="auto" w:fill="FFFFFF" w:themeFill="background1"/>
            <w:noWrap/>
            <w:vAlign w:val="center"/>
          </w:tcPr>
          <w:p w14:paraId="7831772F" w14:textId="1976359E"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60,7</w:t>
            </w:r>
          </w:p>
        </w:tc>
        <w:tc>
          <w:tcPr>
            <w:tcW w:w="964" w:type="dxa"/>
            <w:shd w:val="clear" w:color="auto" w:fill="FFFFFF" w:themeFill="background1"/>
            <w:noWrap/>
            <w:vAlign w:val="center"/>
          </w:tcPr>
          <w:p w14:paraId="1CB650C5" w14:textId="2F89B287"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20,5</w:t>
            </w:r>
          </w:p>
        </w:tc>
        <w:tc>
          <w:tcPr>
            <w:tcW w:w="964" w:type="dxa"/>
            <w:shd w:val="clear" w:color="auto" w:fill="FFFFFF" w:themeFill="background1"/>
            <w:noWrap/>
            <w:vAlign w:val="center"/>
          </w:tcPr>
          <w:p w14:paraId="19455170" w14:textId="23F4AC5A"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53,6</w:t>
            </w:r>
          </w:p>
        </w:tc>
      </w:tr>
      <w:tr w:rsidR="00FE24E8" w:rsidRPr="00FD1578" w14:paraId="50C3C5DF" w14:textId="77777777" w:rsidTr="00FE24E8">
        <w:trPr>
          <w:trHeight w:val="20"/>
          <w:jc w:val="center"/>
        </w:trPr>
        <w:tc>
          <w:tcPr>
            <w:tcW w:w="3114" w:type="dxa"/>
            <w:shd w:val="clear" w:color="auto" w:fill="auto"/>
            <w:noWrap/>
            <w:vAlign w:val="center"/>
          </w:tcPr>
          <w:p w14:paraId="21E92E6B" w14:textId="43A4F9B8" w:rsidR="00FE24E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V</w:t>
            </w:r>
            <w:r w:rsidRPr="00FD1578">
              <w:rPr>
                <w:rFonts w:eastAsia="Times New Roman" w:cs="Times New Roman"/>
                <w:color w:val="000000"/>
                <w:sz w:val="18"/>
                <w:szCs w:val="18"/>
              </w:rPr>
              <w:t>ispārējās valdības kopējie ieņēmumi</w:t>
            </w:r>
            <w:r>
              <w:rPr>
                <w:rFonts w:eastAsia="Times New Roman" w:cs="Times New Roman"/>
                <w:color w:val="000000"/>
                <w:sz w:val="18"/>
                <w:szCs w:val="18"/>
              </w:rPr>
              <w:t xml:space="preserve"> (pie mainīgas politikas)</w:t>
            </w:r>
            <w:r w:rsidRPr="00FD1578">
              <w:rPr>
                <w:rFonts w:eastAsia="Times New Roman" w:cs="Times New Roman"/>
                <w:color w:val="000000"/>
                <w:sz w:val="18"/>
                <w:szCs w:val="18"/>
              </w:rPr>
              <w:t xml:space="preserve">,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09A673C6" w14:textId="7B07293D"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(3)</w:t>
            </w:r>
          </w:p>
        </w:tc>
        <w:tc>
          <w:tcPr>
            <w:tcW w:w="963" w:type="dxa"/>
            <w:shd w:val="clear" w:color="auto" w:fill="auto"/>
            <w:noWrap/>
            <w:vAlign w:val="center"/>
          </w:tcPr>
          <w:p w14:paraId="51B42F8C" w14:textId="0AA55073"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17 641</w:t>
            </w:r>
          </w:p>
        </w:tc>
        <w:tc>
          <w:tcPr>
            <w:tcW w:w="964" w:type="dxa"/>
            <w:shd w:val="clear" w:color="auto" w:fill="auto"/>
            <w:noWrap/>
            <w:vAlign w:val="center"/>
          </w:tcPr>
          <w:p w14:paraId="0890E5AE" w14:textId="00741975"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18 428</w:t>
            </w:r>
          </w:p>
        </w:tc>
        <w:tc>
          <w:tcPr>
            <w:tcW w:w="964" w:type="dxa"/>
            <w:shd w:val="clear" w:color="auto" w:fill="FFFFFF" w:themeFill="background1"/>
            <w:noWrap/>
            <w:vAlign w:val="center"/>
          </w:tcPr>
          <w:p w14:paraId="39C7F331" w14:textId="2CA33DCD"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19 050</w:t>
            </w:r>
          </w:p>
        </w:tc>
        <w:tc>
          <w:tcPr>
            <w:tcW w:w="964" w:type="dxa"/>
            <w:shd w:val="clear" w:color="auto" w:fill="FFFFFF" w:themeFill="background1"/>
            <w:noWrap/>
            <w:vAlign w:val="center"/>
          </w:tcPr>
          <w:p w14:paraId="46C9745E" w14:textId="009EB5E6"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19 451</w:t>
            </w:r>
          </w:p>
        </w:tc>
        <w:tc>
          <w:tcPr>
            <w:tcW w:w="964" w:type="dxa"/>
            <w:shd w:val="clear" w:color="auto" w:fill="FFFFFF" w:themeFill="background1"/>
            <w:noWrap/>
            <w:vAlign w:val="center"/>
          </w:tcPr>
          <w:p w14:paraId="3982249F" w14:textId="2EEF5F28"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19 969</w:t>
            </w:r>
          </w:p>
        </w:tc>
      </w:tr>
      <w:tr w:rsidR="00FE24E8" w:rsidRPr="00FD1578" w14:paraId="51E7639D" w14:textId="77777777" w:rsidTr="00FE24E8">
        <w:trPr>
          <w:trHeight w:val="20"/>
          <w:jc w:val="center"/>
        </w:trPr>
        <w:tc>
          <w:tcPr>
            <w:tcW w:w="3114" w:type="dxa"/>
            <w:shd w:val="clear" w:color="auto" w:fill="auto"/>
            <w:noWrap/>
            <w:vAlign w:val="center"/>
          </w:tcPr>
          <w:p w14:paraId="02FD68E0" w14:textId="3138B51F" w:rsidR="00FE24E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V</w:t>
            </w:r>
            <w:r w:rsidRPr="00FD1578">
              <w:rPr>
                <w:rFonts w:eastAsia="Times New Roman" w:cs="Times New Roman"/>
                <w:color w:val="000000"/>
                <w:sz w:val="18"/>
                <w:szCs w:val="18"/>
              </w:rPr>
              <w:t>ispārējās valdības kopējie izdevumi</w:t>
            </w:r>
            <w:r>
              <w:rPr>
                <w:rFonts w:eastAsia="Times New Roman" w:cs="Times New Roman"/>
                <w:color w:val="000000"/>
                <w:sz w:val="18"/>
                <w:szCs w:val="18"/>
              </w:rPr>
              <w:t xml:space="preserve"> (pie mainīgas politikas) ar fiskālā nodrošinājuma rezervi</w:t>
            </w:r>
            <w:r w:rsidRPr="00FD1578">
              <w:rPr>
                <w:rFonts w:eastAsia="Times New Roman" w:cs="Times New Roman"/>
                <w:color w:val="000000"/>
                <w:sz w:val="18"/>
                <w:szCs w:val="18"/>
              </w:rPr>
              <w:t xml:space="preserve">,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4EAD06EE" w14:textId="6CDB8EB7"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(4)</w:t>
            </w:r>
          </w:p>
        </w:tc>
        <w:tc>
          <w:tcPr>
            <w:tcW w:w="963" w:type="dxa"/>
            <w:shd w:val="clear" w:color="auto" w:fill="auto"/>
            <w:noWrap/>
            <w:vAlign w:val="center"/>
          </w:tcPr>
          <w:p w14:paraId="5EEFC316" w14:textId="31B35633"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18 717</w:t>
            </w:r>
          </w:p>
        </w:tc>
        <w:tc>
          <w:tcPr>
            <w:tcW w:w="964" w:type="dxa"/>
            <w:shd w:val="clear" w:color="auto" w:fill="auto"/>
            <w:noWrap/>
            <w:vAlign w:val="center"/>
          </w:tcPr>
          <w:p w14:paraId="2F1BFFAE" w14:textId="5E0A3E14"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19 755</w:t>
            </w:r>
          </w:p>
        </w:tc>
        <w:tc>
          <w:tcPr>
            <w:tcW w:w="964" w:type="dxa"/>
            <w:shd w:val="clear" w:color="auto" w:fill="FFFFFF" w:themeFill="background1"/>
            <w:noWrap/>
            <w:vAlign w:val="center"/>
          </w:tcPr>
          <w:p w14:paraId="602C8422" w14:textId="730CF2A4"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20 338</w:t>
            </w:r>
          </w:p>
        </w:tc>
        <w:tc>
          <w:tcPr>
            <w:tcW w:w="964" w:type="dxa"/>
            <w:shd w:val="clear" w:color="auto" w:fill="FFFFFF" w:themeFill="background1"/>
            <w:noWrap/>
            <w:vAlign w:val="center"/>
          </w:tcPr>
          <w:p w14:paraId="26D608F6" w14:textId="7A8EB4D2"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20 701</w:t>
            </w:r>
          </w:p>
        </w:tc>
        <w:tc>
          <w:tcPr>
            <w:tcW w:w="964" w:type="dxa"/>
            <w:shd w:val="clear" w:color="auto" w:fill="FFFFFF" w:themeFill="background1"/>
            <w:noWrap/>
            <w:vAlign w:val="center"/>
          </w:tcPr>
          <w:p w14:paraId="7C227B76" w14:textId="73EFCC23"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21 124</w:t>
            </w:r>
          </w:p>
        </w:tc>
      </w:tr>
      <w:tr w:rsidR="00FE24E8" w:rsidRPr="00FD1578" w14:paraId="636D4411" w14:textId="77777777" w:rsidTr="00FE24E8">
        <w:trPr>
          <w:trHeight w:val="20"/>
          <w:jc w:val="center"/>
        </w:trPr>
        <w:tc>
          <w:tcPr>
            <w:tcW w:w="3114" w:type="dxa"/>
            <w:shd w:val="clear" w:color="auto" w:fill="auto"/>
            <w:noWrap/>
            <w:vAlign w:val="center"/>
          </w:tcPr>
          <w:p w14:paraId="5CCEDB40" w14:textId="38EA26F6" w:rsidR="00FE24E8" w:rsidRPr="00FD157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V</w:t>
            </w:r>
            <w:r w:rsidRPr="00FD1578">
              <w:rPr>
                <w:rFonts w:eastAsia="Times New Roman" w:cs="Times New Roman"/>
                <w:color w:val="000000"/>
                <w:sz w:val="18"/>
                <w:szCs w:val="18"/>
              </w:rPr>
              <w:t>ispārējās valdības budžeta bilance</w:t>
            </w:r>
            <w:r>
              <w:rPr>
                <w:rFonts w:eastAsia="Times New Roman" w:cs="Times New Roman"/>
                <w:color w:val="000000"/>
                <w:sz w:val="18"/>
                <w:szCs w:val="18"/>
              </w:rPr>
              <w:t xml:space="preserve"> (pie mainīgas politikas)</w:t>
            </w:r>
            <w:r w:rsidRPr="00FD1578">
              <w:rPr>
                <w:rFonts w:eastAsia="Times New Roman" w:cs="Times New Roman"/>
                <w:color w:val="000000"/>
                <w:sz w:val="18"/>
                <w:szCs w:val="18"/>
              </w:rPr>
              <w:t>, % no IKP</w:t>
            </w:r>
          </w:p>
        </w:tc>
        <w:tc>
          <w:tcPr>
            <w:tcW w:w="1134" w:type="dxa"/>
            <w:vAlign w:val="center"/>
          </w:tcPr>
          <w:p w14:paraId="06BE04BD" w14:textId="6BC40E96"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(5)=(1)+(2)</w:t>
            </w:r>
          </w:p>
        </w:tc>
        <w:tc>
          <w:tcPr>
            <w:tcW w:w="963" w:type="dxa"/>
            <w:shd w:val="clear" w:color="auto" w:fill="auto"/>
            <w:noWrap/>
            <w:vAlign w:val="center"/>
          </w:tcPr>
          <w:p w14:paraId="42C87C02" w14:textId="5AE76C9E"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-2,57</w:t>
            </w:r>
          </w:p>
        </w:tc>
        <w:tc>
          <w:tcPr>
            <w:tcW w:w="964" w:type="dxa"/>
            <w:shd w:val="clear" w:color="auto" w:fill="auto"/>
            <w:noWrap/>
            <w:vAlign w:val="center"/>
          </w:tcPr>
          <w:p w14:paraId="204A3F28" w14:textId="34C04236"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-2,99</w:t>
            </w:r>
          </w:p>
        </w:tc>
        <w:tc>
          <w:tcPr>
            <w:tcW w:w="964" w:type="dxa"/>
            <w:shd w:val="clear" w:color="auto" w:fill="FFFFFF" w:themeFill="background1"/>
            <w:noWrap/>
            <w:vAlign w:val="center"/>
          </w:tcPr>
          <w:p w14:paraId="5B65A09F" w14:textId="262B04D1"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-2,75</w:t>
            </w:r>
          </w:p>
        </w:tc>
        <w:tc>
          <w:tcPr>
            <w:tcW w:w="964" w:type="dxa"/>
            <w:shd w:val="clear" w:color="auto" w:fill="FFFFFF" w:themeFill="background1"/>
            <w:noWrap/>
            <w:vAlign w:val="center"/>
          </w:tcPr>
          <w:p w14:paraId="64CFCB5A" w14:textId="3C580AA3"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-2,53</w:t>
            </w:r>
          </w:p>
        </w:tc>
        <w:tc>
          <w:tcPr>
            <w:tcW w:w="964" w:type="dxa"/>
            <w:shd w:val="clear" w:color="auto" w:fill="FFFFFF" w:themeFill="background1"/>
            <w:noWrap/>
            <w:vAlign w:val="center"/>
          </w:tcPr>
          <w:p w14:paraId="12B92280" w14:textId="560A56BE"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-2,23</w:t>
            </w:r>
          </w:p>
        </w:tc>
      </w:tr>
      <w:tr w:rsidR="00FE24E8" w:rsidRPr="00FD1578" w14:paraId="6F2FC745" w14:textId="77777777" w:rsidTr="00FE24E8">
        <w:trPr>
          <w:trHeight w:val="20"/>
          <w:jc w:val="center"/>
        </w:trPr>
        <w:tc>
          <w:tcPr>
            <w:tcW w:w="3114" w:type="dxa"/>
            <w:shd w:val="clear" w:color="auto" w:fill="auto"/>
            <w:noWrap/>
            <w:vAlign w:val="center"/>
          </w:tcPr>
          <w:p w14:paraId="5E3AE5C3" w14:textId="46D4E12C" w:rsidR="00FE24E8" w:rsidRPr="00FD1578" w:rsidRDefault="00FE24E8" w:rsidP="006357B3">
            <w:pPr>
              <w:spacing w:before="60" w:line="240" w:lineRule="auto"/>
              <w:ind w:firstLine="0"/>
              <w:jc w:val="left"/>
              <w:rPr>
                <w:rFonts w:eastAsia="Times New Roman" w:cs="Times New Roman"/>
                <w:color w:val="000000"/>
                <w:sz w:val="18"/>
                <w:szCs w:val="18"/>
              </w:rPr>
            </w:pPr>
            <w:proofErr w:type="spellStart"/>
            <w:r w:rsidRPr="00BC0A7E">
              <w:rPr>
                <w:rFonts w:eastAsia="Times New Roman" w:cs="Times New Roman"/>
                <w:i/>
                <w:iCs/>
                <w:color w:val="000000"/>
                <w:sz w:val="18"/>
                <w:szCs w:val="18"/>
              </w:rPr>
              <w:t>One-off</w:t>
            </w:r>
            <w:proofErr w:type="spellEnd"/>
            <w:r w:rsidRPr="00FD1578">
              <w:rPr>
                <w:rFonts w:eastAsia="Times New Roman" w:cs="Times New Roman"/>
                <w:color w:val="000000"/>
                <w:sz w:val="18"/>
                <w:szCs w:val="18"/>
              </w:rPr>
              <w:t xml:space="preserve"> un citi īslaicīgie pasākumi, % no IKP</w:t>
            </w:r>
          </w:p>
        </w:tc>
        <w:tc>
          <w:tcPr>
            <w:tcW w:w="1134" w:type="dxa"/>
            <w:vAlign w:val="center"/>
          </w:tcPr>
          <w:p w14:paraId="148D6433" w14:textId="7E03FB22"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(6)</w:t>
            </w:r>
          </w:p>
        </w:tc>
        <w:tc>
          <w:tcPr>
            <w:tcW w:w="963" w:type="dxa"/>
            <w:shd w:val="clear" w:color="auto" w:fill="auto"/>
            <w:noWrap/>
            <w:vAlign w:val="center"/>
          </w:tcPr>
          <w:p w14:paraId="0F49C3C2" w14:textId="73C1CDEC"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-1,7</w:t>
            </w:r>
          </w:p>
        </w:tc>
        <w:tc>
          <w:tcPr>
            <w:tcW w:w="964" w:type="dxa"/>
            <w:shd w:val="clear" w:color="auto" w:fill="auto"/>
            <w:noWrap/>
            <w:vAlign w:val="center"/>
          </w:tcPr>
          <w:p w14:paraId="1BE7AB0B" w14:textId="11B7E219"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-1,7</w:t>
            </w:r>
          </w:p>
        </w:tc>
        <w:tc>
          <w:tcPr>
            <w:tcW w:w="964" w:type="dxa"/>
            <w:shd w:val="clear" w:color="auto" w:fill="FFFFFF" w:themeFill="background1"/>
            <w:noWrap/>
            <w:vAlign w:val="center"/>
          </w:tcPr>
          <w:p w14:paraId="21997600" w14:textId="28B56D78"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-1,8</w:t>
            </w:r>
          </w:p>
        </w:tc>
        <w:tc>
          <w:tcPr>
            <w:tcW w:w="964" w:type="dxa"/>
            <w:shd w:val="clear" w:color="auto" w:fill="FFFFFF" w:themeFill="background1"/>
            <w:noWrap/>
            <w:vAlign w:val="center"/>
          </w:tcPr>
          <w:p w14:paraId="1750AFE6" w14:textId="42C67669"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-1,7</w:t>
            </w:r>
          </w:p>
        </w:tc>
        <w:tc>
          <w:tcPr>
            <w:tcW w:w="964" w:type="dxa"/>
            <w:shd w:val="clear" w:color="auto" w:fill="FFFFFF" w:themeFill="background1"/>
            <w:noWrap/>
            <w:vAlign w:val="center"/>
          </w:tcPr>
          <w:p w14:paraId="0D78D27D" w14:textId="315E084E"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-1,3</w:t>
            </w:r>
          </w:p>
        </w:tc>
      </w:tr>
      <w:tr w:rsidR="00FE24E8" w:rsidRPr="00FD1578" w14:paraId="72D3D92C" w14:textId="77777777" w:rsidTr="00FE24E8">
        <w:trPr>
          <w:trHeight w:val="20"/>
          <w:jc w:val="center"/>
        </w:trPr>
        <w:tc>
          <w:tcPr>
            <w:tcW w:w="3114" w:type="dxa"/>
            <w:shd w:val="clear" w:color="auto" w:fill="auto"/>
            <w:noWrap/>
            <w:vAlign w:val="center"/>
          </w:tcPr>
          <w:p w14:paraId="21FFA8EC" w14:textId="7CA2AB08" w:rsidR="00FE24E8" w:rsidRPr="00FD157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B</w:t>
            </w:r>
            <w:r w:rsidRPr="00FD1578">
              <w:rPr>
                <w:rFonts w:eastAsia="Times New Roman" w:cs="Times New Roman"/>
                <w:color w:val="000000"/>
                <w:sz w:val="18"/>
                <w:szCs w:val="18"/>
              </w:rPr>
              <w:t>ilances cikliskā komponente, % no IKP</w:t>
            </w:r>
          </w:p>
        </w:tc>
        <w:tc>
          <w:tcPr>
            <w:tcW w:w="1134" w:type="dxa"/>
            <w:vAlign w:val="center"/>
          </w:tcPr>
          <w:p w14:paraId="68003887" w14:textId="134567AF"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(7)</w:t>
            </w:r>
          </w:p>
        </w:tc>
        <w:tc>
          <w:tcPr>
            <w:tcW w:w="963" w:type="dxa"/>
            <w:shd w:val="clear" w:color="auto" w:fill="auto"/>
            <w:noWrap/>
            <w:vAlign w:val="center"/>
          </w:tcPr>
          <w:p w14:paraId="6B85883A" w14:textId="3B059EC0"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-0,7</w:t>
            </w:r>
          </w:p>
        </w:tc>
        <w:tc>
          <w:tcPr>
            <w:tcW w:w="964" w:type="dxa"/>
            <w:shd w:val="clear" w:color="auto" w:fill="auto"/>
            <w:noWrap/>
            <w:vAlign w:val="center"/>
          </w:tcPr>
          <w:p w14:paraId="7CC81C91" w14:textId="030B64A4"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-0,4</w:t>
            </w:r>
          </w:p>
        </w:tc>
        <w:tc>
          <w:tcPr>
            <w:tcW w:w="964" w:type="dxa"/>
            <w:shd w:val="clear" w:color="auto" w:fill="FFFFFF" w:themeFill="background1"/>
            <w:noWrap/>
            <w:vAlign w:val="center"/>
          </w:tcPr>
          <w:p w14:paraId="23FCDE7D" w14:textId="65F81BA4"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-0,2</w:t>
            </w:r>
          </w:p>
        </w:tc>
        <w:tc>
          <w:tcPr>
            <w:tcW w:w="964" w:type="dxa"/>
            <w:shd w:val="clear" w:color="auto" w:fill="FFFFFF" w:themeFill="background1"/>
            <w:noWrap/>
            <w:vAlign w:val="center"/>
          </w:tcPr>
          <w:p w14:paraId="36F025F8" w14:textId="6AD5960B"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-0,1</w:t>
            </w:r>
          </w:p>
        </w:tc>
        <w:tc>
          <w:tcPr>
            <w:tcW w:w="964" w:type="dxa"/>
            <w:shd w:val="clear" w:color="auto" w:fill="FFFFFF" w:themeFill="background1"/>
            <w:noWrap/>
            <w:vAlign w:val="center"/>
          </w:tcPr>
          <w:p w14:paraId="35ED7CA7" w14:textId="15CC5DAD"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0,0</w:t>
            </w:r>
          </w:p>
        </w:tc>
      </w:tr>
      <w:tr w:rsidR="00FE24E8" w:rsidRPr="00FD1578" w14:paraId="666B4756" w14:textId="77777777" w:rsidTr="00FE24E8">
        <w:trPr>
          <w:trHeight w:val="20"/>
          <w:jc w:val="center"/>
        </w:trPr>
        <w:tc>
          <w:tcPr>
            <w:tcW w:w="3114" w:type="dxa"/>
            <w:shd w:val="clear" w:color="auto" w:fill="auto"/>
            <w:noWrap/>
            <w:vAlign w:val="center"/>
          </w:tcPr>
          <w:p w14:paraId="73373D42" w14:textId="159FF874" w:rsidR="00FE24E8" w:rsidRPr="005755A6"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lastRenderedPageBreak/>
              <w:t>V</w:t>
            </w:r>
            <w:r w:rsidRPr="005755A6">
              <w:rPr>
                <w:rFonts w:eastAsia="Times New Roman" w:cs="Times New Roman"/>
                <w:color w:val="000000"/>
                <w:sz w:val="18"/>
                <w:szCs w:val="18"/>
              </w:rPr>
              <w:t>ispārējās valdības strukturālā bilance, % no IKP</w:t>
            </w:r>
          </w:p>
        </w:tc>
        <w:tc>
          <w:tcPr>
            <w:tcW w:w="1134" w:type="dxa"/>
            <w:vAlign w:val="center"/>
          </w:tcPr>
          <w:p w14:paraId="2935F893" w14:textId="6C848E08"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(8)=(5)-(6)-(7)</w:t>
            </w:r>
          </w:p>
        </w:tc>
        <w:tc>
          <w:tcPr>
            <w:tcW w:w="963" w:type="dxa"/>
            <w:shd w:val="clear" w:color="auto" w:fill="auto"/>
            <w:noWrap/>
            <w:vAlign w:val="center"/>
          </w:tcPr>
          <w:p w14:paraId="168DF2F3" w14:textId="16A03413"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-0,205</w:t>
            </w:r>
          </w:p>
        </w:tc>
        <w:tc>
          <w:tcPr>
            <w:tcW w:w="964" w:type="dxa"/>
            <w:shd w:val="clear" w:color="auto" w:fill="auto"/>
            <w:noWrap/>
            <w:vAlign w:val="center"/>
          </w:tcPr>
          <w:p w14:paraId="5EAE1C0F" w14:textId="17148FA0"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-0,817</w:t>
            </w:r>
          </w:p>
        </w:tc>
        <w:tc>
          <w:tcPr>
            <w:tcW w:w="964" w:type="dxa"/>
            <w:shd w:val="clear" w:color="auto" w:fill="FFFFFF" w:themeFill="background1"/>
            <w:noWrap/>
            <w:vAlign w:val="center"/>
          </w:tcPr>
          <w:p w14:paraId="587745BD" w14:textId="68B65047"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-0,749</w:t>
            </w:r>
          </w:p>
        </w:tc>
        <w:tc>
          <w:tcPr>
            <w:tcW w:w="964" w:type="dxa"/>
            <w:shd w:val="clear" w:color="auto" w:fill="FFFFFF" w:themeFill="background1"/>
            <w:noWrap/>
            <w:vAlign w:val="center"/>
          </w:tcPr>
          <w:p w14:paraId="72BB38C7" w14:textId="70F46010"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-0,792</w:t>
            </w:r>
          </w:p>
        </w:tc>
        <w:tc>
          <w:tcPr>
            <w:tcW w:w="964" w:type="dxa"/>
            <w:shd w:val="clear" w:color="auto" w:fill="FFFFFF" w:themeFill="background1"/>
            <w:noWrap/>
            <w:vAlign w:val="center"/>
          </w:tcPr>
          <w:p w14:paraId="137E1153" w14:textId="7094DB23"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-0,932</w:t>
            </w:r>
          </w:p>
        </w:tc>
      </w:tr>
      <w:tr w:rsidR="00FE24E8" w:rsidRPr="00FD1578" w14:paraId="1EEC3A7A" w14:textId="77777777" w:rsidTr="00FE24E8">
        <w:trPr>
          <w:trHeight w:val="20"/>
          <w:jc w:val="center"/>
        </w:trPr>
        <w:tc>
          <w:tcPr>
            <w:tcW w:w="3114" w:type="dxa"/>
            <w:shd w:val="clear" w:color="auto" w:fill="auto"/>
            <w:noWrap/>
            <w:vAlign w:val="center"/>
          </w:tcPr>
          <w:p w14:paraId="3F076353" w14:textId="0AD321B3" w:rsidR="00FE24E8" w:rsidRPr="00FD1578" w:rsidRDefault="00FE24E8" w:rsidP="006357B3">
            <w:pPr>
              <w:spacing w:before="60" w:after="0" w:line="240" w:lineRule="auto"/>
              <w:ind w:firstLine="0"/>
              <w:jc w:val="left"/>
              <w:rPr>
                <w:rFonts w:eastAsia="Times New Roman" w:cs="Times New Roman"/>
                <w:color w:val="000000"/>
                <w:sz w:val="18"/>
                <w:szCs w:val="18"/>
              </w:rPr>
            </w:pPr>
            <w:r>
              <w:rPr>
                <w:rFonts w:eastAsia="Times New Roman" w:cs="Times New Roman"/>
                <w:color w:val="000000"/>
                <w:sz w:val="18"/>
                <w:szCs w:val="18"/>
              </w:rPr>
              <w:t>V</w:t>
            </w:r>
            <w:r w:rsidRPr="00FD1578">
              <w:rPr>
                <w:rFonts w:eastAsia="Times New Roman" w:cs="Times New Roman"/>
                <w:color w:val="000000"/>
                <w:sz w:val="18"/>
                <w:szCs w:val="18"/>
              </w:rPr>
              <w:t xml:space="preserve">ispārējās valdības procentu izdevumi, </w:t>
            </w:r>
          </w:p>
          <w:p w14:paraId="4000D9A8" w14:textId="197A3A54" w:rsidR="00FE24E8" w:rsidRPr="00FD1578" w:rsidRDefault="00FE24E8" w:rsidP="006357B3">
            <w:pPr>
              <w:spacing w:before="60" w:after="0" w:line="240" w:lineRule="auto"/>
              <w:ind w:firstLine="0"/>
              <w:jc w:val="left"/>
              <w:rPr>
                <w:rFonts w:eastAsia="Times New Roman" w:cs="Times New Roman"/>
                <w:color w:val="000000"/>
                <w:sz w:val="18"/>
                <w:szCs w:val="18"/>
              </w:rPr>
            </w:pPr>
            <w:r w:rsidRPr="00FD1578">
              <w:rPr>
                <w:rFonts w:eastAsia="Times New Roman" w:cs="Times New Roman"/>
                <w:color w:val="000000"/>
                <w:sz w:val="18"/>
                <w:szCs w:val="18"/>
              </w:rPr>
              <w:t xml:space="preserve">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7BAAD6ED" w14:textId="1D949956"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(9)</w:t>
            </w:r>
          </w:p>
        </w:tc>
        <w:tc>
          <w:tcPr>
            <w:tcW w:w="963" w:type="dxa"/>
            <w:shd w:val="clear" w:color="auto" w:fill="auto"/>
            <w:noWrap/>
            <w:vAlign w:val="center"/>
          </w:tcPr>
          <w:p w14:paraId="64042B38" w14:textId="51355480"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457</w:t>
            </w:r>
          </w:p>
        </w:tc>
        <w:tc>
          <w:tcPr>
            <w:tcW w:w="964" w:type="dxa"/>
            <w:shd w:val="clear" w:color="auto" w:fill="auto"/>
            <w:noWrap/>
            <w:vAlign w:val="center"/>
          </w:tcPr>
          <w:p w14:paraId="0EFAFD8E" w14:textId="059BCE19"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541</w:t>
            </w:r>
          </w:p>
        </w:tc>
        <w:tc>
          <w:tcPr>
            <w:tcW w:w="964" w:type="dxa"/>
            <w:shd w:val="clear" w:color="auto" w:fill="FFFFFF" w:themeFill="background1"/>
            <w:noWrap/>
            <w:vAlign w:val="center"/>
          </w:tcPr>
          <w:p w14:paraId="4DDDEDE0" w14:textId="03862FB3"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645</w:t>
            </w:r>
          </w:p>
        </w:tc>
        <w:tc>
          <w:tcPr>
            <w:tcW w:w="964" w:type="dxa"/>
            <w:shd w:val="clear" w:color="auto" w:fill="FFFFFF" w:themeFill="background1"/>
            <w:noWrap/>
            <w:vAlign w:val="center"/>
          </w:tcPr>
          <w:p w14:paraId="55FB9A8B" w14:textId="3D1753E8"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721</w:t>
            </w:r>
          </w:p>
        </w:tc>
        <w:tc>
          <w:tcPr>
            <w:tcW w:w="964" w:type="dxa"/>
            <w:shd w:val="clear" w:color="auto" w:fill="FFFFFF" w:themeFill="background1"/>
            <w:noWrap/>
            <w:vAlign w:val="center"/>
          </w:tcPr>
          <w:p w14:paraId="30649D1D" w14:textId="27667F16"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cs="Times New Roman"/>
                <w:sz w:val="18"/>
                <w:szCs w:val="18"/>
              </w:rPr>
              <w:t>772</w:t>
            </w:r>
          </w:p>
        </w:tc>
      </w:tr>
      <w:tr w:rsidR="00FE24E8" w:rsidRPr="00FD1578" w14:paraId="6D0ACF6F" w14:textId="77777777" w:rsidTr="00623625">
        <w:trPr>
          <w:trHeight w:val="20"/>
          <w:jc w:val="center"/>
        </w:trPr>
        <w:tc>
          <w:tcPr>
            <w:tcW w:w="3114" w:type="dxa"/>
            <w:shd w:val="clear" w:color="auto" w:fill="auto"/>
            <w:noWrap/>
            <w:vAlign w:val="center"/>
          </w:tcPr>
          <w:p w14:paraId="5AD254A8" w14:textId="7CA0DC3E" w:rsidR="00FE24E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B</w:t>
            </w:r>
            <w:r w:rsidRPr="00FD1578">
              <w:rPr>
                <w:rFonts w:eastAsia="Times New Roman" w:cs="Times New Roman"/>
                <w:color w:val="000000"/>
                <w:sz w:val="18"/>
                <w:szCs w:val="18"/>
              </w:rPr>
              <w:t>ezdarbnieka pabalstu izdevumu ciklisk</w:t>
            </w:r>
            <w:r w:rsidR="00D05EC7">
              <w:rPr>
                <w:rFonts w:eastAsia="Times New Roman" w:cs="Times New Roman"/>
                <w:color w:val="000000"/>
                <w:sz w:val="18"/>
                <w:szCs w:val="18"/>
              </w:rPr>
              <w:t>ie</w:t>
            </w:r>
            <w:r w:rsidRPr="00FD1578">
              <w:rPr>
                <w:rFonts w:eastAsia="Times New Roman" w:cs="Times New Roman"/>
                <w:color w:val="000000"/>
                <w:sz w:val="18"/>
                <w:szCs w:val="18"/>
              </w:rPr>
              <w:t xml:space="preserve"> elementi,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52068E77" w14:textId="26FC98C6"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(10)</w:t>
            </w:r>
          </w:p>
        </w:tc>
        <w:tc>
          <w:tcPr>
            <w:tcW w:w="963" w:type="dxa"/>
            <w:shd w:val="clear" w:color="auto" w:fill="auto"/>
            <w:noWrap/>
            <w:vAlign w:val="center"/>
          </w:tcPr>
          <w:p w14:paraId="60945879" w14:textId="038CBE4F"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13</w:t>
            </w:r>
          </w:p>
        </w:tc>
        <w:tc>
          <w:tcPr>
            <w:tcW w:w="964" w:type="dxa"/>
            <w:shd w:val="clear" w:color="auto" w:fill="auto"/>
            <w:noWrap/>
            <w:vAlign w:val="center"/>
          </w:tcPr>
          <w:p w14:paraId="361313B7" w14:textId="496D84DC"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8</w:t>
            </w:r>
          </w:p>
        </w:tc>
        <w:tc>
          <w:tcPr>
            <w:tcW w:w="964" w:type="dxa"/>
            <w:shd w:val="clear" w:color="auto" w:fill="FFFFFF" w:themeFill="background1"/>
            <w:noWrap/>
            <w:vAlign w:val="center"/>
          </w:tcPr>
          <w:p w14:paraId="14E833B1" w14:textId="098ED38D"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6</w:t>
            </w:r>
          </w:p>
        </w:tc>
        <w:tc>
          <w:tcPr>
            <w:tcW w:w="964" w:type="dxa"/>
            <w:shd w:val="clear" w:color="auto" w:fill="FFFFFF" w:themeFill="background1"/>
            <w:noWrap/>
            <w:vAlign w:val="center"/>
          </w:tcPr>
          <w:p w14:paraId="2B13C978" w14:textId="475683B7"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-6</w:t>
            </w:r>
          </w:p>
        </w:tc>
        <w:tc>
          <w:tcPr>
            <w:tcW w:w="964" w:type="dxa"/>
            <w:shd w:val="clear" w:color="auto" w:fill="FFFFFF" w:themeFill="background1"/>
            <w:noWrap/>
            <w:vAlign w:val="center"/>
          </w:tcPr>
          <w:p w14:paraId="3124D4F7" w14:textId="5D07E5DC"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-25</w:t>
            </w:r>
          </w:p>
        </w:tc>
      </w:tr>
      <w:tr w:rsidR="00FE24E8" w:rsidRPr="00FD1578" w14:paraId="74514B50" w14:textId="77777777" w:rsidTr="00623625">
        <w:trPr>
          <w:trHeight w:val="20"/>
          <w:jc w:val="center"/>
        </w:trPr>
        <w:tc>
          <w:tcPr>
            <w:tcW w:w="3114" w:type="dxa"/>
            <w:shd w:val="clear" w:color="auto" w:fill="auto"/>
            <w:noWrap/>
            <w:vAlign w:val="center"/>
          </w:tcPr>
          <w:p w14:paraId="24243332" w14:textId="3AB46F18" w:rsidR="00FE24E8" w:rsidRPr="00FD157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I</w:t>
            </w:r>
            <w:r w:rsidRPr="00FD1578">
              <w:rPr>
                <w:rFonts w:eastAsia="Times New Roman" w:cs="Times New Roman"/>
                <w:color w:val="000000"/>
                <w:sz w:val="18"/>
                <w:szCs w:val="18"/>
              </w:rPr>
              <w:t xml:space="preserve">zdevumi par ES programmām, kas pilnībā atbilst ES fondu ieņēmumiem,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1BCCC5D4" w14:textId="604F7424"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(11)</w:t>
            </w:r>
          </w:p>
        </w:tc>
        <w:tc>
          <w:tcPr>
            <w:tcW w:w="963" w:type="dxa"/>
            <w:shd w:val="clear" w:color="auto" w:fill="auto"/>
            <w:noWrap/>
            <w:vAlign w:val="center"/>
          </w:tcPr>
          <w:p w14:paraId="19CE267E" w14:textId="04F003CC"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801</w:t>
            </w:r>
          </w:p>
        </w:tc>
        <w:tc>
          <w:tcPr>
            <w:tcW w:w="964" w:type="dxa"/>
            <w:shd w:val="clear" w:color="auto" w:fill="auto"/>
            <w:noWrap/>
            <w:vAlign w:val="center"/>
          </w:tcPr>
          <w:p w14:paraId="14A76666" w14:textId="34ABE4B6"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971</w:t>
            </w:r>
          </w:p>
        </w:tc>
        <w:tc>
          <w:tcPr>
            <w:tcW w:w="964" w:type="dxa"/>
            <w:shd w:val="clear" w:color="auto" w:fill="FFFFFF" w:themeFill="background1"/>
            <w:noWrap/>
            <w:vAlign w:val="center"/>
          </w:tcPr>
          <w:p w14:paraId="75101A7D" w14:textId="4841D6DC"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884</w:t>
            </w:r>
          </w:p>
        </w:tc>
        <w:tc>
          <w:tcPr>
            <w:tcW w:w="964" w:type="dxa"/>
            <w:shd w:val="clear" w:color="auto" w:fill="FFFFFF" w:themeFill="background1"/>
            <w:noWrap/>
            <w:vAlign w:val="center"/>
          </w:tcPr>
          <w:p w14:paraId="05D51989" w14:textId="4B9A79F2"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623</w:t>
            </w:r>
          </w:p>
        </w:tc>
        <w:tc>
          <w:tcPr>
            <w:tcW w:w="964" w:type="dxa"/>
            <w:shd w:val="clear" w:color="auto" w:fill="FFFFFF" w:themeFill="background1"/>
            <w:noWrap/>
            <w:vAlign w:val="center"/>
          </w:tcPr>
          <w:p w14:paraId="5B415471" w14:textId="777F8A2B"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494</w:t>
            </w:r>
          </w:p>
        </w:tc>
      </w:tr>
      <w:tr w:rsidR="00FE24E8" w:rsidRPr="00FD1578" w14:paraId="4D88B8D4" w14:textId="77777777" w:rsidTr="00623625">
        <w:trPr>
          <w:trHeight w:val="20"/>
          <w:jc w:val="center"/>
        </w:trPr>
        <w:tc>
          <w:tcPr>
            <w:tcW w:w="3114" w:type="dxa"/>
            <w:shd w:val="clear" w:color="auto" w:fill="auto"/>
            <w:noWrap/>
            <w:vAlign w:val="center"/>
          </w:tcPr>
          <w:p w14:paraId="22C90035" w14:textId="7D86890F" w:rsidR="00FE24E8" w:rsidRPr="00FD1578" w:rsidRDefault="00FE24E8" w:rsidP="006357B3">
            <w:pPr>
              <w:spacing w:before="60" w:line="240" w:lineRule="auto"/>
              <w:ind w:firstLine="0"/>
              <w:jc w:val="left"/>
              <w:rPr>
                <w:rFonts w:eastAsia="Times New Roman" w:cs="Times New Roman"/>
                <w:color w:val="000000"/>
                <w:sz w:val="18"/>
                <w:szCs w:val="18"/>
              </w:rPr>
            </w:pPr>
            <w:r>
              <w:rPr>
                <w:rFonts w:eastAsia="Times New Roman" w:cs="Times New Roman"/>
                <w:color w:val="000000"/>
                <w:sz w:val="18"/>
                <w:szCs w:val="18"/>
              </w:rPr>
              <w:t>V</w:t>
            </w:r>
            <w:r w:rsidRPr="00FD1578">
              <w:rPr>
                <w:rFonts w:eastAsia="Times New Roman" w:cs="Times New Roman"/>
                <w:color w:val="000000"/>
                <w:sz w:val="18"/>
                <w:szCs w:val="18"/>
              </w:rPr>
              <w:t xml:space="preserve">alsts izdevumi par ES finansēto programmu līdzfinansēšanu,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1419B943" w14:textId="6AAEE000" w:rsidR="00FE24E8" w:rsidRPr="00FE24E8" w:rsidRDefault="00FE24E8"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(12)</w:t>
            </w:r>
          </w:p>
        </w:tc>
        <w:tc>
          <w:tcPr>
            <w:tcW w:w="963" w:type="dxa"/>
            <w:shd w:val="clear" w:color="auto" w:fill="auto"/>
            <w:noWrap/>
            <w:vAlign w:val="center"/>
          </w:tcPr>
          <w:p w14:paraId="39E5082C" w14:textId="42842E31"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183</w:t>
            </w:r>
          </w:p>
        </w:tc>
        <w:tc>
          <w:tcPr>
            <w:tcW w:w="964" w:type="dxa"/>
            <w:shd w:val="clear" w:color="auto" w:fill="auto"/>
            <w:noWrap/>
            <w:vAlign w:val="center"/>
          </w:tcPr>
          <w:p w14:paraId="227748BE" w14:textId="0F8E3223"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193</w:t>
            </w:r>
          </w:p>
        </w:tc>
        <w:tc>
          <w:tcPr>
            <w:tcW w:w="964" w:type="dxa"/>
            <w:shd w:val="clear" w:color="auto" w:fill="FFFFFF" w:themeFill="background1"/>
            <w:noWrap/>
            <w:vAlign w:val="center"/>
          </w:tcPr>
          <w:p w14:paraId="552E62CF" w14:textId="1AD7CCAE"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156</w:t>
            </w:r>
          </w:p>
        </w:tc>
        <w:tc>
          <w:tcPr>
            <w:tcW w:w="964" w:type="dxa"/>
            <w:shd w:val="clear" w:color="auto" w:fill="FFFFFF" w:themeFill="background1"/>
            <w:noWrap/>
            <w:vAlign w:val="center"/>
          </w:tcPr>
          <w:p w14:paraId="6F918B78" w14:textId="569A5E58"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132</w:t>
            </w:r>
          </w:p>
        </w:tc>
        <w:tc>
          <w:tcPr>
            <w:tcW w:w="964" w:type="dxa"/>
            <w:shd w:val="clear" w:color="auto" w:fill="FFFFFF" w:themeFill="background1"/>
            <w:noWrap/>
            <w:vAlign w:val="center"/>
          </w:tcPr>
          <w:p w14:paraId="3DA0667E" w14:textId="6BCFD001" w:rsidR="00FE24E8" w:rsidRPr="00FE24E8" w:rsidRDefault="00FE24E8" w:rsidP="006357B3">
            <w:pPr>
              <w:spacing w:before="60" w:line="240" w:lineRule="auto"/>
              <w:ind w:firstLine="0"/>
              <w:jc w:val="center"/>
              <w:rPr>
                <w:rFonts w:eastAsia="Times New Roman" w:cs="Times New Roman"/>
                <w:color w:val="000000"/>
                <w:sz w:val="18"/>
                <w:szCs w:val="16"/>
              </w:rPr>
            </w:pPr>
            <w:r w:rsidRPr="00FE24E8">
              <w:rPr>
                <w:sz w:val="18"/>
                <w:szCs w:val="16"/>
              </w:rPr>
              <w:t>109</w:t>
            </w:r>
          </w:p>
        </w:tc>
      </w:tr>
      <w:tr w:rsidR="00623625" w:rsidRPr="00FD1578" w14:paraId="1CB44EE3" w14:textId="77777777" w:rsidTr="00623625">
        <w:trPr>
          <w:trHeight w:val="20"/>
          <w:jc w:val="center"/>
        </w:trPr>
        <w:tc>
          <w:tcPr>
            <w:tcW w:w="3114" w:type="dxa"/>
            <w:shd w:val="clear" w:color="auto" w:fill="auto"/>
            <w:noWrap/>
            <w:vAlign w:val="center"/>
          </w:tcPr>
          <w:p w14:paraId="1855086E" w14:textId="77777777" w:rsidR="00623625" w:rsidRPr="00FD1578" w:rsidRDefault="00623625" w:rsidP="006357B3">
            <w:pPr>
              <w:spacing w:before="60" w:line="240" w:lineRule="auto"/>
              <w:ind w:firstLine="0"/>
              <w:jc w:val="left"/>
              <w:rPr>
                <w:rFonts w:eastAsia="Times New Roman" w:cs="Times New Roman"/>
                <w:color w:val="000000"/>
                <w:sz w:val="18"/>
                <w:szCs w:val="18"/>
              </w:rPr>
            </w:pPr>
            <w:r w:rsidRPr="00FD1578">
              <w:rPr>
                <w:rFonts w:eastAsia="Times New Roman" w:cs="Times New Roman"/>
                <w:color w:val="000000"/>
                <w:sz w:val="18"/>
                <w:szCs w:val="18"/>
              </w:rPr>
              <w:t xml:space="preserve">NNFPI līmenis,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113134E3" w14:textId="3D838B72" w:rsidR="00623625" w:rsidRPr="00FE24E8" w:rsidRDefault="00623625"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(13)=(4)-(9)-(10)-(11)-(12)</w:t>
            </w:r>
          </w:p>
        </w:tc>
        <w:tc>
          <w:tcPr>
            <w:tcW w:w="963" w:type="dxa"/>
            <w:shd w:val="clear" w:color="auto" w:fill="auto"/>
            <w:noWrap/>
            <w:vAlign w:val="center"/>
          </w:tcPr>
          <w:p w14:paraId="27C6A289" w14:textId="2486B6FC" w:rsidR="00623625" w:rsidRPr="00623625" w:rsidRDefault="00623625" w:rsidP="006357B3">
            <w:pPr>
              <w:spacing w:before="60" w:line="240" w:lineRule="auto"/>
              <w:ind w:firstLine="0"/>
              <w:jc w:val="center"/>
              <w:rPr>
                <w:rFonts w:eastAsia="Times New Roman" w:cs="Times New Roman"/>
                <w:color w:val="000000"/>
                <w:sz w:val="18"/>
                <w:szCs w:val="16"/>
              </w:rPr>
            </w:pPr>
            <w:r w:rsidRPr="00623625">
              <w:rPr>
                <w:sz w:val="18"/>
                <w:szCs w:val="16"/>
              </w:rPr>
              <w:t>17 263</w:t>
            </w:r>
          </w:p>
        </w:tc>
        <w:tc>
          <w:tcPr>
            <w:tcW w:w="964" w:type="dxa"/>
            <w:shd w:val="clear" w:color="auto" w:fill="auto"/>
            <w:noWrap/>
            <w:vAlign w:val="center"/>
          </w:tcPr>
          <w:p w14:paraId="0A5632D8" w14:textId="6A65C85A" w:rsidR="00623625" w:rsidRPr="00623625" w:rsidRDefault="00623625" w:rsidP="006357B3">
            <w:pPr>
              <w:spacing w:before="60" w:line="240" w:lineRule="auto"/>
              <w:ind w:firstLine="0"/>
              <w:jc w:val="center"/>
              <w:rPr>
                <w:rFonts w:eastAsia="Times New Roman" w:cs="Times New Roman"/>
                <w:color w:val="000000"/>
                <w:sz w:val="18"/>
                <w:szCs w:val="16"/>
              </w:rPr>
            </w:pPr>
            <w:r w:rsidRPr="00623625">
              <w:rPr>
                <w:sz w:val="18"/>
                <w:szCs w:val="16"/>
              </w:rPr>
              <w:t>18 043</w:t>
            </w:r>
          </w:p>
        </w:tc>
        <w:tc>
          <w:tcPr>
            <w:tcW w:w="964" w:type="dxa"/>
            <w:shd w:val="clear" w:color="auto" w:fill="FFFFFF" w:themeFill="background1"/>
            <w:noWrap/>
            <w:vAlign w:val="center"/>
          </w:tcPr>
          <w:p w14:paraId="27E9507A" w14:textId="471650C1" w:rsidR="00623625" w:rsidRPr="00623625" w:rsidRDefault="00623625" w:rsidP="006357B3">
            <w:pPr>
              <w:spacing w:before="60" w:line="240" w:lineRule="auto"/>
              <w:ind w:firstLine="0"/>
              <w:jc w:val="center"/>
              <w:rPr>
                <w:rFonts w:eastAsia="Times New Roman" w:cs="Times New Roman"/>
                <w:color w:val="000000"/>
                <w:sz w:val="18"/>
                <w:szCs w:val="16"/>
              </w:rPr>
            </w:pPr>
            <w:r w:rsidRPr="00623625">
              <w:rPr>
                <w:sz w:val="18"/>
                <w:szCs w:val="16"/>
              </w:rPr>
              <w:t>18 647</w:t>
            </w:r>
          </w:p>
        </w:tc>
        <w:tc>
          <w:tcPr>
            <w:tcW w:w="964" w:type="dxa"/>
            <w:shd w:val="clear" w:color="auto" w:fill="FFFFFF" w:themeFill="background1"/>
            <w:noWrap/>
            <w:vAlign w:val="center"/>
          </w:tcPr>
          <w:p w14:paraId="3CC12127" w14:textId="2764557A" w:rsidR="00623625" w:rsidRPr="00623625" w:rsidRDefault="00623625" w:rsidP="006357B3">
            <w:pPr>
              <w:spacing w:before="60" w:line="240" w:lineRule="auto"/>
              <w:ind w:firstLine="0"/>
              <w:jc w:val="center"/>
              <w:rPr>
                <w:rFonts w:eastAsia="Times New Roman" w:cs="Times New Roman"/>
                <w:color w:val="000000"/>
                <w:sz w:val="18"/>
                <w:szCs w:val="16"/>
              </w:rPr>
            </w:pPr>
            <w:r w:rsidRPr="00623625">
              <w:rPr>
                <w:sz w:val="18"/>
                <w:szCs w:val="16"/>
              </w:rPr>
              <w:t>19231</w:t>
            </w:r>
          </w:p>
        </w:tc>
        <w:tc>
          <w:tcPr>
            <w:tcW w:w="964" w:type="dxa"/>
            <w:shd w:val="clear" w:color="auto" w:fill="FFFFFF" w:themeFill="background1"/>
            <w:noWrap/>
            <w:vAlign w:val="center"/>
          </w:tcPr>
          <w:p w14:paraId="58219DEC" w14:textId="7D0D8F0F" w:rsidR="00623625" w:rsidRPr="00623625" w:rsidRDefault="00623625" w:rsidP="006357B3">
            <w:pPr>
              <w:spacing w:before="60" w:line="240" w:lineRule="auto"/>
              <w:ind w:firstLine="0"/>
              <w:jc w:val="center"/>
              <w:rPr>
                <w:rFonts w:eastAsia="Times New Roman" w:cs="Times New Roman"/>
                <w:color w:val="000000"/>
                <w:sz w:val="18"/>
                <w:szCs w:val="16"/>
              </w:rPr>
            </w:pPr>
            <w:r w:rsidRPr="00623625">
              <w:rPr>
                <w:sz w:val="18"/>
                <w:szCs w:val="16"/>
              </w:rPr>
              <w:t>19 775</w:t>
            </w:r>
          </w:p>
        </w:tc>
      </w:tr>
      <w:tr w:rsidR="00C31B05" w:rsidRPr="00FD1578" w14:paraId="7F4DDC55" w14:textId="77777777" w:rsidTr="00C31B05">
        <w:trPr>
          <w:trHeight w:val="20"/>
          <w:jc w:val="center"/>
        </w:trPr>
        <w:tc>
          <w:tcPr>
            <w:tcW w:w="3114" w:type="dxa"/>
            <w:shd w:val="clear" w:color="auto" w:fill="auto"/>
            <w:noWrap/>
            <w:vAlign w:val="center"/>
          </w:tcPr>
          <w:p w14:paraId="4C43205F" w14:textId="5B2596E6" w:rsidR="00C31B05" w:rsidRPr="00FD1578" w:rsidRDefault="00C31B05" w:rsidP="006357B3">
            <w:pPr>
              <w:spacing w:before="60" w:line="240" w:lineRule="auto"/>
              <w:ind w:firstLine="0"/>
              <w:jc w:val="left"/>
              <w:rPr>
                <w:rFonts w:eastAsia="Times New Roman" w:cs="Times New Roman"/>
                <w:color w:val="000000"/>
                <w:sz w:val="18"/>
                <w:szCs w:val="18"/>
              </w:rPr>
            </w:pPr>
            <w:proofErr w:type="spellStart"/>
            <w:r w:rsidRPr="00FD1578">
              <w:rPr>
                <w:rFonts w:eastAsia="Times New Roman" w:cs="Times New Roman"/>
                <w:color w:val="000000"/>
                <w:sz w:val="18"/>
                <w:szCs w:val="18"/>
              </w:rPr>
              <w:t>Diskrecionārie</w:t>
            </w:r>
            <w:proofErr w:type="spellEnd"/>
            <w:r w:rsidRPr="00FD1578">
              <w:rPr>
                <w:rFonts w:eastAsia="Times New Roman" w:cs="Times New Roman"/>
                <w:color w:val="000000"/>
                <w:sz w:val="18"/>
                <w:szCs w:val="18"/>
              </w:rPr>
              <w:t xml:space="preserve"> ieņēmumu pasākumi (DRM)</w:t>
            </w:r>
            <w:r>
              <w:rPr>
                <w:rFonts w:eastAsia="Times New Roman" w:cs="Times New Roman"/>
                <w:color w:val="000000"/>
                <w:sz w:val="18"/>
                <w:szCs w:val="18"/>
              </w:rPr>
              <w:t xml:space="preserve">, milj. </w:t>
            </w:r>
            <w:proofErr w:type="spellStart"/>
            <w:r w:rsidRPr="00E93FE5">
              <w:rPr>
                <w:rFonts w:eastAsia="Times New Roman" w:cs="Times New Roman"/>
                <w:i/>
                <w:iCs/>
                <w:color w:val="000000"/>
                <w:sz w:val="18"/>
                <w:szCs w:val="18"/>
              </w:rPr>
              <w:t>euro</w:t>
            </w:r>
            <w:proofErr w:type="spellEnd"/>
          </w:p>
        </w:tc>
        <w:tc>
          <w:tcPr>
            <w:tcW w:w="1134" w:type="dxa"/>
            <w:vAlign w:val="center"/>
          </w:tcPr>
          <w:p w14:paraId="463DC869" w14:textId="67A4EF62" w:rsidR="00C31B05" w:rsidRPr="00FE24E8" w:rsidRDefault="00C31B05"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(14)</w:t>
            </w:r>
          </w:p>
        </w:tc>
        <w:tc>
          <w:tcPr>
            <w:tcW w:w="963" w:type="dxa"/>
            <w:shd w:val="clear" w:color="auto" w:fill="auto"/>
            <w:noWrap/>
            <w:vAlign w:val="center"/>
          </w:tcPr>
          <w:p w14:paraId="4B3E2D33" w14:textId="5AD129AA" w:rsidR="00C31B05" w:rsidRPr="00C31B05" w:rsidRDefault="00C31B05" w:rsidP="006357B3">
            <w:pPr>
              <w:spacing w:before="60" w:line="240" w:lineRule="auto"/>
              <w:ind w:firstLine="0"/>
              <w:jc w:val="center"/>
              <w:rPr>
                <w:rFonts w:eastAsia="Times New Roman" w:cs="Times New Roman"/>
                <w:color w:val="000000"/>
                <w:sz w:val="18"/>
                <w:szCs w:val="16"/>
              </w:rPr>
            </w:pPr>
            <w:r w:rsidRPr="00C31B05">
              <w:rPr>
                <w:sz w:val="18"/>
                <w:szCs w:val="16"/>
              </w:rPr>
              <w:t>354,3</w:t>
            </w:r>
          </w:p>
        </w:tc>
        <w:tc>
          <w:tcPr>
            <w:tcW w:w="964" w:type="dxa"/>
            <w:shd w:val="clear" w:color="auto" w:fill="auto"/>
            <w:noWrap/>
            <w:vAlign w:val="center"/>
          </w:tcPr>
          <w:p w14:paraId="2B58DB30" w14:textId="78647CD0" w:rsidR="00C31B05" w:rsidRPr="00C31B05" w:rsidRDefault="00C31B05" w:rsidP="006357B3">
            <w:pPr>
              <w:spacing w:before="60" w:line="240" w:lineRule="auto"/>
              <w:ind w:firstLine="0"/>
              <w:jc w:val="center"/>
              <w:rPr>
                <w:rFonts w:eastAsia="Times New Roman" w:cs="Times New Roman"/>
                <w:color w:val="000000"/>
                <w:sz w:val="18"/>
                <w:szCs w:val="16"/>
              </w:rPr>
            </w:pPr>
            <w:r w:rsidRPr="00C31B05">
              <w:rPr>
                <w:sz w:val="18"/>
                <w:szCs w:val="16"/>
              </w:rPr>
              <w:t>-16,5</w:t>
            </w:r>
          </w:p>
        </w:tc>
        <w:tc>
          <w:tcPr>
            <w:tcW w:w="964" w:type="dxa"/>
            <w:shd w:val="clear" w:color="auto" w:fill="FFFFFF" w:themeFill="background1"/>
            <w:noWrap/>
            <w:vAlign w:val="center"/>
          </w:tcPr>
          <w:p w14:paraId="0ADD9C3A" w14:textId="40C76605" w:rsidR="00C31B05" w:rsidRPr="00C31B05" w:rsidRDefault="00C31B05" w:rsidP="006357B3">
            <w:pPr>
              <w:spacing w:before="60" w:line="240" w:lineRule="auto"/>
              <w:ind w:firstLine="0"/>
              <w:jc w:val="center"/>
              <w:rPr>
                <w:rFonts w:eastAsia="Times New Roman" w:cs="Times New Roman"/>
                <w:color w:val="000000"/>
                <w:sz w:val="18"/>
                <w:szCs w:val="16"/>
              </w:rPr>
            </w:pPr>
            <w:r w:rsidRPr="00C31B05">
              <w:rPr>
                <w:sz w:val="18"/>
                <w:szCs w:val="16"/>
              </w:rPr>
              <w:t>-53,6</w:t>
            </w:r>
          </w:p>
        </w:tc>
        <w:tc>
          <w:tcPr>
            <w:tcW w:w="964" w:type="dxa"/>
            <w:shd w:val="clear" w:color="auto" w:fill="FFFFFF" w:themeFill="background1"/>
            <w:noWrap/>
            <w:vAlign w:val="center"/>
          </w:tcPr>
          <w:p w14:paraId="72BF2419" w14:textId="20564D75" w:rsidR="00C31B05" w:rsidRPr="00C31B05" w:rsidRDefault="00C31B05" w:rsidP="006357B3">
            <w:pPr>
              <w:spacing w:before="60" w:line="240" w:lineRule="auto"/>
              <w:ind w:firstLine="0"/>
              <w:jc w:val="center"/>
              <w:rPr>
                <w:rFonts w:eastAsia="Times New Roman" w:cs="Times New Roman"/>
                <w:color w:val="000000"/>
                <w:sz w:val="18"/>
                <w:szCs w:val="16"/>
              </w:rPr>
            </w:pPr>
            <w:r w:rsidRPr="00C31B05">
              <w:rPr>
                <w:sz w:val="18"/>
                <w:szCs w:val="16"/>
              </w:rPr>
              <w:t>-43,0</w:t>
            </w:r>
          </w:p>
        </w:tc>
        <w:tc>
          <w:tcPr>
            <w:tcW w:w="964" w:type="dxa"/>
            <w:shd w:val="clear" w:color="auto" w:fill="FFFFFF" w:themeFill="background1"/>
            <w:noWrap/>
            <w:vAlign w:val="center"/>
          </w:tcPr>
          <w:p w14:paraId="29D8DAC7" w14:textId="0023AC01" w:rsidR="00C31B05" w:rsidRPr="00C31B05" w:rsidRDefault="00C31B05" w:rsidP="006357B3">
            <w:pPr>
              <w:spacing w:before="60" w:line="240" w:lineRule="auto"/>
              <w:ind w:firstLine="0"/>
              <w:jc w:val="center"/>
              <w:rPr>
                <w:rFonts w:eastAsia="Times New Roman" w:cs="Times New Roman"/>
                <w:color w:val="000000"/>
                <w:sz w:val="18"/>
                <w:szCs w:val="16"/>
              </w:rPr>
            </w:pPr>
            <w:r w:rsidRPr="00C31B05">
              <w:rPr>
                <w:sz w:val="18"/>
                <w:szCs w:val="16"/>
              </w:rPr>
              <w:t>-95,6</w:t>
            </w:r>
          </w:p>
        </w:tc>
      </w:tr>
      <w:tr w:rsidR="00623625" w:rsidRPr="00FD1578" w14:paraId="36B61CF8" w14:textId="77777777" w:rsidTr="00623625">
        <w:trPr>
          <w:trHeight w:val="20"/>
          <w:jc w:val="center"/>
        </w:trPr>
        <w:tc>
          <w:tcPr>
            <w:tcW w:w="3114" w:type="dxa"/>
            <w:shd w:val="clear" w:color="auto" w:fill="auto"/>
            <w:noWrap/>
            <w:vAlign w:val="center"/>
          </w:tcPr>
          <w:p w14:paraId="690A9320" w14:textId="77777777" w:rsidR="00623625" w:rsidRPr="00FD1578" w:rsidRDefault="00623625" w:rsidP="006357B3">
            <w:pPr>
              <w:spacing w:before="60" w:line="240" w:lineRule="auto"/>
              <w:ind w:firstLine="0"/>
              <w:jc w:val="left"/>
              <w:rPr>
                <w:rFonts w:eastAsia="Times New Roman" w:cs="Times New Roman"/>
                <w:color w:val="000000"/>
                <w:sz w:val="18"/>
                <w:szCs w:val="18"/>
              </w:rPr>
            </w:pPr>
            <w:r w:rsidRPr="00FD1578">
              <w:rPr>
                <w:rFonts w:eastAsia="Times New Roman" w:cs="Times New Roman"/>
                <w:color w:val="000000"/>
                <w:sz w:val="18"/>
                <w:szCs w:val="18"/>
              </w:rPr>
              <w:t xml:space="preserve">NNFPI līmenis (ar DRM),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55BB2258" w14:textId="295C22AE" w:rsidR="00623625" w:rsidRPr="00FE24E8" w:rsidRDefault="00623625" w:rsidP="006357B3">
            <w:pPr>
              <w:spacing w:before="60" w:line="240" w:lineRule="auto"/>
              <w:ind w:firstLine="0"/>
              <w:jc w:val="center"/>
              <w:rPr>
                <w:rFonts w:eastAsia="Times New Roman" w:cs="Times New Roman"/>
                <w:color w:val="000000"/>
                <w:sz w:val="18"/>
                <w:szCs w:val="18"/>
              </w:rPr>
            </w:pPr>
            <w:r w:rsidRPr="00FE24E8">
              <w:rPr>
                <w:rFonts w:eastAsia="Times New Roman" w:cs="Times New Roman"/>
                <w:color w:val="000000"/>
                <w:sz w:val="18"/>
                <w:szCs w:val="18"/>
              </w:rPr>
              <w:t>(15)=-(13)+(14)</w:t>
            </w:r>
          </w:p>
        </w:tc>
        <w:tc>
          <w:tcPr>
            <w:tcW w:w="963" w:type="dxa"/>
            <w:shd w:val="clear" w:color="auto" w:fill="auto"/>
            <w:noWrap/>
            <w:vAlign w:val="center"/>
          </w:tcPr>
          <w:p w14:paraId="07215D25" w14:textId="5E2D52B0"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16 909</w:t>
            </w:r>
          </w:p>
        </w:tc>
        <w:tc>
          <w:tcPr>
            <w:tcW w:w="964" w:type="dxa"/>
            <w:shd w:val="clear" w:color="auto" w:fill="auto"/>
            <w:noWrap/>
            <w:vAlign w:val="center"/>
          </w:tcPr>
          <w:p w14:paraId="25FEF962" w14:textId="75C08CE0"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18059</w:t>
            </w:r>
          </w:p>
        </w:tc>
        <w:tc>
          <w:tcPr>
            <w:tcW w:w="964" w:type="dxa"/>
            <w:shd w:val="clear" w:color="auto" w:fill="FFFFFF" w:themeFill="background1"/>
            <w:noWrap/>
            <w:vAlign w:val="center"/>
          </w:tcPr>
          <w:p w14:paraId="41B1ED22" w14:textId="72C1C83C"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18700</w:t>
            </w:r>
          </w:p>
        </w:tc>
        <w:tc>
          <w:tcPr>
            <w:tcW w:w="964" w:type="dxa"/>
            <w:shd w:val="clear" w:color="auto" w:fill="FFFFFF" w:themeFill="background1"/>
            <w:noWrap/>
            <w:vAlign w:val="center"/>
          </w:tcPr>
          <w:p w14:paraId="61E30498" w14:textId="14D1CAB0"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19274</w:t>
            </w:r>
          </w:p>
        </w:tc>
        <w:tc>
          <w:tcPr>
            <w:tcW w:w="964" w:type="dxa"/>
            <w:shd w:val="clear" w:color="auto" w:fill="FFFFFF" w:themeFill="background1"/>
            <w:noWrap/>
            <w:vAlign w:val="center"/>
          </w:tcPr>
          <w:p w14:paraId="5D3433DA" w14:textId="3505E02C"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19871</w:t>
            </w:r>
          </w:p>
        </w:tc>
      </w:tr>
      <w:tr w:rsidR="00623625" w:rsidRPr="00FD1578" w14:paraId="2CF87B56" w14:textId="77777777" w:rsidTr="000C5CF0">
        <w:trPr>
          <w:trHeight w:val="20"/>
          <w:jc w:val="center"/>
        </w:trPr>
        <w:tc>
          <w:tcPr>
            <w:tcW w:w="3114" w:type="dxa"/>
            <w:shd w:val="clear" w:color="auto" w:fill="D9E2F3" w:themeFill="accent5" w:themeFillTint="33"/>
            <w:noWrap/>
            <w:vAlign w:val="center"/>
          </w:tcPr>
          <w:p w14:paraId="324223AD" w14:textId="48A35E01" w:rsidR="00623625" w:rsidRPr="00FD1578" w:rsidRDefault="00623625" w:rsidP="006357B3">
            <w:pPr>
              <w:spacing w:before="60" w:line="240" w:lineRule="auto"/>
              <w:ind w:firstLine="0"/>
              <w:jc w:val="left"/>
              <w:rPr>
                <w:rFonts w:eastAsia="Times New Roman" w:cs="Times New Roman"/>
                <w:b/>
                <w:bCs/>
                <w:color w:val="000000"/>
                <w:sz w:val="18"/>
                <w:szCs w:val="18"/>
              </w:rPr>
            </w:pPr>
            <w:r w:rsidRPr="00FD1578">
              <w:rPr>
                <w:rFonts w:eastAsia="Times New Roman" w:cs="Times New Roman"/>
                <w:color w:val="000000"/>
                <w:sz w:val="18"/>
                <w:szCs w:val="18"/>
              </w:rPr>
              <w:t>NNFPI pieaugum</w:t>
            </w:r>
            <w:r>
              <w:rPr>
                <w:rFonts w:eastAsia="Times New Roman" w:cs="Times New Roman"/>
                <w:color w:val="000000"/>
                <w:sz w:val="18"/>
                <w:szCs w:val="18"/>
              </w:rPr>
              <w:t xml:space="preserve">s </w:t>
            </w:r>
            <w:r w:rsidRPr="00FD1578">
              <w:rPr>
                <w:rFonts w:eastAsia="Times New Roman" w:cs="Times New Roman"/>
                <w:color w:val="000000"/>
                <w:sz w:val="18"/>
                <w:szCs w:val="18"/>
              </w:rPr>
              <w:t>(ar DRM), %</w:t>
            </w:r>
          </w:p>
        </w:tc>
        <w:tc>
          <w:tcPr>
            <w:tcW w:w="1134" w:type="dxa"/>
            <w:shd w:val="clear" w:color="auto" w:fill="D9E2F3" w:themeFill="accent5" w:themeFillTint="33"/>
            <w:vAlign w:val="center"/>
          </w:tcPr>
          <w:p w14:paraId="2E5F64F6" w14:textId="29D5D056" w:rsidR="00623625" w:rsidRPr="005755A6" w:rsidRDefault="00623625" w:rsidP="006357B3">
            <w:pPr>
              <w:spacing w:before="60" w:line="240" w:lineRule="auto"/>
              <w:ind w:firstLine="0"/>
              <w:jc w:val="center"/>
              <w:rPr>
                <w:rFonts w:eastAsia="Times New Roman" w:cs="Times New Roman"/>
                <w:b/>
                <w:bCs/>
                <w:color w:val="000000"/>
                <w:sz w:val="18"/>
                <w:szCs w:val="18"/>
                <w:highlight w:val="yellow"/>
              </w:rPr>
            </w:pPr>
          </w:p>
        </w:tc>
        <w:tc>
          <w:tcPr>
            <w:tcW w:w="963" w:type="dxa"/>
            <w:shd w:val="clear" w:color="auto" w:fill="D9E2F3" w:themeFill="accent5" w:themeFillTint="33"/>
            <w:noWrap/>
            <w:vAlign w:val="center"/>
          </w:tcPr>
          <w:p w14:paraId="1CB1054A" w14:textId="0BCA1C82" w:rsidR="00623625" w:rsidRPr="00623625" w:rsidRDefault="00623625" w:rsidP="006357B3">
            <w:pPr>
              <w:spacing w:before="60" w:line="240" w:lineRule="auto"/>
              <w:ind w:firstLine="0"/>
              <w:jc w:val="center"/>
              <w:rPr>
                <w:rFonts w:eastAsia="Times New Roman" w:cs="Times New Roman"/>
                <w:b/>
                <w:bCs/>
                <w:color w:val="000000"/>
                <w:sz w:val="18"/>
                <w:szCs w:val="18"/>
              </w:rPr>
            </w:pPr>
            <w:r w:rsidRPr="00623625">
              <w:rPr>
                <w:sz w:val="18"/>
                <w:szCs w:val="18"/>
              </w:rPr>
              <w:t>9,096</w:t>
            </w:r>
          </w:p>
        </w:tc>
        <w:tc>
          <w:tcPr>
            <w:tcW w:w="964" w:type="dxa"/>
            <w:shd w:val="clear" w:color="auto" w:fill="D9E2F3" w:themeFill="accent5" w:themeFillTint="33"/>
            <w:noWrap/>
            <w:vAlign w:val="center"/>
          </w:tcPr>
          <w:p w14:paraId="4E24AC24" w14:textId="16FA3591" w:rsidR="00623625" w:rsidRPr="00623625" w:rsidRDefault="00623625" w:rsidP="006357B3">
            <w:pPr>
              <w:spacing w:before="60" w:line="240" w:lineRule="auto"/>
              <w:ind w:firstLine="0"/>
              <w:jc w:val="center"/>
              <w:rPr>
                <w:rFonts w:eastAsia="Times New Roman" w:cs="Times New Roman"/>
                <w:b/>
                <w:bCs/>
                <w:color w:val="000000"/>
                <w:sz w:val="18"/>
                <w:szCs w:val="18"/>
              </w:rPr>
            </w:pPr>
            <w:r w:rsidRPr="00623625">
              <w:rPr>
                <w:sz w:val="18"/>
                <w:szCs w:val="18"/>
              </w:rPr>
              <w:t>4,612</w:t>
            </w:r>
          </w:p>
        </w:tc>
        <w:tc>
          <w:tcPr>
            <w:tcW w:w="964" w:type="dxa"/>
            <w:shd w:val="clear" w:color="auto" w:fill="D9E2F3" w:themeFill="accent5" w:themeFillTint="33"/>
            <w:noWrap/>
            <w:vAlign w:val="center"/>
          </w:tcPr>
          <w:p w14:paraId="6FECCD1F" w14:textId="17E5BFCA" w:rsidR="00623625" w:rsidRPr="00623625" w:rsidRDefault="00623625" w:rsidP="006357B3">
            <w:pPr>
              <w:spacing w:before="60" w:line="240" w:lineRule="auto"/>
              <w:ind w:firstLine="0"/>
              <w:jc w:val="center"/>
              <w:rPr>
                <w:rFonts w:eastAsia="Times New Roman" w:cs="Times New Roman"/>
                <w:b/>
                <w:bCs/>
                <w:color w:val="000000"/>
                <w:sz w:val="18"/>
                <w:szCs w:val="18"/>
              </w:rPr>
            </w:pPr>
            <w:r w:rsidRPr="00623625">
              <w:rPr>
                <w:sz w:val="18"/>
                <w:szCs w:val="18"/>
              </w:rPr>
              <w:t>3,645</w:t>
            </w:r>
          </w:p>
        </w:tc>
        <w:tc>
          <w:tcPr>
            <w:tcW w:w="964" w:type="dxa"/>
            <w:shd w:val="clear" w:color="auto" w:fill="D9E2F3" w:themeFill="accent5" w:themeFillTint="33"/>
            <w:noWrap/>
            <w:vAlign w:val="center"/>
          </w:tcPr>
          <w:p w14:paraId="6A861B9D" w14:textId="63FB6021" w:rsidR="00623625" w:rsidRPr="00623625" w:rsidRDefault="00623625" w:rsidP="006357B3">
            <w:pPr>
              <w:spacing w:before="60" w:line="240" w:lineRule="auto"/>
              <w:ind w:firstLine="0"/>
              <w:jc w:val="center"/>
              <w:rPr>
                <w:rFonts w:eastAsia="Times New Roman" w:cs="Times New Roman"/>
                <w:b/>
                <w:bCs/>
                <w:color w:val="000000"/>
                <w:sz w:val="18"/>
                <w:szCs w:val="18"/>
              </w:rPr>
            </w:pPr>
            <w:r w:rsidRPr="00623625">
              <w:rPr>
                <w:sz w:val="18"/>
                <w:szCs w:val="18"/>
              </w:rPr>
              <w:t>3,363</w:t>
            </w:r>
          </w:p>
        </w:tc>
        <w:tc>
          <w:tcPr>
            <w:tcW w:w="964" w:type="dxa"/>
            <w:shd w:val="clear" w:color="auto" w:fill="D9E2F3" w:themeFill="accent5" w:themeFillTint="33"/>
            <w:noWrap/>
            <w:vAlign w:val="center"/>
          </w:tcPr>
          <w:p w14:paraId="35DE51E4" w14:textId="3DA3B139" w:rsidR="00623625" w:rsidRPr="00623625" w:rsidRDefault="00623625" w:rsidP="006357B3">
            <w:pPr>
              <w:spacing w:before="60" w:line="240" w:lineRule="auto"/>
              <w:ind w:firstLine="0"/>
              <w:jc w:val="center"/>
              <w:rPr>
                <w:rFonts w:eastAsia="Times New Roman" w:cs="Times New Roman"/>
                <w:b/>
                <w:bCs/>
                <w:color w:val="000000"/>
                <w:sz w:val="18"/>
                <w:szCs w:val="18"/>
              </w:rPr>
            </w:pPr>
            <w:r w:rsidRPr="00623625">
              <w:rPr>
                <w:sz w:val="18"/>
                <w:szCs w:val="18"/>
              </w:rPr>
              <w:t>3,326</w:t>
            </w:r>
          </w:p>
        </w:tc>
      </w:tr>
      <w:tr w:rsidR="00623625" w:rsidRPr="00FD1578" w14:paraId="7355C886" w14:textId="77777777" w:rsidTr="000C5CF0">
        <w:trPr>
          <w:trHeight w:val="20"/>
          <w:jc w:val="center"/>
        </w:trPr>
        <w:tc>
          <w:tcPr>
            <w:tcW w:w="3114" w:type="dxa"/>
            <w:shd w:val="clear" w:color="auto" w:fill="D9E2F3" w:themeFill="accent5" w:themeFillTint="33"/>
            <w:noWrap/>
            <w:vAlign w:val="center"/>
          </w:tcPr>
          <w:p w14:paraId="50EF81D9" w14:textId="3D2BA004" w:rsidR="00623625" w:rsidRPr="00FD1578" w:rsidRDefault="00623625" w:rsidP="006357B3">
            <w:pPr>
              <w:spacing w:before="60" w:line="240" w:lineRule="auto"/>
              <w:ind w:firstLine="0"/>
              <w:jc w:val="left"/>
              <w:rPr>
                <w:rFonts w:eastAsia="Times New Roman" w:cs="Times New Roman"/>
                <w:color w:val="000000"/>
                <w:sz w:val="18"/>
                <w:szCs w:val="18"/>
              </w:rPr>
            </w:pPr>
            <w:r w:rsidRPr="00FD1578">
              <w:rPr>
                <w:rFonts w:eastAsia="Times New Roman" w:cs="Times New Roman"/>
                <w:color w:val="000000"/>
                <w:sz w:val="18"/>
                <w:szCs w:val="18"/>
              </w:rPr>
              <w:t>NNFPI pieaugum</w:t>
            </w:r>
            <w:r>
              <w:rPr>
                <w:rFonts w:eastAsia="Times New Roman" w:cs="Times New Roman"/>
                <w:color w:val="000000"/>
                <w:sz w:val="18"/>
                <w:szCs w:val="18"/>
              </w:rPr>
              <w:t>s – fiskālās saistības</w:t>
            </w:r>
          </w:p>
        </w:tc>
        <w:tc>
          <w:tcPr>
            <w:tcW w:w="1134" w:type="dxa"/>
            <w:shd w:val="clear" w:color="auto" w:fill="D9E2F3" w:themeFill="accent5" w:themeFillTint="33"/>
            <w:vAlign w:val="center"/>
          </w:tcPr>
          <w:p w14:paraId="0F555141" w14:textId="77777777" w:rsidR="00623625" w:rsidRPr="005755A6" w:rsidRDefault="00623625" w:rsidP="006357B3">
            <w:pPr>
              <w:spacing w:before="60" w:line="240" w:lineRule="auto"/>
              <w:ind w:firstLine="0"/>
              <w:jc w:val="center"/>
              <w:rPr>
                <w:rFonts w:eastAsia="Times New Roman" w:cs="Times New Roman"/>
                <w:b/>
                <w:bCs/>
                <w:color w:val="000000"/>
                <w:sz w:val="18"/>
                <w:szCs w:val="18"/>
                <w:highlight w:val="yellow"/>
              </w:rPr>
            </w:pPr>
          </w:p>
        </w:tc>
        <w:tc>
          <w:tcPr>
            <w:tcW w:w="963" w:type="dxa"/>
            <w:shd w:val="clear" w:color="auto" w:fill="D9E2F3" w:themeFill="accent5" w:themeFillTint="33"/>
            <w:noWrap/>
            <w:vAlign w:val="center"/>
          </w:tcPr>
          <w:p w14:paraId="571AE1E9" w14:textId="1778EF0B" w:rsidR="00623625" w:rsidRPr="00623625" w:rsidRDefault="00623625" w:rsidP="006357B3">
            <w:pPr>
              <w:spacing w:before="60" w:line="240" w:lineRule="auto"/>
              <w:ind w:firstLine="0"/>
              <w:jc w:val="center"/>
              <w:rPr>
                <w:rFonts w:eastAsia="Times New Roman" w:cs="Times New Roman"/>
                <w:b/>
                <w:bCs/>
                <w:color w:val="000000"/>
                <w:sz w:val="18"/>
                <w:szCs w:val="18"/>
              </w:rPr>
            </w:pPr>
            <w:r w:rsidRPr="00623625">
              <w:rPr>
                <w:sz w:val="18"/>
                <w:szCs w:val="18"/>
              </w:rPr>
              <w:t>9,096</w:t>
            </w:r>
          </w:p>
        </w:tc>
        <w:tc>
          <w:tcPr>
            <w:tcW w:w="964" w:type="dxa"/>
            <w:shd w:val="clear" w:color="auto" w:fill="D9E2F3" w:themeFill="accent5" w:themeFillTint="33"/>
            <w:noWrap/>
          </w:tcPr>
          <w:p w14:paraId="3D59836F" w14:textId="7580B080" w:rsidR="00623625" w:rsidRPr="00623625" w:rsidRDefault="00623625" w:rsidP="006357B3">
            <w:pPr>
              <w:spacing w:before="60" w:line="240" w:lineRule="auto"/>
              <w:ind w:firstLine="0"/>
              <w:jc w:val="center"/>
              <w:rPr>
                <w:rFonts w:eastAsia="Times New Roman" w:cs="Times New Roman"/>
                <w:b/>
                <w:bCs/>
                <w:color w:val="000000"/>
                <w:sz w:val="18"/>
                <w:szCs w:val="16"/>
              </w:rPr>
            </w:pPr>
            <w:r w:rsidRPr="00623625">
              <w:rPr>
                <w:sz w:val="18"/>
                <w:szCs w:val="16"/>
              </w:rPr>
              <w:t>5,902</w:t>
            </w:r>
          </w:p>
        </w:tc>
        <w:tc>
          <w:tcPr>
            <w:tcW w:w="964" w:type="dxa"/>
            <w:shd w:val="clear" w:color="auto" w:fill="D9E2F3" w:themeFill="accent5" w:themeFillTint="33"/>
            <w:noWrap/>
          </w:tcPr>
          <w:p w14:paraId="2E14005C" w14:textId="4DA73398" w:rsidR="00623625" w:rsidRPr="00623625" w:rsidRDefault="00623625" w:rsidP="006357B3">
            <w:pPr>
              <w:spacing w:before="60" w:line="240" w:lineRule="auto"/>
              <w:ind w:firstLine="0"/>
              <w:jc w:val="center"/>
              <w:rPr>
                <w:rFonts w:eastAsia="Times New Roman" w:cs="Times New Roman"/>
                <w:b/>
                <w:bCs/>
                <w:color w:val="000000"/>
                <w:sz w:val="18"/>
                <w:szCs w:val="16"/>
              </w:rPr>
            </w:pPr>
            <w:r w:rsidRPr="00623625">
              <w:rPr>
                <w:sz w:val="18"/>
                <w:szCs w:val="16"/>
              </w:rPr>
              <w:t>3,645</w:t>
            </w:r>
          </w:p>
        </w:tc>
        <w:tc>
          <w:tcPr>
            <w:tcW w:w="964" w:type="dxa"/>
            <w:shd w:val="clear" w:color="auto" w:fill="D9E2F3" w:themeFill="accent5" w:themeFillTint="33"/>
            <w:noWrap/>
          </w:tcPr>
          <w:p w14:paraId="505E8464" w14:textId="34EECEFA" w:rsidR="00623625" w:rsidRPr="00623625" w:rsidRDefault="00623625" w:rsidP="006357B3">
            <w:pPr>
              <w:spacing w:before="60" w:line="240" w:lineRule="auto"/>
              <w:ind w:firstLine="0"/>
              <w:jc w:val="center"/>
              <w:rPr>
                <w:rFonts w:eastAsia="Times New Roman" w:cs="Times New Roman"/>
                <w:b/>
                <w:bCs/>
                <w:color w:val="000000"/>
                <w:sz w:val="18"/>
                <w:szCs w:val="16"/>
              </w:rPr>
            </w:pPr>
            <w:r w:rsidRPr="00623625">
              <w:rPr>
                <w:sz w:val="18"/>
                <w:szCs w:val="16"/>
              </w:rPr>
              <w:t>3,363</w:t>
            </w:r>
          </w:p>
        </w:tc>
        <w:tc>
          <w:tcPr>
            <w:tcW w:w="964" w:type="dxa"/>
            <w:shd w:val="clear" w:color="auto" w:fill="D9E2F3" w:themeFill="accent5" w:themeFillTint="33"/>
            <w:noWrap/>
          </w:tcPr>
          <w:p w14:paraId="5509C84B" w14:textId="04B4C9A1" w:rsidR="00623625" w:rsidRPr="00623625" w:rsidRDefault="00623625" w:rsidP="006357B3">
            <w:pPr>
              <w:spacing w:before="60" w:line="240" w:lineRule="auto"/>
              <w:ind w:firstLine="0"/>
              <w:jc w:val="center"/>
              <w:rPr>
                <w:rFonts w:eastAsia="Times New Roman" w:cs="Times New Roman"/>
                <w:b/>
                <w:bCs/>
                <w:color w:val="000000"/>
                <w:sz w:val="18"/>
                <w:szCs w:val="16"/>
              </w:rPr>
            </w:pPr>
            <w:r w:rsidRPr="00623625">
              <w:rPr>
                <w:sz w:val="18"/>
                <w:szCs w:val="16"/>
              </w:rPr>
              <w:t>3,326</w:t>
            </w:r>
          </w:p>
        </w:tc>
      </w:tr>
      <w:tr w:rsidR="00623625" w:rsidRPr="00FD1578" w14:paraId="1AF2B920" w14:textId="77777777" w:rsidTr="00623625">
        <w:trPr>
          <w:trHeight w:val="20"/>
          <w:jc w:val="center"/>
        </w:trPr>
        <w:tc>
          <w:tcPr>
            <w:tcW w:w="3114" w:type="dxa"/>
            <w:shd w:val="clear" w:color="auto" w:fill="auto"/>
            <w:noWrap/>
            <w:vAlign w:val="center"/>
          </w:tcPr>
          <w:p w14:paraId="386A6962" w14:textId="77777777" w:rsidR="00623625" w:rsidRPr="00FD1578" w:rsidRDefault="00623625" w:rsidP="006357B3">
            <w:pPr>
              <w:spacing w:before="60" w:line="240" w:lineRule="auto"/>
              <w:ind w:firstLine="0"/>
              <w:jc w:val="left"/>
              <w:rPr>
                <w:rFonts w:eastAsia="Times New Roman" w:cs="Times New Roman"/>
                <w:color w:val="000000"/>
                <w:sz w:val="18"/>
                <w:szCs w:val="18"/>
              </w:rPr>
            </w:pPr>
            <w:r w:rsidRPr="00FD1578">
              <w:rPr>
                <w:rFonts w:eastAsia="Times New Roman" w:cs="Times New Roman"/>
                <w:color w:val="000000"/>
                <w:sz w:val="18"/>
                <w:szCs w:val="18"/>
              </w:rPr>
              <w:t xml:space="preserve">IKP prognoze, milj. </w:t>
            </w:r>
            <w:proofErr w:type="spellStart"/>
            <w:r w:rsidRPr="00FD1578">
              <w:rPr>
                <w:rFonts w:eastAsia="Times New Roman" w:cs="Times New Roman"/>
                <w:i/>
                <w:iCs/>
                <w:color w:val="000000"/>
                <w:sz w:val="18"/>
                <w:szCs w:val="18"/>
              </w:rPr>
              <w:t>euro</w:t>
            </w:r>
            <w:proofErr w:type="spellEnd"/>
          </w:p>
        </w:tc>
        <w:tc>
          <w:tcPr>
            <w:tcW w:w="1134" w:type="dxa"/>
            <w:vAlign w:val="center"/>
          </w:tcPr>
          <w:p w14:paraId="65599AF5" w14:textId="77777777" w:rsidR="00623625" w:rsidRPr="005755A6" w:rsidRDefault="00623625" w:rsidP="006357B3">
            <w:pPr>
              <w:spacing w:before="60" w:line="240" w:lineRule="auto"/>
              <w:ind w:firstLine="0"/>
              <w:jc w:val="center"/>
              <w:rPr>
                <w:rFonts w:eastAsia="Times New Roman" w:cs="Times New Roman"/>
                <w:color w:val="000000"/>
                <w:sz w:val="18"/>
                <w:szCs w:val="18"/>
                <w:highlight w:val="yellow"/>
              </w:rPr>
            </w:pPr>
          </w:p>
        </w:tc>
        <w:tc>
          <w:tcPr>
            <w:tcW w:w="963" w:type="dxa"/>
            <w:shd w:val="clear" w:color="auto" w:fill="auto"/>
            <w:noWrap/>
            <w:vAlign w:val="center"/>
          </w:tcPr>
          <w:p w14:paraId="399A9859" w14:textId="177C14EF"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41 894</w:t>
            </w:r>
          </w:p>
        </w:tc>
        <w:tc>
          <w:tcPr>
            <w:tcW w:w="964" w:type="dxa"/>
            <w:shd w:val="clear" w:color="auto" w:fill="auto"/>
            <w:noWrap/>
            <w:vAlign w:val="center"/>
          </w:tcPr>
          <w:p w14:paraId="7AD36505" w14:textId="3A4CDE12"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44 379</w:t>
            </w:r>
          </w:p>
        </w:tc>
        <w:tc>
          <w:tcPr>
            <w:tcW w:w="964" w:type="dxa"/>
            <w:shd w:val="clear" w:color="auto" w:fill="FFFFFF" w:themeFill="background1"/>
            <w:noWrap/>
            <w:vAlign w:val="center"/>
          </w:tcPr>
          <w:p w14:paraId="1AD77717" w14:textId="67A9BAD2"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46 836</w:t>
            </w:r>
          </w:p>
        </w:tc>
        <w:tc>
          <w:tcPr>
            <w:tcW w:w="964" w:type="dxa"/>
            <w:shd w:val="clear" w:color="auto" w:fill="FFFFFF" w:themeFill="background1"/>
            <w:noWrap/>
            <w:vAlign w:val="center"/>
          </w:tcPr>
          <w:p w14:paraId="57007403" w14:textId="0A6D6F50"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49 349</w:t>
            </w:r>
          </w:p>
        </w:tc>
        <w:tc>
          <w:tcPr>
            <w:tcW w:w="964" w:type="dxa"/>
            <w:shd w:val="clear" w:color="auto" w:fill="FFFFFF" w:themeFill="background1"/>
            <w:noWrap/>
            <w:vAlign w:val="center"/>
          </w:tcPr>
          <w:p w14:paraId="476F7BF1" w14:textId="6BD5F73F" w:rsidR="00623625" w:rsidRPr="00623625" w:rsidRDefault="00623625" w:rsidP="006357B3">
            <w:pPr>
              <w:spacing w:before="60" w:line="240" w:lineRule="auto"/>
              <w:ind w:firstLine="0"/>
              <w:jc w:val="center"/>
              <w:rPr>
                <w:rFonts w:eastAsia="Times New Roman" w:cs="Times New Roman"/>
                <w:color w:val="000000"/>
                <w:sz w:val="18"/>
                <w:szCs w:val="18"/>
              </w:rPr>
            </w:pPr>
            <w:r w:rsidRPr="00623625">
              <w:rPr>
                <w:sz w:val="18"/>
                <w:szCs w:val="18"/>
              </w:rPr>
              <w:t>51 851</w:t>
            </w:r>
          </w:p>
        </w:tc>
      </w:tr>
      <w:tr w:rsidR="00FE24E8" w:rsidRPr="00FD1578" w14:paraId="710B8157" w14:textId="77777777" w:rsidTr="00FE24E8">
        <w:trPr>
          <w:trHeight w:val="20"/>
          <w:jc w:val="center"/>
        </w:trPr>
        <w:tc>
          <w:tcPr>
            <w:tcW w:w="311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0ACE85" w14:textId="77E415FA" w:rsidR="00FE24E8" w:rsidRPr="000F5DA8" w:rsidRDefault="00FE24E8" w:rsidP="006357B3">
            <w:pPr>
              <w:spacing w:before="60" w:line="240" w:lineRule="auto"/>
              <w:ind w:firstLine="0"/>
              <w:jc w:val="left"/>
              <w:rPr>
                <w:rFonts w:eastAsia="Times New Roman" w:cs="Times New Roman"/>
                <w:b/>
                <w:bCs/>
                <w:color w:val="000000"/>
                <w:sz w:val="18"/>
                <w:szCs w:val="18"/>
                <w:highlight w:val="yellow"/>
              </w:rPr>
            </w:pPr>
            <w:r w:rsidRPr="00702E15">
              <w:rPr>
                <w:rFonts w:eastAsia="Times New Roman" w:cs="Times New Roman"/>
                <w:color w:val="000000"/>
                <w:sz w:val="18"/>
                <w:szCs w:val="18"/>
              </w:rPr>
              <w:t>Fiskālā nodrošinājuma rezerve, % no IKP</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A1B8D4" w14:textId="77777777" w:rsidR="00FE24E8" w:rsidRPr="004F39C0" w:rsidRDefault="00FE24E8" w:rsidP="006357B3">
            <w:pPr>
              <w:spacing w:before="60" w:line="240" w:lineRule="auto"/>
              <w:ind w:firstLine="0"/>
              <w:jc w:val="center"/>
              <w:rPr>
                <w:rFonts w:eastAsia="Times New Roman" w:cs="Times New Roman"/>
                <w:b/>
                <w:bCs/>
                <w:color w:val="000000"/>
                <w:sz w:val="18"/>
                <w:szCs w:val="18"/>
                <w:highlight w:val="yellow"/>
              </w:rPr>
            </w:pPr>
          </w:p>
        </w:tc>
        <w:tc>
          <w:tcPr>
            <w:tcW w:w="9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3C8829" w14:textId="0E3BD75D" w:rsidR="00FE24E8" w:rsidRPr="00FE24E8" w:rsidRDefault="00FE24E8" w:rsidP="006357B3">
            <w:pPr>
              <w:spacing w:before="60" w:line="240" w:lineRule="auto"/>
              <w:ind w:firstLine="0"/>
              <w:jc w:val="center"/>
              <w:rPr>
                <w:rFonts w:eastAsia="Times New Roman" w:cs="Times New Roman"/>
                <w:b/>
                <w:bCs/>
                <w:color w:val="000000"/>
                <w:sz w:val="18"/>
                <w:szCs w:val="18"/>
              </w:rPr>
            </w:pP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40835C" w14:textId="6922E9BA" w:rsidR="00FE24E8" w:rsidRPr="00FE24E8" w:rsidRDefault="00623625" w:rsidP="006357B3">
            <w:pPr>
              <w:spacing w:before="60" w:line="240" w:lineRule="auto"/>
              <w:ind w:firstLine="0"/>
              <w:jc w:val="center"/>
              <w:rPr>
                <w:rFonts w:eastAsia="Times New Roman" w:cs="Times New Roman"/>
                <w:color w:val="000000"/>
                <w:sz w:val="18"/>
                <w:szCs w:val="18"/>
              </w:rPr>
            </w:pPr>
            <w:r>
              <w:rPr>
                <w:rFonts w:cs="Times New Roman"/>
                <w:sz w:val="18"/>
                <w:szCs w:val="18"/>
              </w:rPr>
              <w:t>0,1</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FC1AA4" w14:textId="695FE1F4" w:rsidR="00FE24E8" w:rsidRPr="00FE24E8" w:rsidRDefault="00623625" w:rsidP="006357B3">
            <w:pPr>
              <w:spacing w:before="60" w:line="240" w:lineRule="auto"/>
              <w:ind w:firstLine="0"/>
              <w:jc w:val="center"/>
              <w:rPr>
                <w:rFonts w:eastAsia="Times New Roman" w:cs="Times New Roman"/>
                <w:color w:val="000000"/>
                <w:sz w:val="18"/>
                <w:szCs w:val="18"/>
              </w:rPr>
            </w:pPr>
            <w:r>
              <w:rPr>
                <w:rFonts w:cs="Times New Roman"/>
                <w:sz w:val="18"/>
                <w:szCs w:val="18"/>
              </w:rPr>
              <w:t>0,1</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96E497" w14:textId="59A6EA12" w:rsidR="00FE24E8" w:rsidRPr="00FE24E8" w:rsidRDefault="00623625" w:rsidP="006357B3">
            <w:pPr>
              <w:spacing w:before="60" w:line="240" w:lineRule="auto"/>
              <w:ind w:firstLine="0"/>
              <w:jc w:val="center"/>
              <w:rPr>
                <w:rFonts w:eastAsia="Times New Roman" w:cs="Times New Roman"/>
                <w:color w:val="000000"/>
                <w:sz w:val="18"/>
                <w:szCs w:val="18"/>
              </w:rPr>
            </w:pPr>
            <w:r>
              <w:rPr>
                <w:rFonts w:cs="Times New Roman"/>
                <w:sz w:val="18"/>
                <w:szCs w:val="18"/>
              </w:rPr>
              <w:t>0,1</w:t>
            </w:r>
          </w:p>
        </w:tc>
        <w:tc>
          <w:tcPr>
            <w:tcW w:w="96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CC349E" w14:textId="1E4FD6F7" w:rsidR="00FE24E8" w:rsidRPr="00FE24E8" w:rsidRDefault="00623625" w:rsidP="006357B3">
            <w:pPr>
              <w:spacing w:before="60" w:line="240" w:lineRule="auto"/>
              <w:ind w:firstLine="0"/>
              <w:jc w:val="center"/>
              <w:rPr>
                <w:rFonts w:eastAsia="Times New Roman" w:cs="Times New Roman"/>
                <w:color w:val="000000"/>
                <w:sz w:val="18"/>
                <w:szCs w:val="18"/>
              </w:rPr>
            </w:pPr>
            <w:r>
              <w:rPr>
                <w:rFonts w:cs="Times New Roman"/>
                <w:sz w:val="18"/>
                <w:szCs w:val="18"/>
              </w:rPr>
              <w:t>0,1</w:t>
            </w:r>
          </w:p>
        </w:tc>
      </w:tr>
    </w:tbl>
    <w:p w14:paraId="4C74C48C" w14:textId="77777777" w:rsidR="00424AD5" w:rsidRPr="002869EC" w:rsidRDefault="00424AD5" w:rsidP="006357B3">
      <w:pPr>
        <w:spacing w:line="240" w:lineRule="auto"/>
        <w:ind w:firstLine="0"/>
        <w:rPr>
          <w:rFonts w:eastAsia="Times New Roman"/>
          <w:lang w:eastAsia="lv-LV"/>
        </w:rPr>
      </w:pPr>
    </w:p>
    <w:p w14:paraId="7F4008DF" w14:textId="04892893" w:rsidR="00424AD5" w:rsidRPr="000F5DA8" w:rsidRDefault="00424AD5" w:rsidP="006357B3">
      <w:pPr>
        <w:spacing w:line="240" w:lineRule="auto"/>
        <w:rPr>
          <w:rFonts w:eastAsia="Times New Roman"/>
          <w:lang w:eastAsia="lv-LV"/>
        </w:rPr>
      </w:pPr>
      <w:r w:rsidRPr="000F5DA8">
        <w:rPr>
          <w:rFonts w:eastAsia="Times New Roman"/>
          <w:lang w:eastAsia="lv-LV"/>
        </w:rPr>
        <w:t xml:space="preserve">Kā redzams, šajā FSP ietvertais pasākumu kopums nodrošina NNFPI saistību ievērošanu. Kā redzams, 2025. gadā ar DRI </w:t>
      </w:r>
      <w:r w:rsidR="00E93FE5" w:rsidRPr="00E93FE5">
        <w:rPr>
          <w:rFonts w:eastAsia="Times New Roman"/>
          <w:lang w:eastAsia="lv-LV"/>
        </w:rPr>
        <w:t>koriģētais</w:t>
      </w:r>
      <w:r w:rsidRPr="000F5DA8">
        <w:rPr>
          <w:rFonts w:eastAsia="Times New Roman"/>
          <w:lang w:eastAsia="lv-LV"/>
        </w:rPr>
        <w:t xml:space="preserve"> NNFPI pieaugums ir 4,</w:t>
      </w:r>
      <w:r w:rsidR="00623625">
        <w:rPr>
          <w:rFonts w:eastAsia="Times New Roman"/>
          <w:lang w:eastAsia="lv-LV"/>
        </w:rPr>
        <w:t>6</w:t>
      </w:r>
      <w:r w:rsidRPr="000F5DA8">
        <w:rPr>
          <w:rFonts w:eastAsia="Times New Roman"/>
          <w:lang w:eastAsia="lv-LV"/>
        </w:rPr>
        <w:t xml:space="preserve">%, kas ir būtiski zemāks, kā </w:t>
      </w:r>
      <w:r w:rsidR="00E93FE5" w:rsidRPr="00E93FE5">
        <w:rPr>
          <w:rFonts w:eastAsia="Times New Roman"/>
          <w:lang w:eastAsia="lv-LV"/>
        </w:rPr>
        <w:t>pieļaujamais</w:t>
      </w:r>
      <w:r w:rsidRPr="000F5DA8">
        <w:rPr>
          <w:rFonts w:eastAsia="Times New Roman"/>
          <w:lang w:eastAsia="lv-LV"/>
        </w:rPr>
        <w:t xml:space="preserve"> 5,9% līmenis. Tas tāpēc, ka 2025. gadā dominējošais ir strukturālās </w:t>
      </w:r>
      <w:r w:rsidR="00E93FE5" w:rsidRPr="00D16845">
        <w:rPr>
          <w:rFonts w:eastAsia="Times New Roman"/>
          <w:lang w:eastAsia="lv-LV"/>
        </w:rPr>
        <w:t>primārās</w:t>
      </w:r>
      <w:r w:rsidR="00E93FE5" w:rsidRPr="00E93FE5">
        <w:rPr>
          <w:rFonts w:eastAsia="Times New Roman"/>
          <w:lang w:eastAsia="lv-LV"/>
        </w:rPr>
        <w:t xml:space="preserve"> </w:t>
      </w:r>
      <w:r w:rsidRPr="000F5DA8">
        <w:rPr>
          <w:rFonts w:eastAsia="Times New Roman"/>
          <w:lang w:eastAsia="lv-LV"/>
        </w:rPr>
        <w:t xml:space="preserve">bilances nosacījums, nevis NNFPI pieauguma nosacījums. Iemesls, kā jau iepriekš tika </w:t>
      </w:r>
      <w:r w:rsidR="00E93FE5" w:rsidRPr="00E93FE5">
        <w:rPr>
          <w:rFonts w:eastAsia="Times New Roman"/>
          <w:lang w:eastAsia="lv-LV"/>
        </w:rPr>
        <w:t>analizēts</w:t>
      </w:r>
      <w:r w:rsidRPr="000F5DA8">
        <w:rPr>
          <w:rFonts w:eastAsia="Times New Roman"/>
          <w:lang w:eastAsia="lv-LV"/>
        </w:rPr>
        <w:t>, ir 2024. gada bāzes efekts.</w:t>
      </w:r>
      <w:r w:rsidR="00FC370A" w:rsidRPr="000F5DA8">
        <w:rPr>
          <w:rFonts w:eastAsia="Times New Roman"/>
          <w:lang w:eastAsia="lv-LV"/>
        </w:rPr>
        <w:t xml:space="preserve"> </w:t>
      </w:r>
      <w:r w:rsidR="00E93FE5" w:rsidRPr="00E93FE5">
        <w:rPr>
          <w:rFonts w:eastAsia="Times New Roman"/>
          <w:lang w:eastAsia="lv-LV"/>
        </w:rPr>
        <w:t>Jāatzīmē</w:t>
      </w:r>
      <w:r w:rsidR="00FC370A" w:rsidRPr="000F5DA8">
        <w:rPr>
          <w:rFonts w:eastAsia="Times New Roman"/>
          <w:lang w:eastAsia="lv-LV"/>
        </w:rPr>
        <w:t xml:space="preserve"> arī, ka Latvija patur ti</w:t>
      </w:r>
      <w:r w:rsidR="00E93FE5">
        <w:rPr>
          <w:rFonts w:eastAsia="Times New Roman"/>
          <w:lang w:eastAsia="lv-LV"/>
        </w:rPr>
        <w:t>e</w:t>
      </w:r>
      <w:r w:rsidR="00FC370A" w:rsidRPr="000F5DA8">
        <w:rPr>
          <w:rFonts w:eastAsia="Times New Roman"/>
          <w:lang w:eastAsia="lv-LV"/>
        </w:rPr>
        <w:t xml:space="preserve">sības </w:t>
      </w:r>
      <w:r w:rsidR="00E93FE5" w:rsidRPr="00E93FE5">
        <w:rPr>
          <w:rFonts w:eastAsia="Times New Roman"/>
          <w:lang w:eastAsia="lv-LV"/>
        </w:rPr>
        <w:t>budžeta</w:t>
      </w:r>
      <w:r w:rsidR="00FC370A" w:rsidRPr="000F5DA8">
        <w:rPr>
          <w:rFonts w:eastAsia="Times New Roman"/>
          <w:lang w:eastAsia="lv-LV"/>
        </w:rPr>
        <w:t xml:space="preserve"> izpildes laikā </w:t>
      </w:r>
      <w:r w:rsidR="00E93FE5" w:rsidRPr="00E93FE5">
        <w:rPr>
          <w:rFonts w:eastAsia="Times New Roman"/>
          <w:lang w:eastAsia="lv-LV"/>
        </w:rPr>
        <w:t>kāpināt</w:t>
      </w:r>
      <w:r w:rsidR="00FC370A" w:rsidRPr="000F5DA8">
        <w:rPr>
          <w:rFonts w:eastAsia="Times New Roman"/>
          <w:lang w:eastAsia="lv-LV"/>
        </w:rPr>
        <w:t xml:space="preserve"> izdevumus, tos finansējot ar </w:t>
      </w:r>
      <w:proofErr w:type="spellStart"/>
      <w:r w:rsidR="00FC370A" w:rsidRPr="000F5DA8">
        <w:rPr>
          <w:rFonts w:eastAsia="Times New Roman"/>
          <w:lang w:eastAsia="lv-LV"/>
        </w:rPr>
        <w:t>nediskrecionārajiem</w:t>
      </w:r>
      <w:proofErr w:type="spellEnd"/>
      <w:r w:rsidR="00FC370A" w:rsidRPr="000F5DA8">
        <w:rPr>
          <w:rFonts w:eastAsia="Times New Roman"/>
          <w:lang w:eastAsia="lv-LV"/>
        </w:rPr>
        <w:t xml:space="preserve"> ieņēmumiem, jo tie ir imūni pret bilances </w:t>
      </w:r>
      <w:r w:rsidR="00E93FE5" w:rsidRPr="00E93FE5">
        <w:rPr>
          <w:rFonts w:eastAsia="Times New Roman"/>
          <w:lang w:eastAsia="lv-LV"/>
        </w:rPr>
        <w:t>nosacījumiem</w:t>
      </w:r>
      <w:r w:rsidR="00FC370A" w:rsidRPr="000F5DA8">
        <w:rPr>
          <w:rFonts w:eastAsia="Times New Roman"/>
          <w:lang w:eastAsia="lv-LV"/>
        </w:rPr>
        <w:t>, bet kāpina NNFPI pieaugumu. Šāda iespēja var tikt izmantota, ja tā ir saskaņā ar nacionālo budžeta izpildes tiesisko regulējumu un iespēja var tikt izmantota ne vairāk kā sasniedzot 5,9% NNFPI pieaugumu.</w:t>
      </w:r>
    </w:p>
    <w:p w14:paraId="31CCA1DC" w14:textId="77777777" w:rsidR="008403D0" w:rsidRDefault="008403D0">
      <w:pPr>
        <w:spacing w:after="160" w:line="259"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pPr>
      <w:r>
        <w:rPr>
          <w:sz w:val="32"/>
          <w:szCs w:val="32"/>
        </w:rPr>
        <w:br w:type="page"/>
      </w:r>
    </w:p>
    <w:p w14:paraId="60B94DD4" w14:textId="4A5ECC33" w:rsidR="005A4348" w:rsidRPr="002869EC" w:rsidRDefault="001E75E4" w:rsidP="006357B3">
      <w:pPr>
        <w:pStyle w:val="Heading1"/>
        <w:spacing w:before="0" w:line="240" w:lineRule="auto"/>
        <w:rPr>
          <w:sz w:val="32"/>
          <w:szCs w:val="32"/>
        </w:rPr>
      </w:pPr>
      <w:bookmarkStart w:id="41" w:name="_Toc179540635"/>
      <w:r w:rsidRPr="001E75E4">
        <w:rPr>
          <w:sz w:val="32"/>
          <w:szCs w:val="32"/>
        </w:rPr>
        <w:lastRenderedPageBreak/>
        <w:t xml:space="preserve">7. </w:t>
      </w:r>
      <w:r w:rsidR="005A4348" w:rsidRPr="002869EC">
        <w:rPr>
          <w:sz w:val="32"/>
          <w:szCs w:val="32"/>
        </w:rPr>
        <w:t>Politikas pasākumi</w:t>
      </w:r>
      <w:bookmarkEnd w:id="41"/>
    </w:p>
    <w:p w14:paraId="1BFD3A43" w14:textId="61B5EE6B" w:rsidR="000A5468" w:rsidRDefault="00675746" w:rsidP="006357B3">
      <w:pPr>
        <w:spacing w:line="240" w:lineRule="auto"/>
        <w:rPr>
          <w:rFonts w:eastAsia="Times New Roman"/>
          <w:lang w:eastAsia="lv-LV"/>
        </w:rPr>
      </w:pPr>
      <w:r w:rsidRPr="000F5DA8">
        <w:rPr>
          <w:rFonts w:eastAsia="Times New Roman"/>
          <w:lang w:eastAsia="lv-LV"/>
        </w:rPr>
        <w:t>Vispārējās valdības izdevumus nosaka gan visu pasākumu kopums, ko finansē no vispārējās valdības budžetiem saskaņā ar pieņemtajiem lēmumiem līdz 2025. gada budžeta sagatavošanas uzsākšanai, gan jaunie pasākumi</w:t>
      </w:r>
      <w:r w:rsidR="00CB514E">
        <w:rPr>
          <w:rFonts w:eastAsia="Times New Roman"/>
          <w:lang w:eastAsia="lv-LV"/>
        </w:rPr>
        <w:t>,</w:t>
      </w:r>
      <w:r w:rsidRPr="000F5DA8">
        <w:rPr>
          <w:rFonts w:eastAsia="Times New Roman"/>
          <w:lang w:eastAsia="lv-LV"/>
        </w:rPr>
        <w:t xml:space="preserve"> par kuriem lēmumi pieņemti 2025. gada budžeta</w:t>
      </w:r>
      <w:r w:rsidR="00CB514E">
        <w:rPr>
          <w:rFonts w:eastAsia="Times New Roman"/>
          <w:lang w:eastAsia="lv-LV"/>
        </w:rPr>
        <w:t xml:space="preserve"> un vidēja termiņa budžeta ietvara</w:t>
      </w:r>
      <w:r w:rsidRPr="000F5DA8">
        <w:rPr>
          <w:rFonts w:eastAsia="Times New Roman"/>
          <w:lang w:eastAsia="lv-LV"/>
        </w:rPr>
        <w:t xml:space="preserve"> sagatavošanas kontekstā. </w:t>
      </w:r>
      <w:r w:rsidR="000A5468">
        <w:rPr>
          <w:rFonts w:eastAsia="Times New Roman"/>
          <w:lang w:eastAsia="lv-LV"/>
        </w:rPr>
        <w:t>Ņemot vērā, ka Latvijai 2025</w:t>
      </w:r>
      <w:r w:rsidR="00CB514E">
        <w:rPr>
          <w:rFonts w:eastAsia="Times New Roman"/>
          <w:lang w:eastAsia="lv-LV"/>
        </w:rPr>
        <w:t>.</w:t>
      </w:r>
      <w:r w:rsidR="000A5468">
        <w:rPr>
          <w:rFonts w:eastAsia="Times New Roman"/>
          <w:lang w:eastAsia="lv-LV"/>
        </w:rPr>
        <w:t xml:space="preserve"> -2028</w:t>
      </w:r>
      <w:r w:rsidR="00CB514E">
        <w:rPr>
          <w:rFonts w:eastAsia="Times New Roman"/>
          <w:lang w:eastAsia="lv-LV"/>
        </w:rPr>
        <w:t>.</w:t>
      </w:r>
      <w:r w:rsidR="000A5468">
        <w:rPr>
          <w:rFonts w:eastAsia="Times New Roman"/>
          <w:lang w:eastAsia="lv-LV"/>
        </w:rPr>
        <w:t xml:space="preserve"> gadu periodā nav jāveic būtiska strukturālā </w:t>
      </w:r>
      <w:r w:rsidR="00CB514E">
        <w:rPr>
          <w:rFonts w:eastAsia="Times New Roman"/>
          <w:lang w:eastAsia="lv-LV"/>
        </w:rPr>
        <w:t xml:space="preserve">primārā </w:t>
      </w:r>
      <w:r w:rsidR="000A5468">
        <w:rPr>
          <w:rFonts w:eastAsia="Times New Roman"/>
          <w:lang w:eastAsia="lv-LV"/>
        </w:rPr>
        <w:t>deficīta samazināšana, jauno pasākumu kopums faktiski kopumā kompensē reālo izdevumu vērtības kritumu nemainīgas politikas scenārijā, kas saskaņā ar Latvijas metodoloģiju nozīmē izdevumu apjomu saskaņā ar pieņemtajiem lēmumiem. Jaunie politikas pasākumi faktiski norāda uz reālo izdevumu pārplānošanu par labu prioritārajiem pasākumiem.</w:t>
      </w:r>
    </w:p>
    <w:p w14:paraId="31296EB2" w14:textId="7C13B6AE" w:rsidR="000A5468" w:rsidRDefault="000A5468" w:rsidP="008403D0">
      <w:pPr>
        <w:spacing w:after="0" w:line="240" w:lineRule="auto"/>
        <w:rPr>
          <w:rFonts w:eastAsia="Times New Roman"/>
          <w:lang w:eastAsia="lv-LV"/>
        </w:rPr>
      </w:pPr>
      <w:r>
        <w:rPr>
          <w:rFonts w:eastAsia="Times New Roman"/>
          <w:lang w:eastAsia="lv-LV"/>
        </w:rPr>
        <w:t xml:space="preserve">Šajā nodaļā atsevišķi ir sniegta informācija par ieņēmumu pasākumiem – tos sadalot trīs grupās: (1) </w:t>
      </w:r>
      <w:proofErr w:type="spellStart"/>
      <w:r>
        <w:rPr>
          <w:rFonts w:eastAsia="Times New Roman"/>
          <w:lang w:eastAsia="lv-LV"/>
        </w:rPr>
        <w:t>diskrecionārie</w:t>
      </w:r>
      <w:proofErr w:type="spellEnd"/>
      <w:r>
        <w:rPr>
          <w:rFonts w:eastAsia="Times New Roman"/>
          <w:lang w:eastAsia="lv-LV"/>
        </w:rPr>
        <w:t xml:space="preserve"> ieņēmumu pasākumi, kas pieņemti pirms 2025. gada budžeta sagatavošanas uzsākšanas;</w:t>
      </w:r>
      <w:r w:rsidR="00CB514E">
        <w:rPr>
          <w:rFonts w:eastAsia="Times New Roman"/>
          <w:lang w:eastAsia="lv-LV"/>
        </w:rPr>
        <w:t xml:space="preserve"> </w:t>
      </w:r>
      <w:r>
        <w:rPr>
          <w:rFonts w:eastAsia="Times New Roman"/>
          <w:lang w:eastAsia="lv-LV"/>
        </w:rPr>
        <w:t xml:space="preserve">(2) jaunie </w:t>
      </w:r>
      <w:proofErr w:type="spellStart"/>
      <w:r>
        <w:rPr>
          <w:rFonts w:eastAsia="Times New Roman"/>
          <w:lang w:eastAsia="lv-LV"/>
        </w:rPr>
        <w:t>diskrecionārie</w:t>
      </w:r>
      <w:proofErr w:type="spellEnd"/>
      <w:r>
        <w:rPr>
          <w:rFonts w:eastAsia="Times New Roman"/>
          <w:lang w:eastAsia="lv-LV"/>
        </w:rPr>
        <w:t xml:space="preserve"> ieņēmumu pasākumi</w:t>
      </w:r>
      <w:r w:rsidR="00CB514E">
        <w:rPr>
          <w:rFonts w:eastAsia="Times New Roman"/>
          <w:lang w:eastAsia="lv-LV"/>
        </w:rPr>
        <w:t>,</w:t>
      </w:r>
      <w:r>
        <w:rPr>
          <w:rFonts w:eastAsia="Times New Roman"/>
          <w:lang w:eastAsia="lv-LV"/>
        </w:rPr>
        <w:t xml:space="preserve"> kas pieņemti budžeta sagatavošanas ietvaros un (3) </w:t>
      </w:r>
      <w:proofErr w:type="spellStart"/>
      <w:r>
        <w:rPr>
          <w:rFonts w:eastAsia="Times New Roman"/>
          <w:lang w:eastAsia="lv-LV"/>
        </w:rPr>
        <w:t>nediskrecionārie</w:t>
      </w:r>
      <w:proofErr w:type="spellEnd"/>
      <w:r>
        <w:rPr>
          <w:rFonts w:eastAsia="Times New Roman"/>
          <w:lang w:eastAsia="lv-LV"/>
        </w:rPr>
        <w:t xml:space="preserve"> ieņēmumu pasākumi. Tāpat šajā nodaļā </w:t>
      </w:r>
      <w:r w:rsidR="00FA1949">
        <w:rPr>
          <w:rFonts w:eastAsia="Times New Roman"/>
          <w:lang w:eastAsia="lv-LV"/>
        </w:rPr>
        <w:t>sniegta informācija par jaunajiem izdevumu pasākumiem.</w:t>
      </w:r>
    </w:p>
    <w:p w14:paraId="4AA03B17" w14:textId="77777777" w:rsidR="008403D0" w:rsidRDefault="008403D0" w:rsidP="008403D0">
      <w:pPr>
        <w:spacing w:after="0" w:line="240" w:lineRule="auto"/>
        <w:rPr>
          <w:rFonts w:eastAsia="Times New Roman"/>
          <w:lang w:eastAsia="lv-LV"/>
        </w:rPr>
      </w:pPr>
    </w:p>
    <w:p w14:paraId="4AFA08AC" w14:textId="3802A30C" w:rsidR="008403D0" w:rsidRPr="00AB1ADE" w:rsidRDefault="008403D0" w:rsidP="008403D0">
      <w:pPr>
        <w:pStyle w:val="Heading2"/>
        <w:numPr>
          <w:ilvl w:val="0"/>
          <w:numId w:val="0"/>
        </w:numPr>
        <w:spacing w:before="0" w:after="240" w:line="240" w:lineRule="auto"/>
        <w:ind w:left="578" w:hanging="578"/>
        <w:rPr>
          <w:rFonts w:eastAsia="Times New Roman" w:cs="Times New Roman"/>
          <w:sz w:val="28"/>
          <w:szCs w:val="24"/>
        </w:rPr>
      </w:pPr>
      <w:bookmarkStart w:id="42" w:name="_Toc179540636"/>
      <w:r w:rsidRPr="00AB1ADE">
        <w:rPr>
          <w:rFonts w:eastAsia="Times New Roman" w:cs="Times New Roman"/>
          <w:sz w:val="28"/>
          <w:szCs w:val="24"/>
        </w:rPr>
        <w:t xml:space="preserve">7.1. Nemainīgas politikas scenārijā iekļautie </w:t>
      </w:r>
      <w:proofErr w:type="spellStart"/>
      <w:r w:rsidRPr="00AB1ADE">
        <w:rPr>
          <w:rFonts w:eastAsia="Times New Roman" w:cs="Times New Roman"/>
          <w:sz w:val="28"/>
          <w:szCs w:val="24"/>
        </w:rPr>
        <w:t>diskrecionārie</w:t>
      </w:r>
      <w:proofErr w:type="spellEnd"/>
      <w:r w:rsidRPr="00AB1ADE">
        <w:rPr>
          <w:rFonts w:eastAsia="Times New Roman" w:cs="Times New Roman"/>
          <w:sz w:val="28"/>
          <w:szCs w:val="24"/>
        </w:rPr>
        <w:t xml:space="preserve"> ieņēmumu</w:t>
      </w:r>
      <w:r>
        <w:rPr>
          <w:rFonts w:eastAsia="Times New Roman" w:cs="Times New Roman"/>
          <w:sz w:val="28"/>
          <w:szCs w:val="24"/>
        </w:rPr>
        <w:t xml:space="preserve"> </w:t>
      </w:r>
      <w:r w:rsidRPr="00AB1ADE">
        <w:rPr>
          <w:rFonts w:eastAsia="Times New Roman" w:cs="Times New Roman"/>
          <w:sz w:val="28"/>
          <w:szCs w:val="24"/>
        </w:rPr>
        <w:t>pasākumi</w:t>
      </w:r>
      <w:bookmarkEnd w:id="42"/>
    </w:p>
    <w:p w14:paraId="752B8B05" w14:textId="77777777" w:rsidR="008403D0" w:rsidRPr="00C31B05" w:rsidRDefault="008403D0" w:rsidP="008403D0">
      <w:pPr>
        <w:spacing w:line="240" w:lineRule="auto"/>
        <w:contextualSpacing/>
        <w:rPr>
          <w:rFonts w:cs="Times New Roman"/>
          <w:szCs w:val="20"/>
          <w:lang w:eastAsia="lv-LV"/>
        </w:rPr>
      </w:pPr>
      <w:r>
        <w:rPr>
          <w:rFonts w:cs="Times New Roman"/>
          <w:szCs w:val="20"/>
          <w:lang w:eastAsia="lv-LV"/>
        </w:rPr>
        <w:t xml:space="preserve">Iepriekšējos gados pieņemtajiem </w:t>
      </w:r>
      <w:proofErr w:type="spellStart"/>
      <w:r>
        <w:rPr>
          <w:rFonts w:cs="Times New Roman"/>
          <w:szCs w:val="20"/>
          <w:lang w:eastAsia="lv-LV"/>
        </w:rPr>
        <w:t>diskrecionārajiem</w:t>
      </w:r>
      <w:proofErr w:type="spellEnd"/>
      <w:r>
        <w:rPr>
          <w:rFonts w:cs="Times New Roman"/>
          <w:szCs w:val="20"/>
          <w:lang w:eastAsia="lv-LV"/>
        </w:rPr>
        <w:t xml:space="preserve"> ieņēmumu pasākumiem var būt ietekme uz pieļaujamo </w:t>
      </w:r>
      <w:r w:rsidRPr="007370C0">
        <w:rPr>
          <w:rFonts w:cs="Times New Roman"/>
          <w:szCs w:val="20"/>
          <w:lang w:eastAsia="lv-LV"/>
        </w:rPr>
        <w:t>NNFPI atļauto</w:t>
      </w:r>
      <w:r>
        <w:rPr>
          <w:rFonts w:cs="Times New Roman"/>
          <w:szCs w:val="20"/>
          <w:lang w:eastAsia="lv-LV"/>
        </w:rPr>
        <w:t xml:space="preserve"> pieaugumu 2025. gadā un turpmāk. Informācija par šiem pasākumiem ir svarīga, lai pareizi noteiktu, cik fiskāli nozīmīgus pasākumus var papildus finansēt, nepārsniedzot pieļaujamo NNFPI likmi.   </w:t>
      </w:r>
    </w:p>
    <w:p w14:paraId="7C0E4856" w14:textId="77777777" w:rsidR="008403D0" w:rsidRDefault="008403D0" w:rsidP="006357B3">
      <w:pPr>
        <w:spacing w:line="240" w:lineRule="auto"/>
        <w:rPr>
          <w:rFonts w:eastAsia="Times New Roman"/>
          <w:lang w:eastAsia="lv-LV"/>
        </w:rPr>
      </w:pPr>
    </w:p>
    <w:p w14:paraId="62BF791D" w14:textId="5F4437D8" w:rsidR="00992F16" w:rsidRDefault="00992F16" w:rsidP="006357B3">
      <w:pPr>
        <w:spacing w:line="240" w:lineRule="auto"/>
        <w:ind w:firstLine="0"/>
        <w:rPr>
          <w:rFonts w:eastAsia="Times New Roman"/>
          <w:lang w:eastAsia="lv-LV"/>
        </w:rPr>
      </w:pPr>
      <w:r>
        <w:rPr>
          <w:rFonts w:eastAsia="Times New Roman"/>
          <w:lang w:eastAsia="lv-LV"/>
        </w:rPr>
        <w:br w:type="page"/>
      </w:r>
    </w:p>
    <w:p w14:paraId="2B6C093C" w14:textId="77777777" w:rsidR="00992F16" w:rsidRDefault="00992F16" w:rsidP="006357B3">
      <w:pPr>
        <w:pStyle w:val="Heading2"/>
        <w:numPr>
          <w:ilvl w:val="0"/>
          <w:numId w:val="0"/>
        </w:numPr>
        <w:spacing w:before="240" w:after="240" w:line="240" w:lineRule="auto"/>
        <w:ind w:left="578"/>
        <w:rPr>
          <w:rFonts w:eastAsia="Times New Roman" w:cs="Times New Roman"/>
          <w:sz w:val="28"/>
          <w:szCs w:val="24"/>
        </w:rPr>
        <w:sectPr w:rsidR="00992F16" w:rsidSect="00692447">
          <w:footerReference w:type="default" r:id="rId23"/>
          <w:type w:val="continuous"/>
          <w:pgSz w:w="11906" w:h="16838" w:code="9"/>
          <w:pgMar w:top="1134" w:right="1134" w:bottom="1134" w:left="1418" w:header="0" w:footer="142" w:gutter="0"/>
          <w:cols w:space="708"/>
          <w:titlePg/>
          <w:docGrid w:linePitch="381"/>
        </w:sectPr>
      </w:pPr>
    </w:p>
    <w:p w14:paraId="7F9EE28F" w14:textId="78C331A1" w:rsidR="00AD1255" w:rsidRDefault="00077E4D" w:rsidP="006357B3">
      <w:pPr>
        <w:spacing w:after="240" w:line="240" w:lineRule="auto"/>
        <w:ind w:firstLine="0"/>
        <w:contextualSpacing/>
        <w:jc w:val="right"/>
        <w:rPr>
          <w:rFonts w:cs="Times New Roman"/>
          <w:b/>
          <w:bCs/>
          <w:szCs w:val="20"/>
          <w:lang w:eastAsia="lv-LV"/>
        </w:rPr>
      </w:pPr>
      <w:r w:rsidRPr="002869EC">
        <w:rPr>
          <w:rFonts w:cs="Times New Roman"/>
          <w:b/>
          <w:bCs/>
          <w:szCs w:val="20"/>
          <w:lang w:eastAsia="lv-LV"/>
        </w:rPr>
        <w:lastRenderedPageBreak/>
        <w:t xml:space="preserve">5. tabula. </w:t>
      </w:r>
      <w:proofErr w:type="spellStart"/>
      <w:r w:rsidRPr="002869EC">
        <w:rPr>
          <w:rFonts w:cs="Times New Roman"/>
          <w:b/>
          <w:bCs/>
          <w:szCs w:val="20"/>
          <w:lang w:eastAsia="lv-LV"/>
        </w:rPr>
        <w:t>Diskrecionāro</w:t>
      </w:r>
      <w:proofErr w:type="spellEnd"/>
      <w:r w:rsidRPr="002869EC">
        <w:rPr>
          <w:rFonts w:cs="Times New Roman"/>
          <w:b/>
          <w:bCs/>
          <w:szCs w:val="20"/>
          <w:lang w:eastAsia="lv-LV"/>
        </w:rPr>
        <w:t xml:space="preserve"> ieņēmumu pasākumu paredzamā ietekme</w:t>
      </w:r>
    </w:p>
    <w:p w14:paraId="3A9AD1F8" w14:textId="77777777" w:rsidR="0055392E" w:rsidRPr="00C31B05" w:rsidRDefault="0055392E" w:rsidP="006357B3">
      <w:pPr>
        <w:spacing w:after="240" w:line="240" w:lineRule="auto"/>
        <w:ind w:firstLine="0"/>
        <w:contextualSpacing/>
        <w:jc w:val="right"/>
        <w:rPr>
          <w:rFonts w:cs="Times New Roman"/>
          <w:b/>
          <w:bCs/>
          <w:szCs w:val="20"/>
          <w:lang w:eastAsia="lv-LV"/>
        </w:rPr>
      </w:pPr>
    </w:p>
    <w:tbl>
      <w:tblPr>
        <w:tblW w:w="14500" w:type="dxa"/>
        <w:jc w:val="center"/>
        <w:tblLook w:val="04A0" w:firstRow="1" w:lastRow="0" w:firstColumn="1" w:lastColumn="0" w:noHBand="0" w:noVBand="1"/>
      </w:tblPr>
      <w:tblGrid>
        <w:gridCol w:w="476"/>
        <w:gridCol w:w="5576"/>
        <w:gridCol w:w="1036"/>
        <w:gridCol w:w="1004"/>
        <w:gridCol w:w="792"/>
        <w:gridCol w:w="936"/>
        <w:gridCol w:w="936"/>
        <w:gridCol w:w="936"/>
        <w:gridCol w:w="936"/>
        <w:gridCol w:w="936"/>
        <w:gridCol w:w="936"/>
      </w:tblGrid>
      <w:tr w:rsidR="00992F16" w:rsidRPr="00992F16" w14:paraId="2E196A5A" w14:textId="77777777" w:rsidTr="000C5CF0">
        <w:trPr>
          <w:trHeight w:val="495"/>
          <w:tblHeader/>
          <w:jc w:val="center"/>
        </w:trPr>
        <w:tc>
          <w:tcPr>
            <w:tcW w:w="476" w:type="dxa"/>
            <w:tcBorders>
              <w:top w:val="nil"/>
              <w:left w:val="nil"/>
              <w:bottom w:val="nil"/>
              <w:right w:val="nil"/>
            </w:tcBorders>
            <w:shd w:val="clear" w:color="auto" w:fill="D9E2F3" w:themeFill="accent5" w:themeFillTint="33"/>
            <w:noWrap/>
            <w:vAlign w:val="bottom"/>
            <w:hideMark/>
          </w:tcPr>
          <w:p w14:paraId="4B412ED3" w14:textId="77777777" w:rsidR="00992F16" w:rsidRPr="00992F16" w:rsidRDefault="00992F16" w:rsidP="006357B3">
            <w:pPr>
              <w:spacing w:after="0" w:line="240" w:lineRule="auto"/>
              <w:ind w:firstLine="0"/>
              <w:jc w:val="left"/>
              <w:rPr>
                <w:rFonts w:eastAsia="Times New Roman" w:cs="Times New Roman"/>
                <w:sz w:val="20"/>
                <w:szCs w:val="24"/>
                <w:lang w:eastAsia="lv-LV"/>
              </w:rPr>
            </w:pPr>
          </w:p>
        </w:tc>
        <w:tc>
          <w:tcPr>
            <w:tcW w:w="5576" w:type="dxa"/>
            <w:tcBorders>
              <w:top w:val="nil"/>
              <w:left w:val="nil"/>
              <w:bottom w:val="nil"/>
              <w:right w:val="nil"/>
            </w:tcBorders>
            <w:shd w:val="clear" w:color="auto" w:fill="D9E2F3" w:themeFill="accent5" w:themeFillTint="33"/>
            <w:noWrap/>
            <w:vAlign w:val="bottom"/>
            <w:hideMark/>
          </w:tcPr>
          <w:p w14:paraId="1EAE2521" w14:textId="77777777" w:rsidR="00992F16" w:rsidRPr="00992F16" w:rsidRDefault="00992F16" w:rsidP="006357B3">
            <w:pPr>
              <w:spacing w:after="0" w:line="240" w:lineRule="auto"/>
              <w:ind w:firstLine="0"/>
              <w:jc w:val="left"/>
              <w:rPr>
                <w:rFonts w:eastAsia="Times New Roman" w:cs="Times New Roman"/>
                <w:sz w:val="20"/>
                <w:szCs w:val="20"/>
                <w:lang w:eastAsia="lv-LV"/>
              </w:rPr>
            </w:pPr>
          </w:p>
        </w:tc>
        <w:tc>
          <w:tcPr>
            <w:tcW w:w="1036" w:type="dxa"/>
            <w:tcBorders>
              <w:top w:val="nil"/>
              <w:left w:val="nil"/>
              <w:bottom w:val="nil"/>
              <w:right w:val="nil"/>
            </w:tcBorders>
            <w:shd w:val="clear" w:color="auto" w:fill="D9E2F3" w:themeFill="accent5" w:themeFillTint="33"/>
            <w:noWrap/>
            <w:vAlign w:val="bottom"/>
            <w:hideMark/>
          </w:tcPr>
          <w:p w14:paraId="19D3309E"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Vienreizējs</w:t>
            </w:r>
          </w:p>
        </w:tc>
        <w:tc>
          <w:tcPr>
            <w:tcW w:w="1004" w:type="dxa"/>
            <w:tcBorders>
              <w:top w:val="nil"/>
              <w:left w:val="nil"/>
              <w:bottom w:val="nil"/>
              <w:right w:val="nil"/>
            </w:tcBorders>
            <w:shd w:val="clear" w:color="auto" w:fill="D9E2F3" w:themeFill="accent5" w:themeFillTint="33"/>
            <w:vAlign w:val="bottom"/>
            <w:hideMark/>
          </w:tcPr>
          <w:p w14:paraId="55FCD7C4"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Izdevumi/ ieņēmumi</w:t>
            </w:r>
          </w:p>
        </w:tc>
        <w:tc>
          <w:tcPr>
            <w:tcW w:w="792" w:type="dxa"/>
            <w:tcBorders>
              <w:top w:val="nil"/>
              <w:left w:val="nil"/>
              <w:bottom w:val="nil"/>
              <w:right w:val="nil"/>
            </w:tcBorders>
            <w:shd w:val="clear" w:color="auto" w:fill="D9E2F3" w:themeFill="accent5" w:themeFillTint="33"/>
            <w:vAlign w:val="bottom"/>
            <w:hideMark/>
          </w:tcPr>
          <w:p w14:paraId="5FEE6726" w14:textId="77777777" w:rsidR="00992F16" w:rsidRPr="00992F16" w:rsidRDefault="00992F16" w:rsidP="006357B3">
            <w:pPr>
              <w:spacing w:after="0" w:line="240" w:lineRule="auto"/>
              <w:ind w:firstLine="0"/>
              <w:jc w:val="center"/>
              <w:rPr>
                <w:rFonts w:eastAsia="Times New Roman" w:cs="Times New Roman"/>
                <w:b/>
                <w:bCs/>
                <w:sz w:val="18"/>
                <w:szCs w:val="18"/>
                <w:lang w:eastAsia="lv-LV"/>
              </w:rPr>
            </w:pPr>
            <w:r w:rsidRPr="00992F16">
              <w:rPr>
                <w:rFonts w:eastAsia="Times New Roman" w:cs="Times New Roman"/>
                <w:b/>
                <w:bCs/>
                <w:sz w:val="18"/>
                <w:szCs w:val="18"/>
                <w:lang w:eastAsia="lv-LV"/>
              </w:rPr>
              <w:t>EKS kods</w:t>
            </w:r>
          </w:p>
        </w:tc>
        <w:tc>
          <w:tcPr>
            <w:tcW w:w="936" w:type="dxa"/>
            <w:tcBorders>
              <w:top w:val="nil"/>
              <w:left w:val="nil"/>
              <w:bottom w:val="nil"/>
              <w:right w:val="nil"/>
            </w:tcBorders>
            <w:shd w:val="clear" w:color="000000" w:fill="95B3D7"/>
            <w:noWrap/>
            <w:vAlign w:val="bottom"/>
            <w:hideMark/>
          </w:tcPr>
          <w:p w14:paraId="57F7FAB0" w14:textId="77777777" w:rsidR="00992F16" w:rsidRPr="00992F16" w:rsidRDefault="00992F16" w:rsidP="006357B3">
            <w:pPr>
              <w:spacing w:after="0" w:line="240" w:lineRule="auto"/>
              <w:ind w:firstLine="0"/>
              <w:jc w:val="center"/>
              <w:rPr>
                <w:rFonts w:eastAsia="Times New Roman" w:cs="Times New Roman"/>
                <w:b/>
                <w:bCs/>
                <w:color w:val="000000"/>
                <w:sz w:val="18"/>
                <w:szCs w:val="18"/>
                <w:lang w:eastAsia="lv-LV"/>
              </w:rPr>
            </w:pPr>
            <w:r w:rsidRPr="00992F16">
              <w:rPr>
                <w:rFonts w:eastAsia="Times New Roman" w:cs="Times New Roman"/>
                <w:b/>
                <w:bCs/>
                <w:color w:val="000000"/>
                <w:sz w:val="18"/>
                <w:szCs w:val="18"/>
                <w:lang w:eastAsia="lv-LV"/>
              </w:rPr>
              <w:t>2023</w:t>
            </w:r>
          </w:p>
        </w:tc>
        <w:tc>
          <w:tcPr>
            <w:tcW w:w="936" w:type="dxa"/>
            <w:tcBorders>
              <w:top w:val="nil"/>
              <w:left w:val="nil"/>
              <w:bottom w:val="nil"/>
              <w:right w:val="nil"/>
            </w:tcBorders>
            <w:shd w:val="clear" w:color="000000" w:fill="95B3D7"/>
            <w:noWrap/>
            <w:vAlign w:val="bottom"/>
            <w:hideMark/>
          </w:tcPr>
          <w:p w14:paraId="5F5922A1" w14:textId="77777777" w:rsidR="00992F16" w:rsidRPr="00992F16" w:rsidRDefault="00992F16" w:rsidP="006357B3">
            <w:pPr>
              <w:spacing w:after="0" w:line="240" w:lineRule="auto"/>
              <w:ind w:firstLine="0"/>
              <w:jc w:val="center"/>
              <w:rPr>
                <w:rFonts w:eastAsia="Times New Roman" w:cs="Times New Roman"/>
                <w:b/>
                <w:bCs/>
                <w:color w:val="000000"/>
                <w:sz w:val="18"/>
                <w:szCs w:val="18"/>
                <w:lang w:eastAsia="lv-LV"/>
              </w:rPr>
            </w:pPr>
            <w:r w:rsidRPr="00992F16">
              <w:rPr>
                <w:rFonts w:eastAsia="Times New Roman" w:cs="Times New Roman"/>
                <w:b/>
                <w:bCs/>
                <w:color w:val="000000"/>
                <w:sz w:val="18"/>
                <w:szCs w:val="18"/>
                <w:lang w:eastAsia="lv-LV"/>
              </w:rPr>
              <w:t>2024</w:t>
            </w:r>
          </w:p>
        </w:tc>
        <w:tc>
          <w:tcPr>
            <w:tcW w:w="936" w:type="dxa"/>
            <w:tcBorders>
              <w:top w:val="nil"/>
              <w:left w:val="nil"/>
              <w:bottom w:val="nil"/>
              <w:right w:val="nil"/>
            </w:tcBorders>
            <w:shd w:val="clear" w:color="000000" w:fill="95B3D7"/>
            <w:noWrap/>
            <w:vAlign w:val="bottom"/>
            <w:hideMark/>
          </w:tcPr>
          <w:p w14:paraId="79925B84" w14:textId="77777777" w:rsidR="00992F16" w:rsidRPr="00992F16" w:rsidRDefault="00992F16" w:rsidP="006357B3">
            <w:pPr>
              <w:spacing w:after="0" w:line="240" w:lineRule="auto"/>
              <w:ind w:firstLine="0"/>
              <w:jc w:val="center"/>
              <w:rPr>
                <w:rFonts w:eastAsia="Times New Roman" w:cs="Times New Roman"/>
                <w:b/>
                <w:bCs/>
                <w:color w:val="000000"/>
                <w:sz w:val="18"/>
                <w:szCs w:val="18"/>
                <w:lang w:eastAsia="lv-LV"/>
              </w:rPr>
            </w:pPr>
            <w:r w:rsidRPr="00992F16">
              <w:rPr>
                <w:rFonts w:eastAsia="Times New Roman" w:cs="Times New Roman"/>
                <w:b/>
                <w:bCs/>
                <w:color w:val="000000"/>
                <w:sz w:val="18"/>
                <w:szCs w:val="18"/>
                <w:lang w:eastAsia="lv-LV"/>
              </w:rPr>
              <w:t>2025</w:t>
            </w:r>
          </w:p>
        </w:tc>
        <w:tc>
          <w:tcPr>
            <w:tcW w:w="936" w:type="dxa"/>
            <w:tcBorders>
              <w:top w:val="nil"/>
              <w:left w:val="nil"/>
              <w:bottom w:val="nil"/>
              <w:right w:val="nil"/>
            </w:tcBorders>
            <w:shd w:val="clear" w:color="000000" w:fill="95B3D7"/>
            <w:noWrap/>
            <w:vAlign w:val="bottom"/>
            <w:hideMark/>
          </w:tcPr>
          <w:p w14:paraId="7ECDDFC5" w14:textId="77777777" w:rsidR="00992F16" w:rsidRPr="00992F16" w:rsidRDefault="00992F16" w:rsidP="006357B3">
            <w:pPr>
              <w:spacing w:after="0" w:line="240" w:lineRule="auto"/>
              <w:ind w:firstLine="0"/>
              <w:jc w:val="center"/>
              <w:rPr>
                <w:rFonts w:eastAsia="Times New Roman" w:cs="Times New Roman"/>
                <w:b/>
                <w:bCs/>
                <w:color w:val="000000"/>
                <w:sz w:val="18"/>
                <w:szCs w:val="18"/>
                <w:lang w:eastAsia="lv-LV"/>
              </w:rPr>
            </w:pPr>
            <w:r w:rsidRPr="00992F16">
              <w:rPr>
                <w:rFonts w:eastAsia="Times New Roman" w:cs="Times New Roman"/>
                <w:b/>
                <w:bCs/>
                <w:color w:val="000000"/>
                <w:sz w:val="18"/>
                <w:szCs w:val="18"/>
                <w:lang w:eastAsia="lv-LV"/>
              </w:rPr>
              <w:t>2026</w:t>
            </w:r>
          </w:p>
        </w:tc>
        <w:tc>
          <w:tcPr>
            <w:tcW w:w="936" w:type="dxa"/>
            <w:tcBorders>
              <w:top w:val="nil"/>
              <w:left w:val="nil"/>
              <w:bottom w:val="nil"/>
              <w:right w:val="nil"/>
            </w:tcBorders>
            <w:shd w:val="clear" w:color="000000" w:fill="95B3D7"/>
            <w:noWrap/>
            <w:vAlign w:val="bottom"/>
            <w:hideMark/>
          </w:tcPr>
          <w:p w14:paraId="3B0E7C7B" w14:textId="77777777" w:rsidR="00992F16" w:rsidRPr="00992F16" w:rsidRDefault="00992F16" w:rsidP="006357B3">
            <w:pPr>
              <w:spacing w:after="0" w:line="240" w:lineRule="auto"/>
              <w:ind w:firstLine="0"/>
              <w:jc w:val="center"/>
              <w:rPr>
                <w:rFonts w:eastAsia="Times New Roman" w:cs="Times New Roman"/>
                <w:b/>
                <w:bCs/>
                <w:color w:val="000000"/>
                <w:sz w:val="18"/>
                <w:szCs w:val="18"/>
                <w:lang w:eastAsia="lv-LV"/>
              </w:rPr>
            </w:pPr>
            <w:r w:rsidRPr="00992F16">
              <w:rPr>
                <w:rFonts w:eastAsia="Times New Roman" w:cs="Times New Roman"/>
                <w:b/>
                <w:bCs/>
                <w:color w:val="000000"/>
                <w:sz w:val="18"/>
                <w:szCs w:val="18"/>
                <w:lang w:eastAsia="lv-LV"/>
              </w:rPr>
              <w:t>2027</w:t>
            </w:r>
          </w:p>
        </w:tc>
        <w:tc>
          <w:tcPr>
            <w:tcW w:w="936" w:type="dxa"/>
            <w:tcBorders>
              <w:top w:val="nil"/>
              <w:left w:val="nil"/>
              <w:bottom w:val="nil"/>
              <w:right w:val="nil"/>
            </w:tcBorders>
            <w:shd w:val="clear" w:color="000000" w:fill="95B3D7"/>
            <w:noWrap/>
            <w:vAlign w:val="bottom"/>
            <w:hideMark/>
          </w:tcPr>
          <w:p w14:paraId="35CA5486" w14:textId="77777777" w:rsidR="00992F16" w:rsidRPr="00992F16" w:rsidRDefault="00992F16" w:rsidP="006357B3">
            <w:pPr>
              <w:spacing w:after="0" w:line="240" w:lineRule="auto"/>
              <w:ind w:firstLine="0"/>
              <w:jc w:val="center"/>
              <w:rPr>
                <w:rFonts w:eastAsia="Times New Roman" w:cs="Times New Roman"/>
                <w:b/>
                <w:bCs/>
                <w:color w:val="000000"/>
                <w:sz w:val="18"/>
                <w:szCs w:val="18"/>
                <w:lang w:eastAsia="lv-LV"/>
              </w:rPr>
            </w:pPr>
            <w:r w:rsidRPr="00992F16">
              <w:rPr>
                <w:rFonts w:eastAsia="Times New Roman" w:cs="Times New Roman"/>
                <w:b/>
                <w:bCs/>
                <w:color w:val="000000"/>
                <w:sz w:val="18"/>
                <w:szCs w:val="18"/>
                <w:lang w:eastAsia="lv-LV"/>
              </w:rPr>
              <w:t>2028</w:t>
            </w:r>
          </w:p>
        </w:tc>
      </w:tr>
      <w:tr w:rsidR="00992F16" w:rsidRPr="00992F16" w14:paraId="428E7866" w14:textId="77777777" w:rsidTr="000C5CF0">
        <w:trPr>
          <w:trHeight w:val="300"/>
          <w:tblHeader/>
          <w:jc w:val="center"/>
        </w:trPr>
        <w:tc>
          <w:tcPr>
            <w:tcW w:w="476" w:type="dxa"/>
            <w:tcBorders>
              <w:top w:val="nil"/>
              <w:left w:val="nil"/>
              <w:bottom w:val="nil"/>
              <w:right w:val="nil"/>
            </w:tcBorders>
            <w:shd w:val="clear" w:color="000000" w:fill="95B3D7"/>
            <w:noWrap/>
            <w:vAlign w:val="bottom"/>
            <w:hideMark/>
          </w:tcPr>
          <w:p w14:paraId="2011D816" w14:textId="77777777" w:rsidR="00992F16" w:rsidRPr="00992F16" w:rsidRDefault="00992F16" w:rsidP="006357B3">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 </w:t>
            </w:r>
          </w:p>
        </w:tc>
        <w:tc>
          <w:tcPr>
            <w:tcW w:w="5576" w:type="dxa"/>
            <w:tcBorders>
              <w:top w:val="nil"/>
              <w:left w:val="nil"/>
              <w:bottom w:val="nil"/>
              <w:right w:val="nil"/>
            </w:tcBorders>
            <w:shd w:val="clear" w:color="000000" w:fill="95B3D7"/>
            <w:vAlign w:val="bottom"/>
            <w:hideMark/>
          </w:tcPr>
          <w:p w14:paraId="679B9237" w14:textId="77777777" w:rsidR="00992F16" w:rsidRPr="00992F16" w:rsidRDefault="00992F16" w:rsidP="006357B3">
            <w:pPr>
              <w:spacing w:after="0" w:line="240" w:lineRule="auto"/>
              <w:ind w:firstLine="0"/>
              <w:jc w:val="left"/>
              <w:rPr>
                <w:rFonts w:eastAsia="Times New Roman" w:cs="Times New Roman"/>
                <w:b/>
                <w:bCs/>
                <w:sz w:val="18"/>
                <w:szCs w:val="18"/>
                <w:lang w:eastAsia="lv-LV"/>
              </w:rPr>
            </w:pPr>
            <w:r w:rsidRPr="00992F16">
              <w:rPr>
                <w:rFonts w:eastAsia="Times New Roman" w:cs="Times New Roman"/>
                <w:b/>
                <w:bCs/>
                <w:sz w:val="18"/>
                <w:szCs w:val="18"/>
                <w:lang w:eastAsia="lv-LV"/>
              </w:rPr>
              <w:t>Nosaukums/pasākuma apraksts</w:t>
            </w:r>
          </w:p>
        </w:tc>
        <w:tc>
          <w:tcPr>
            <w:tcW w:w="1036" w:type="dxa"/>
            <w:tcBorders>
              <w:top w:val="nil"/>
              <w:left w:val="nil"/>
              <w:bottom w:val="nil"/>
              <w:right w:val="nil"/>
            </w:tcBorders>
            <w:shd w:val="clear" w:color="000000" w:fill="95B3D7"/>
            <w:vAlign w:val="bottom"/>
            <w:hideMark/>
          </w:tcPr>
          <w:p w14:paraId="56453A18" w14:textId="77777777" w:rsidR="00992F16" w:rsidRPr="00992F16" w:rsidRDefault="00992F16" w:rsidP="006357B3">
            <w:pPr>
              <w:spacing w:after="0" w:line="240" w:lineRule="auto"/>
              <w:ind w:firstLine="0"/>
              <w:jc w:val="left"/>
              <w:rPr>
                <w:rFonts w:eastAsia="Times New Roman" w:cs="Times New Roman"/>
                <w:b/>
                <w:bCs/>
                <w:sz w:val="18"/>
                <w:szCs w:val="18"/>
                <w:lang w:eastAsia="lv-LV"/>
              </w:rPr>
            </w:pPr>
            <w:r w:rsidRPr="00992F16">
              <w:rPr>
                <w:rFonts w:eastAsia="Times New Roman" w:cs="Times New Roman"/>
                <w:b/>
                <w:bCs/>
                <w:sz w:val="18"/>
                <w:szCs w:val="18"/>
                <w:lang w:eastAsia="lv-LV"/>
              </w:rPr>
              <w:t> </w:t>
            </w:r>
          </w:p>
        </w:tc>
        <w:tc>
          <w:tcPr>
            <w:tcW w:w="1004" w:type="dxa"/>
            <w:tcBorders>
              <w:top w:val="nil"/>
              <w:left w:val="nil"/>
              <w:bottom w:val="nil"/>
              <w:right w:val="nil"/>
            </w:tcBorders>
            <w:shd w:val="clear" w:color="000000" w:fill="95B3D7"/>
            <w:vAlign w:val="bottom"/>
            <w:hideMark/>
          </w:tcPr>
          <w:p w14:paraId="38D29D0F" w14:textId="77777777" w:rsidR="00992F16" w:rsidRPr="00992F16" w:rsidRDefault="00992F16" w:rsidP="006357B3">
            <w:pPr>
              <w:spacing w:after="0" w:line="240" w:lineRule="auto"/>
              <w:ind w:firstLine="0"/>
              <w:jc w:val="left"/>
              <w:rPr>
                <w:rFonts w:eastAsia="Times New Roman" w:cs="Times New Roman"/>
                <w:b/>
                <w:bCs/>
                <w:sz w:val="18"/>
                <w:szCs w:val="18"/>
                <w:lang w:eastAsia="lv-LV"/>
              </w:rPr>
            </w:pPr>
            <w:r w:rsidRPr="00992F16">
              <w:rPr>
                <w:rFonts w:eastAsia="Times New Roman" w:cs="Times New Roman"/>
                <w:b/>
                <w:bCs/>
                <w:sz w:val="18"/>
                <w:szCs w:val="18"/>
                <w:lang w:eastAsia="lv-LV"/>
              </w:rPr>
              <w:t> </w:t>
            </w:r>
          </w:p>
        </w:tc>
        <w:tc>
          <w:tcPr>
            <w:tcW w:w="792" w:type="dxa"/>
            <w:tcBorders>
              <w:top w:val="nil"/>
              <w:left w:val="nil"/>
              <w:bottom w:val="nil"/>
              <w:right w:val="nil"/>
            </w:tcBorders>
            <w:shd w:val="clear" w:color="000000" w:fill="95B3D7"/>
            <w:vAlign w:val="bottom"/>
            <w:hideMark/>
          </w:tcPr>
          <w:p w14:paraId="02E02956" w14:textId="77777777" w:rsidR="00992F16" w:rsidRPr="00992F16" w:rsidRDefault="00992F16" w:rsidP="006357B3">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 </w:t>
            </w:r>
          </w:p>
        </w:tc>
        <w:tc>
          <w:tcPr>
            <w:tcW w:w="936" w:type="dxa"/>
            <w:tcBorders>
              <w:top w:val="nil"/>
              <w:left w:val="nil"/>
              <w:bottom w:val="nil"/>
              <w:right w:val="nil"/>
            </w:tcBorders>
            <w:shd w:val="clear" w:color="000000" w:fill="95B3D7"/>
            <w:noWrap/>
            <w:vAlign w:val="bottom"/>
            <w:hideMark/>
          </w:tcPr>
          <w:p w14:paraId="6C9E7665"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 no IKP</w:t>
            </w:r>
          </w:p>
        </w:tc>
        <w:tc>
          <w:tcPr>
            <w:tcW w:w="936" w:type="dxa"/>
            <w:tcBorders>
              <w:top w:val="nil"/>
              <w:left w:val="nil"/>
              <w:bottom w:val="nil"/>
              <w:right w:val="nil"/>
            </w:tcBorders>
            <w:shd w:val="clear" w:color="000000" w:fill="95B3D7"/>
            <w:noWrap/>
            <w:vAlign w:val="bottom"/>
            <w:hideMark/>
          </w:tcPr>
          <w:p w14:paraId="1630FCB4"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 no IKP</w:t>
            </w:r>
          </w:p>
        </w:tc>
        <w:tc>
          <w:tcPr>
            <w:tcW w:w="936" w:type="dxa"/>
            <w:tcBorders>
              <w:top w:val="nil"/>
              <w:left w:val="nil"/>
              <w:bottom w:val="nil"/>
              <w:right w:val="nil"/>
            </w:tcBorders>
            <w:shd w:val="clear" w:color="000000" w:fill="95B3D7"/>
            <w:noWrap/>
            <w:vAlign w:val="bottom"/>
            <w:hideMark/>
          </w:tcPr>
          <w:p w14:paraId="705B411B"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 no IKP</w:t>
            </w:r>
          </w:p>
        </w:tc>
        <w:tc>
          <w:tcPr>
            <w:tcW w:w="936" w:type="dxa"/>
            <w:tcBorders>
              <w:top w:val="nil"/>
              <w:left w:val="nil"/>
              <w:bottom w:val="nil"/>
              <w:right w:val="nil"/>
            </w:tcBorders>
            <w:shd w:val="clear" w:color="000000" w:fill="95B3D7"/>
            <w:noWrap/>
            <w:vAlign w:val="bottom"/>
            <w:hideMark/>
          </w:tcPr>
          <w:p w14:paraId="77DDA017"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 no IKP</w:t>
            </w:r>
          </w:p>
        </w:tc>
        <w:tc>
          <w:tcPr>
            <w:tcW w:w="936" w:type="dxa"/>
            <w:tcBorders>
              <w:top w:val="nil"/>
              <w:left w:val="nil"/>
              <w:bottom w:val="nil"/>
              <w:right w:val="nil"/>
            </w:tcBorders>
            <w:shd w:val="clear" w:color="000000" w:fill="95B3D7"/>
            <w:noWrap/>
            <w:vAlign w:val="bottom"/>
            <w:hideMark/>
          </w:tcPr>
          <w:p w14:paraId="0C539928"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 no IKP</w:t>
            </w:r>
          </w:p>
        </w:tc>
        <w:tc>
          <w:tcPr>
            <w:tcW w:w="936" w:type="dxa"/>
            <w:tcBorders>
              <w:top w:val="nil"/>
              <w:left w:val="nil"/>
              <w:bottom w:val="nil"/>
              <w:right w:val="nil"/>
            </w:tcBorders>
            <w:shd w:val="clear" w:color="000000" w:fill="95B3D7"/>
            <w:noWrap/>
            <w:vAlign w:val="bottom"/>
            <w:hideMark/>
          </w:tcPr>
          <w:p w14:paraId="7E273E50" w14:textId="77777777" w:rsidR="00992F16" w:rsidRPr="00992F16" w:rsidRDefault="00992F16" w:rsidP="006357B3">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 no IKP</w:t>
            </w:r>
          </w:p>
        </w:tc>
      </w:tr>
      <w:tr w:rsidR="00992F16" w:rsidRPr="00992F16" w14:paraId="24999029" w14:textId="77777777" w:rsidTr="0055392E">
        <w:trPr>
          <w:trHeight w:val="975"/>
          <w:jc w:val="center"/>
        </w:trPr>
        <w:tc>
          <w:tcPr>
            <w:tcW w:w="476" w:type="dxa"/>
            <w:tcBorders>
              <w:top w:val="nil"/>
              <w:left w:val="nil"/>
              <w:bottom w:val="nil"/>
              <w:right w:val="nil"/>
            </w:tcBorders>
            <w:shd w:val="clear" w:color="000000" w:fill="95B3D7"/>
            <w:noWrap/>
            <w:vAlign w:val="center"/>
            <w:hideMark/>
          </w:tcPr>
          <w:p w14:paraId="6EADCC4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w:t>
            </w:r>
          </w:p>
        </w:tc>
        <w:tc>
          <w:tcPr>
            <w:tcW w:w="5576" w:type="dxa"/>
            <w:tcBorders>
              <w:top w:val="nil"/>
              <w:left w:val="nil"/>
              <w:bottom w:val="nil"/>
              <w:right w:val="nil"/>
            </w:tcBorders>
            <w:shd w:val="clear" w:color="auto" w:fill="auto"/>
            <w:vAlign w:val="center"/>
            <w:hideMark/>
          </w:tcPr>
          <w:p w14:paraId="1C8296DD" w14:textId="77777777" w:rsidR="00992F16" w:rsidRPr="00992F16" w:rsidRDefault="00992F16" w:rsidP="0055392E">
            <w:pPr>
              <w:spacing w:after="0" w:line="240" w:lineRule="auto"/>
              <w:ind w:firstLine="0"/>
              <w:jc w:val="left"/>
              <w:rPr>
                <w:rFonts w:eastAsia="Times New Roman" w:cs="Times New Roman"/>
                <w:sz w:val="18"/>
                <w:szCs w:val="18"/>
                <w:lang w:eastAsia="lv-LV"/>
              </w:rPr>
            </w:pPr>
            <w:r w:rsidRPr="00992F16">
              <w:rPr>
                <w:rFonts w:eastAsia="Times New Roman" w:cs="Times New Roman"/>
                <w:sz w:val="18"/>
                <w:szCs w:val="18"/>
                <w:lang w:eastAsia="lv-LV"/>
              </w:rPr>
              <w:t>Ieņēmumi no liela apjoma pārdotajām CO</w:t>
            </w:r>
            <w:r w:rsidRPr="00702199">
              <w:rPr>
                <w:rFonts w:eastAsia="Times New Roman" w:cs="Times New Roman"/>
                <w:sz w:val="18"/>
                <w:szCs w:val="18"/>
                <w:vertAlign w:val="subscript"/>
                <w:lang w:eastAsia="lv-LV"/>
              </w:rPr>
              <w:t>2</w:t>
            </w:r>
            <w:r w:rsidRPr="00992F16">
              <w:rPr>
                <w:rFonts w:eastAsia="Times New Roman" w:cs="Times New Roman"/>
                <w:sz w:val="18"/>
                <w:szCs w:val="18"/>
                <w:lang w:eastAsia="lv-LV"/>
              </w:rPr>
              <w:t xml:space="preserve"> emisijām 2018. gadā (2018. gadā Latvija pārdeva emisijas tiesības, kas tika piešķirtas ar atpakaļejošu spēku pēc Tiesas lēmuma. Turklāt tirgus cena 2018. gadā bija vairāk nekā 3 reizes augstāka nekā iepriekš).</w:t>
            </w:r>
          </w:p>
        </w:tc>
        <w:tc>
          <w:tcPr>
            <w:tcW w:w="1036" w:type="dxa"/>
            <w:tcBorders>
              <w:top w:val="nil"/>
              <w:left w:val="nil"/>
              <w:bottom w:val="nil"/>
              <w:right w:val="nil"/>
            </w:tcBorders>
            <w:shd w:val="clear" w:color="auto" w:fill="auto"/>
            <w:noWrap/>
            <w:vAlign w:val="center"/>
            <w:hideMark/>
          </w:tcPr>
          <w:p w14:paraId="58E25275"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7D8238DA"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07CC080C"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D.7</w:t>
            </w:r>
          </w:p>
        </w:tc>
        <w:tc>
          <w:tcPr>
            <w:tcW w:w="936" w:type="dxa"/>
            <w:tcBorders>
              <w:top w:val="nil"/>
              <w:left w:val="nil"/>
              <w:bottom w:val="nil"/>
              <w:right w:val="nil"/>
            </w:tcBorders>
            <w:shd w:val="clear" w:color="auto" w:fill="auto"/>
            <w:noWrap/>
            <w:vAlign w:val="center"/>
            <w:hideMark/>
          </w:tcPr>
          <w:p w14:paraId="395D69C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-0,02</w:t>
            </w:r>
          </w:p>
        </w:tc>
        <w:tc>
          <w:tcPr>
            <w:tcW w:w="936" w:type="dxa"/>
            <w:tcBorders>
              <w:top w:val="nil"/>
              <w:left w:val="nil"/>
              <w:bottom w:val="nil"/>
              <w:right w:val="nil"/>
            </w:tcBorders>
            <w:shd w:val="clear" w:color="auto" w:fill="auto"/>
            <w:noWrap/>
            <w:vAlign w:val="center"/>
            <w:hideMark/>
          </w:tcPr>
          <w:p w14:paraId="4FB00B0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FA4D30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141980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C730E0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4ED09B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19E5B10F" w14:textId="77777777" w:rsidTr="0055392E">
        <w:trPr>
          <w:trHeight w:val="600"/>
          <w:jc w:val="center"/>
        </w:trPr>
        <w:tc>
          <w:tcPr>
            <w:tcW w:w="476" w:type="dxa"/>
            <w:tcBorders>
              <w:top w:val="nil"/>
              <w:left w:val="nil"/>
              <w:bottom w:val="nil"/>
              <w:right w:val="nil"/>
            </w:tcBorders>
            <w:shd w:val="clear" w:color="000000" w:fill="95B3D7"/>
            <w:noWrap/>
            <w:vAlign w:val="center"/>
            <w:hideMark/>
          </w:tcPr>
          <w:p w14:paraId="323C4BF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w:t>
            </w:r>
          </w:p>
        </w:tc>
        <w:tc>
          <w:tcPr>
            <w:tcW w:w="5576" w:type="dxa"/>
            <w:tcBorders>
              <w:top w:val="nil"/>
              <w:left w:val="nil"/>
              <w:bottom w:val="nil"/>
              <w:right w:val="nil"/>
            </w:tcBorders>
            <w:shd w:val="clear" w:color="auto" w:fill="auto"/>
            <w:vAlign w:val="center"/>
            <w:hideMark/>
          </w:tcPr>
          <w:p w14:paraId="4E3AF8C1"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Akcīzes nodokļa likmju paaugstināšana visiem tabakas izstrādājumiem un e-cigaretēs izmantotajiem šķidrumiem</w:t>
            </w:r>
          </w:p>
        </w:tc>
        <w:tc>
          <w:tcPr>
            <w:tcW w:w="1036" w:type="dxa"/>
            <w:tcBorders>
              <w:top w:val="nil"/>
              <w:left w:val="nil"/>
              <w:bottom w:val="nil"/>
              <w:right w:val="nil"/>
            </w:tcBorders>
            <w:shd w:val="clear" w:color="auto" w:fill="auto"/>
            <w:noWrap/>
            <w:vAlign w:val="center"/>
            <w:hideMark/>
          </w:tcPr>
          <w:p w14:paraId="4765DC8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29CA0DC5"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77F198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D.21</w:t>
            </w:r>
          </w:p>
        </w:tc>
        <w:tc>
          <w:tcPr>
            <w:tcW w:w="936" w:type="dxa"/>
            <w:tcBorders>
              <w:top w:val="nil"/>
              <w:left w:val="nil"/>
              <w:bottom w:val="nil"/>
              <w:right w:val="nil"/>
            </w:tcBorders>
            <w:shd w:val="clear" w:color="auto" w:fill="auto"/>
            <w:noWrap/>
            <w:vAlign w:val="center"/>
            <w:hideMark/>
          </w:tcPr>
          <w:p w14:paraId="72033D8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015BB2E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5EAA8A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655B22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09FE45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107F8E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1A4E3379" w14:textId="77777777" w:rsidTr="0055392E">
        <w:trPr>
          <w:trHeight w:val="975"/>
          <w:jc w:val="center"/>
        </w:trPr>
        <w:tc>
          <w:tcPr>
            <w:tcW w:w="476" w:type="dxa"/>
            <w:tcBorders>
              <w:top w:val="nil"/>
              <w:left w:val="nil"/>
              <w:bottom w:val="nil"/>
              <w:right w:val="nil"/>
            </w:tcBorders>
            <w:shd w:val="clear" w:color="000000" w:fill="95B3D7"/>
            <w:noWrap/>
            <w:vAlign w:val="center"/>
            <w:hideMark/>
          </w:tcPr>
          <w:p w14:paraId="1BC643D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3</w:t>
            </w:r>
          </w:p>
        </w:tc>
        <w:tc>
          <w:tcPr>
            <w:tcW w:w="5576" w:type="dxa"/>
            <w:tcBorders>
              <w:top w:val="nil"/>
              <w:left w:val="nil"/>
              <w:bottom w:val="nil"/>
              <w:right w:val="nil"/>
            </w:tcBorders>
            <w:shd w:val="clear" w:color="auto" w:fill="auto"/>
            <w:vAlign w:val="center"/>
            <w:hideMark/>
          </w:tcPr>
          <w:p w14:paraId="2024B20C"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Dabas resursu nodokļa likmju palielināšana par atkritumu izvešanu, gaisa piesārņojumu un C kategorijas piesārņojošām darbībām un CO</w:t>
            </w:r>
            <w:r w:rsidRPr="00091136">
              <w:rPr>
                <w:rFonts w:eastAsia="Times New Roman" w:cs="Times New Roman"/>
                <w:color w:val="000000"/>
                <w:sz w:val="18"/>
                <w:szCs w:val="18"/>
                <w:vertAlign w:val="subscript"/>
                <w:lang w:eastAsia="lv-LV"/>
              </w:rPr>
              <w:t>2</w:t>
            </w:r>
            <w:r w:rsidRPr="00992F16">
              <w:rPr>
                <w:rFonts w:eastAsia="Times New Roman" w:cs="Times New Roman"/>
                <w:color w:val="000000"/>
                <w:sz w:val="18"/>
                <w:szCs w:val="18"/>
                <w:lang w:eastAsia="lv-LV"/>
              </w:rPr>
              <w:t xml:space="preserve"> emisiju atbrīvojuma atcelšana par kūdras izmantošanu stacionārajās tehnoloģiskajās iekārtās</w:t>
            </w:r>
          </w:p>
        </w:tc>
        <w:tc>
          <w:tcPr>
            <w:tcW w:w="1036" w:type="dxa"/>
            <w:tcBorders>
              <w:top w:val="nil"/>
              <w:left w:val="nil"/>
              <w:bottom w:val="nil"/>
              <w:right w:val="nil"/>
            </w:tcBorders>
            <w:shd w:val="clear" w:color="auto" w:fill="auto"/>
            <w:noWrap/>
            <w:vAlign w:val="center"/>
            <w:hideMark/>
          </w:tcPr>
          <w:p w14:paraId="3ACF3945"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3AD4EDC6"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15B29960"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D.29</w:t>
            </w:r>
          </w:p>
        </w:tc>
        <w:tc>
          <w:tcPr>
            <w:tcW w:w="936" w:type="dxa"/>
            <w:tcBorders>
              <w:top w:val="nil"/>
              <w:left w:val="nil"/>
              <w:bottom w:val="nil"/>
              <w:right w:val="nil"/>
            </w:tcBorders>
            <w:shd w:val="clear" w:color="auto" w:fill="auto"/>
            <w:noWrap/>
            <w:vAlign w:val="center"/>
            <w:hideMark/>
          </w:tcPr>
          <w:p w14:paraId="7FB2C68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0877DE6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99CAEE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AEF7DD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0BB360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913DE9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1E7B753A"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451977C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4</w:t>
            </w:r>
          </w:p>
        </w:tc>
        <w:tc>
          <w:tcPr>
            <w:tcW w:w="5576" w:type="dxa"/>
            <w:tcBorders>
              <w:top w:val="nil"/>
              <w:left w:val="nil"/>
              <w:bottom w:val="nil"/>
              <w:right w:val="nil"/>
            </w:tcBorders>
            <w:shd w:val="clear" w:color="auto" w:fill="auto"/>
            <w:vAlign w:val="center"/>
            <w:hideMark/>
          </w:tcPr>
          <w:p w14:paraId="7D1510CA" w14:textId="48390811" w:rsidR="00992F16" w:rsidRPr="00992F16" w:rsidRDefault="0012487F" w:rsidP="0055392E">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Ieņēmumu palielināšana no dividenžu maksājumiem, AS “Latvijas valsts meži”</w:t>
            </w:r>
            <w:r>
              <w:rPr>
                <w:rFonts w:eastAsia="Times New Roman" w:cs="Times New Roman"/>
                <w:color w:val="000000"/>
                <w:sz w:val="18"/>
                <w:szCs w:val="18"/>
                <w:lang w:eastAsia="lv-LV"/>
              </w:rPr>
              <w:t xml:space="preserve"> un </w:t>
            </w:r>
            <w:r w:rsidR="00992F16" w:rsidRPr="00992F16">
              <w:rPr>
                <w:rFonts w:eastAsia="Times New Roman" w:cs="Times New Roman"/>
                <w:color w:val="000000"/>
                <w:sz w:val="18"/>
                <w:szCs w:val="18"/>
                <w:lang w:eastAsia="lv-LV"/>
              </w:rPr>
              <w:t>elektroenerģijas uzņēmumiem</w:t>
            </w:r>
          </w:p>
        </w:tc>
        <w:tc>
          <w:tcPr>
            <w:tcW w:w="1036" w:type="dxa"/>
            <w:tcBorders>
              <w:top w:val="nil"/>
              <w:left w:val="nil"/>
              <w:bottom w:val="nil"/>
              <w:right w:val="nil"/>
            </w:tcBorders>
            <w:shd w:val="clear" w:color="auto" w:fill="auto"/>
            <w:noWrap/>
            <w:vAlign w:val="center"/>
            <w:hideMark/>
          </w:tcPr>
          <w:p w14:paraId="2C320D1F"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172E1BE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5EF23FB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D.4</w:t>
            </w:r>
          </w:p>
        </w:tc>
        <w:tc>
          <w:tcPr>
            <w:tcW w:w="936" w:type="dxa"/>
            <w:tcBorders>
              <w:top w:val="nil"/>
              <w:left w:val="nil"/>
              <w:bottom w:val="nil"/>
              <w:right w:val="nil"/>
            </w:tcBorders>
            <w:shd w:val="clear" w:color="auto" w:fill="auto"/>
            <w:noWrap/>
            <w:vAlign w:val="center"/>
            <w:hideMark/>
          </w:tcPr>
          <w:p w14:paraId="0E844467"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-0,03</w:t>
            </w:r>
          </w:p>
        </w:tc>
        <w:tc>
          <w:tcPr>
            <w:tcW w:w="936" w:type="dxa"/>
            <w:tcBorders>
              <w:top w:val="nil"/>
              <w:left w:val="nil"/>
              <w:bottom w:val="nil"/>
              <w:right w:val="nil"/>
            </w:tcBorders>
            <w:shd w:val="clear" w:color="auto" w:fill="auto"/>
            <w:noWrap/>
            <w:vAlign w:val="center"/>
            <w:hideMark/>
          </w:tcPr>
          <w:p w14:paraId="0340D7D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-0,15</w:t>
            </w:r>
          </w:p>
        </w:tc>
        <w:tc>
          <w:tcPr>
            <w:tcW w:w="936" w:type="dxa"/>
            <w:tcBorders>
              <w:top w:val="nil"/>
              <w:left w:val="nil"/>
              <w:bottom w:val="nil"/>
              <w:right w:val="nil"/>
            </w:tcBorders>
            <w:shd w:val="clear" w:color="auto" w:fill="auto"/>
            <w:noWrap/>
            <w:vAlign w:val="center"/>
            <w:hideMark/>
          </w:tcPr>
          <w:p w14:paraId="69A63F2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9D2B84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13F37FB7"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F774AB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1DAAAD61" w14:textId="77777777" w:rsidTr="0055392E">
        <w:trPr>
          <w:trHeight w:val="735"/>
          <w:jc w:val="center"/>
        </w:trPr>
        <w:tc>
          <w:tcPr>
            <w:tcW w:w="476" w:type="dxa"/>
            <w:tcBorders>
              <w:top w:val="nil"/>
              <w:left w:val="nil"/>
              <w:bottom w:val="nil"/>
              <w:right w:val="nil"/>
            </w:tcBorders>
            <w:shd w:val="clear" w:color="000000" w:fill="95B3D7"/>
            <w:noWrap/>
            <w:vAlign w:val="center"/>
            <w:hideMark/>
          </w:tcPr>
          <w:p w14:paraId="014D050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5</w:t>
            </w:r>
          </w:p>
        </w:tc>
        <w:tc>
          <w:tcPr>
            <w:tcW w:w="5576" w:type="dxa"/>
            <w:tcBorders>
              <w:top w:val="nil"/>
              <w:left w:val="nil"/>
              <w:bottom w:val="nil"/>
              <w:right w:val="nil"/>
            </w:tcBorders>
            <w:shd w:val="clear" w:color="auto" w:fill="auto"/>
            <w:vAlign w:val="center"/>
            <w:hideMark/>
          </w:tcPr>
          <w:p w14:paraId="02C64738" w14:textId="488710C9"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 xml:space="preserve">Nodokļa atvieglojumu intensitātes palielināšana ziedotājiem līdz 85% no ziedotās summas, bet nepārsniedzot 30% no aprēķinātās </w:t>
            </w:r>
            <w:r w:rsidR="00EB0FCC">
              <w:rPr>
                <w:rFonts w:eastAsia="Times New Roman" w:cs="Times New Roman"/>
                <w:color w:val="000000"/>
                <w:sz w:val="18"/>
                <w:szCs w:val="18"/>
                <w:lang w:eastAsia="lv-LV"/>
              </w:rPr>
              <w:t>UIN</w:t>
            </w:r>
            <w:r w:rsidRPr="00992F16">
              <w:rPr>
                <w:rFonts w:eastAsia="Times New Roman" w:cs="Times New Roman"/>
                <w:color w:val="000000"/>
                <w:sz w:val="18"/>
                <w:szCs w:val="18"/>
                <w:lang w:eastAsia="lv-LV"/>
              </w:rPr>
              <w:t xml:space="preserve"> summas par aprēķinātajām dividendēm.</w:t>
            </w:r>
          </w:p>
        </w:tc>
        <w:tc>
          <w:tcPr>
            <w:tcW w:w="1036" w:type="dxa"/>
            <w:tcBorders>
              <w:top w:val="nil"/>
              <w:left w:val="nil"/>
              <w:bottom w:val="nil"/>
              <w:right w:val="nil"/>
            </w:tcBorders>
            <w:shd w:val="clear" w:color="auto" w:fill="auto"/>
            <w:noWrap/>
            <w:vAlign w:val="center"/>
            <w:hideMark/>
          </w:tcPr>
          <w:p w14:paraId="0BA6DDE1"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1B9AB800"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19918621"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7ED36E3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1037FFB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F5A9B5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2068D2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063147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4153BF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240CA680" w14:textId="77777777" w:rsidTr="0055392E">
        <w:trPr>
          <w:trHeight w:val="735"/>
          <w:jc w:val="center"/>
        </w:trPr>
        <w:tc>
          <w:tcPr>
            <w:tcW w:w="476" w:type="dxa"/>
            <w:tcBorders>
              <w:top w:val="nil"/>
              <w:left w:val="nil"/>
              <w:bottom w:val="nil"/>
              <w:right w:val="nil"/>
            </w:tcBorders>
            <w:shd w:val="clear" w:color="000000" w:fill="95B3D7"/>
            <w:noWrap/>
            <w:vAlign w:val="center"/>
            <w:hideMark/>
          </w:tcPr>
          <w:p w14:paraId="37CA279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6</w:t>
            </w:r>
          </w:p>
        </w:tc>
        <w:tc>
          <w:tcPr>
            <w:tcW w:w="5576" w:type="dxa"/>
            <w:tcBorders>
              <w:top w:val="nil"/>
              <w:left w:val="nil"/>
              <w:bottom w:val="nil"/>
              <w:right w:val="nil"/>
            </w:tcBorders>
            <w:shd w:val="clear" w:color="auto" w:fill="auto"/>
            <w:vAlign w:val="center"/>
            <w:hideMark/>
          </w:tcPr>
          <w:p w14:paraId="615EE03E"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Neapliekamā ienākuma atvieglojuma palielinājums darbiniekiem un pensionāriem līdz 350 EUR/</w:t>
            </w:r>
            <w:proofErr w:type="spellStart"/>
            <w:r w:rsidRPr="00992F16">
              <w:rPr>
                <w:rFonts w:eastAsia="Times New Roman" w:cs="Times New Roman"/>
                <w:color w:val="000000"/>
                <w:sz w:val="18"/>
                <w:szCs w:val="18"/>
                <w:lang w:eastAsia="lv-LV"/>
              </w:rPr>
              <w:t>mēn</w:t>
            </w:r>
            <w:proofErr w:type="spellEnd"/>
            <w:r w:rsidRPr="00992F16">
              <w:rPr>
                <w:rFonts w:eastAsia="Times New Roman" w:cs="Times New Roman"/>
                <w:color w:val="000000"/>
                <w:sz w:val="18"/>
                <w:szCs w:val="18"/>
                <w:lang w:eastAsia="lv-LV"/>
              </w:rPr>
              <w:t xml:space="preserve"> no 01.01.2022 un līdz 500 EUR/</w:t>
            </w:r>
            <w:proofErr w:type="spellStart"/>
            <w:r w:rsidRPr="00992F16">
              <w:rPr>
                <w:rFonts w:eastAsia="Times New Roman" w:cs="Times New Roman"/>
                <w:color w:val="000000"/>
                <w:sz w:val="18"/>
                <w:szCs w:val="18"/>
                <w:lang w:eastAsia="lv-LV"/>
              </w:rPr>
              <w:t>mēn</w:t>
            </w:r>
            <w:proofErr w:type="spellEnd"/>
            <w:r w:rsidRPr="00992F16">
              <w:rPr>
                <w:rFonts w:eastAsia="Times New Roman" w:cs="Times New Roman"/>
                <w:color w:val="000000"/>
                <w:sz w:val="18"/>
                <w:szCs w:val="18"/>
                <w:lang w:eastAsia="lv-LV"/>
              </w:rPr>
              <w:t xml:space="preserve"> no 01.07.2022.</w:t>
            </w:r>
          </w:p>
        </w:tc>
        <w:tc>
          <w:tcPr>
            <w:tcW w:w="1036" w:type="dxa"/>
            <w:tcBorders>
              <w:top w:val="nil"/>
              <w:left w:val="nil"/>
              <w:bottom w:val="nil"/>
              <w:right w:val="nil"/>
            </w:tcBorders>
            <w:shd w:val="clear" w:color="auto" w:fill="auto"/>
            <w:noWrap/>
            <w:vAlign w:val="center"/>
            <w:hideMark/>
          </w:tcPr>
          <w:p w14:paraId="0FCD906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5C2A80A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6595BB4A"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3C3EEA1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-0,17</w:t>
            </w:r>
          </w:p>
        </w:tc>
        <w:tc>
          <w:tcPr>
            <w:tcW w:w="936" w:type="dxa"/>
            <w:tcBorders>
              <w:top w:val="nil"/>
              <w:left w:val="nil"/>
              <w:bottom w:val="nil"/>
              <w:right w:val="nil"/>
            </w:tcBorders>
            <w:shd w:val="clear" w:color="auto" w:fill="auto"/>
            <w:noWrap/>
            <w:vAlign w:val="center"/>
            <w:hideMark/>
          </w:tcPr>
          <w:p w14:paraId="54A63C0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859DF0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ACE5E3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A007CA7"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FBB007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6B4EDF1C"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145C3FD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7</w:t>
            </w:r>
          </w:p>
        </w:tc>
        <w:tc>
          <w:tcPr>
            <w:tcW w:w="5576" w:type="dxa"/>
            <w:tcBorders>
              <w:top w:val="nil"/>
              <w:left w:val="nil"/>
              <w:bottom w:val="nil"/>
              <w:right w:val="nil"/>
            </w:tcBorders>
            <w:shd w:val="clear" w:color="auto" w:fill="auto"/>
            <w:vAlign w:val="center"/>
            <w:hideMark/>
          </w:tcPr>
          <w:p w14:paraId="320AC014" w14:textId="1339EA12" w:rsidR="00992F16" w:rsidRPr="00992F16" w:rsidRDefault="0012487F" w:rsidP="0055392E">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Ieņēmumu palielināšana no dividenžu maksājumiem, AS “Latvijas valsts meži”</w:t>
            </w:r>
            <w:r w:rsidR="004E21A0">
              <w:rPr>
                <w:rFonts w:eastAsia="Times New Roman" w:cs="Times New Roman"/>
                <w:color w:val="000000"/>
                <w:sz w:val="18"/>
                <w:szCs w:val="18"/>
                <w:lang w:eastAsia="lv-LV"/>
              </w:rPr>
              <w:t xml:space="preserve"> </w:t>
            </w:r>
            <w:r w:rsidR="00992F16" w:rsidRPr="00992F16">
              <w:rPr>
                <w:rFonts w:eastAsia="Times New Roman" w:cs="Times New Roman"/>
                <w:color w:val="000000"/>
                <w:sz w:val="18"/>
                <w:szCs w:val="18"/>
                <w:lang w:eastAsia="lv-LV"/>
              </w:rPr>
              <w:t>2021</w:t>
            </w:r>
          </w:p>
        </w:tc>
        <w:tc>
          <w:tcPr>
            <w:tcW w:w="1036" w:type="dxa"/>
            <w:tcBorders>
              <w:top w:val="nil"/>
              <w:left w:val="nil"/>
              <w:bottom w:val="nil"/>
              <w:right w:val="nil"/>
            </w:tcBorders>
            <w:shd w:val="clear" w:color="auto" w:fill="auto"/>
            <w:noWrap/>
            <w:vAlign w:val="center"/>
            <w:hideMark/>
          </w:tcPr>
          <w:p w14:paraId="61777AFB"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3FB5E678"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0576A0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D.4</w:t>
            </w:r>
          </w:p>
        </w:tc>
        <w:tc>
          <w:tcPr>
            <w:tcW w:w="936" w:type="dxa"/>
            <w:tcBorders>
              <w:top w:val="nil"/>
              <w:left w:val="nil"/>
              <w:bottom w:val="nil"/>
              <w:right w:val="nil"/>
            </w:tcBorders>
            <w:shd w:val="clear" w:color="auto" w:fill="auto"/>
            <w:noWrap/>
            <w:vAlign w:val="center"/>
            <w:hideMark/>
          </w:tcPr>
          <w:p w14:paraId="748B5F9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-0,06</w:t>
            </w:r>
          </w:p>
        </w:tc>
        <w:tc>
          <w:tcPr>
            <w:tcW w:w="936" w:type="dxa"/>
            <w:tcBorders>
              <w:top w:val="nil"/>
              <w:left w:val="nil"/>
              <w:bottom w:val="nil"/>
              <w:right w:val="nil"/>
            </w:tcBorders>
            <w:shd w:val="clear" w:color="auto" w:fill="auto"/>
            <w:noWrap/>
            <w:vAlign w:val="center"/>
            <w:hideMark/>
          </w:tcPr>
          <w:p w14:paraId="21DFF86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84976B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55B0DA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127F06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43F4BE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7F7D0B59"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4BD2365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8</w:t>
            </w:r>
          </w:p>
        </w:tc>
        <w:tc>
          <w:tcPr>
            <w:tcW w:w="5576" w:type="dxa"/>
            <w:tcBorders>
              <w:top w:val="nil"/>
              <w:left w:val="nil"/>
              <w:bottom w:val="nil"/>
              <w:right w:val="nil"/>
            </w:tcBorders>
            <w:shd w:val="clear" w:color="auto" w:fill="auto"/>
            <w:vAlign w:val="center"/>
            <w:hideMark/>
          </w:tcPr>
          <w:p w14:paraId="5A7BD3DD" w14:textId="027C0637" w:rsidR="00992F16" w:rsidRPr="00992F16" w:rsidRDefault="0012487F" w:rsidP="0055392E">
            <w:pPr>
              <w:spacing w:after="0" w:line="240" w:lineRule="auto"/>
              <w:ind w:firstLine="0"/>
              <w:jc w:val="left"/>
              <w:rPr>
                <w:rFonts w:eastAsia="Times New Roman" w:cs="Times New Roman"/>
                <w:sz w:val="18"/>
                <w:szCs w:val="18"/>
                <w:lang w:eastAsia="lv-LV"/>
              </w:rPr>
            </w:pPr>
            <w:r w:rsidRPr="002F1103">
              <w:rPr>
                <w:rFonts w:eastAsia="Times New Roman" w:cs="Times New Roman"/>
                <w:color w:val="000000"/>
                <w:sz w:val="18"/>
                <w:szCs w:val="18"/>
                <w:lang w:eastAsia="lv-LV"/>
              </w:rPr>
              <w:t>Ieņēmumu palielināšana no dividenžu maksājumiem, AS “Latvijas valsts meži”</w:t>
            </w:r>
            <w:r w:rsidR="004E21A0">
              <w:rPr>
                <w:rFonts w:eastAsia="Times New Roman" w:cs="Times New Roman"/>
                <w:color w:val="000000"/>
                <w:sz w:val="18"/>
                <w:szCs w:val="18"/>
                <w:lang w:eastAsia="lv-LV"/>
              </w:rPr>
              <w:t xml:space="preserve"> </w:t>
            </w:r>
            <w:r w:rsidR="00992F16" w:rsidRPr="00992F16">
              <w:rPr>
                <w:rFonts w:eastAsia="Times New Roman" w:cs="Times New Roman"/>
                <w:sz w:val="18"/>
                <w:szCs w:val="18"/>
                <w:lang w:eastAsia="lv-LV"/>
              </w:rPr>
              <w:t>2021</w:t>
            </w:r>
          </w:p>
        </w:tc>
        <w:tc>
          <w:tcPr>
            <w:tcW w:w="1036" w:type="dxa"/>
            <w:tcBorders>
              <w:top w:val="nil"/>
              <w:left w:val="nil"/>
              <w:bottom w:val="nil"/>
              <w:right w:val="nil"/>
            </w:tcBorders>
            <w:shd w:val="clear" w:color="auto" w:fill="auto"/>
            <w:noWrap/>
            <w:vAlign w:val="center"/>
            <w:hideMark/>
          </w:tcPr>
          <w:p w14:paraId="5B7BB5D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33FB591D"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C9671DF"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429B44A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59A600A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072F64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55F012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8BCC6B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D20D44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34DEAC4F" w14:textId="77777777" w:rsidTr="0055392E">
        <w:trPr>
          <w:trHeight w:val="495"/>
          <w:jc w:val="center"/>
        </w:trPr>
        <w:tc>
          <w:tcPr>
            <w:tcW w:w="476" w:type="dxa"/>
            <w:tcBorders>
              <w:top w:val="nil"/>
              <w:left w:val="nil"/>
              <w:bottom w:val="nil"/>
              <w:right w:val="nil"/>
            </w:tcBorders>
            <w:shd w:val="clear" w:color="000000" w:fill="95B3D7"/>
            <w:noWrap/>
            <w:vAlign w:val="center"/>
            <w:hideMark/>
          </w:tcPr>
          <w:p w14:paraId="7B2947D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9</w:t>
            </w:r>
          </w:p>
        </w:tc>
        <w:tc>
          <w:tcPr>
            <w:tcW w:w="5576" w:type="dxa"/>
            <w:tcBorders>
              <w:top w:val="nil"/>
              <w:left w:val="nil"/>
              <w:bottom w:val="nil"/>
              <w:right w:val="nil"/>
            </w:tcBorders>
            <w:shd w:val="clear" w:color="auto" w:fill="auto"/>
            <w:vAlign w:val="center"/>
            <w:hideMark/>
          </w:tcPr>
          <w:p w14:paraId="79B5321B"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Procentu maksājumu izslēgšana no UIN apliekamās bāzes 2021. un 2022. gadā</w:t>
            </w:r>
          </w:p>
        </w:tc>
        <w:tc>
          <w:tcPr>
            <w:tcW w:w="1036" w:type="dxa"/>
            <w:tcBorders>
              <w:top w:val="nil"/>
              <w:left w:val="nil"/>
              <w:bottom w:val="nil"/>
              <w:right w:val="nil"/>
            </w:tcBorders>
            <w:shd w:val="clear" w:color="auto" w:fill="auto"/>
            <w:noWrap/>
            <w:vAlign w:val="center"/>
            <w:hideMark/>
          </w:tcPr>
          <w:p w14:paraId="37502886"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192F7A1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D6C97C8"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5A07A70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2A07DE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120BF5F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FE8E5B7"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4C19284"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11EC7A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1B51D3D1" w14:textId="77777777" w:rsidTr="0055392E">
        <w:trPr>
          <w:trHeight w:val="495"/>
          <w:jc w:val="center"/>
        </w:trPr>
        <w:tc>
          <w:tcPr>
            <w:tcW w:w="476" w:type="dxa"/>
            <w:tcBorders>
              <w:top w:val="nil"/>
              <w:left w:val="nil"/>
              <w:bottom w:val="nil"/>
              <w:right w:val="nil"/>
            </w:tcBorders>
            <w:shd w:val="clear" w:color="000000" w:fill="95B3D7"/>
            <w:noWrap/>
            <w:vAlign w:val="center"/>
            <w:hideMark/>
          </w:tcPr>
          <w:p w14:paraId="5D852D9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10</w:t>
            </w:r>
          </w:p>
        </w:tc>
        <w:tc>
          <w:tcPr>
            <w:tcW w:w="5576" w:type="dxa"/>
            <w:tcBorders>
              <w:top w:val="nil"/>
              <w:left w:val="nil"/>
              <w:bottom w:val="nil"/>
              <w:right w:val="nil"/>
            </w:tcBorders>
            <w:shd w:val="clear" w:color="auto" w:fill="auto"/>
            <w:vAlign w:val="center"/>
            <w:hideMark/>
          </w:tcPr>
          <w:p w14:paraId="5932B9FE"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“Zaļās” elektroenerģijas komponentes (OIK) darbības apturēšana galalietotājiem no 2022. gada 1. septembra līdz 2025. gada 31. decembrim</w:t>
            </w:r>
          </w:p>
        </w:tc>
        <w:tc>
          <w:tcPr>
            <w:tcW w:w="1036" w:type="dxa"/>
            <w:tcBorders>
              <w:top w:val="nil"/>
              <w:left w:val="nil"/>
              <w:bottom w:val="nil"/>
              <w:right w:val="nil"/>
            </w:tcBorders>
            <w:shd w:val="clear" w:color="auto" w:fill="auto"/>
            <w:noWrap/>
            <w:vAlign w:val="center"/>
            <w:hideMark/>
          </w:tcPr>
          <w:p w14:paraId="0A1631B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107D4D2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3204F88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D.7</w:t>
            </w:r>
          </w:p>
        </w:tc>
        <w:tc>
          <w:tcPr>
            <w:tcW w:w="936" w:type="dxa"/>
            <w:tcBorders>
              <w:top w:val="nil"/>
              <w:left w:val="nil"/>
              <w:bottom w:val="nil"/>
              <w:right w:val="nil"/>
            </w:tcBorders>
            <w:shd w:val="clear" w:color="auto" w:fill="auto"/>
            <w:noWrap/>
            <w:vAlign w:val="center"/>
            <w:hideMark/>
          </w:tcPr>
          <w:p w14:paraId="03BF317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58D903E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1876DFA7"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36EC86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C0A32B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E486B8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0989D92B" w14:textId="77777777" w:rsidTr="0055392E">
        <w:trPr>
          <w:trHeight w:val="495"/>
          <w:jc w:val="center"/>
        </w:trPr>
        <w:tc>
          <w:tcPr>
            <w:tcW w:w="476" w:type="dxa"/>
            <w:tcBorders>
              <w:top w:val="nil"/>
              <w:left w:val="nil"/>
              <w:bottom w:val="nil"/>
              <w:right w:val="nil"/>
            </w:tcBorders>
            <w:shd w:val="clear" w:color="000000" w:fill="95B3D7"/>
            <w:noWrap/>
            <w:vAlign w:val="center"/>
            <w:hideMark/>
          </w:tcPr>
          <w:p w14:paraId="2D37AE2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11</w:t>
            </w:r>
          </w:p>
        </w:tc>
        <w:tc>
          <w:tcPr>
            <w:tcW w:w="5576" w:type="dxa"/>
            <w:tcBorders>
              <w:top w:val="nil"/>
              <w:left w:val="nil"/>
              <w:bottom w:val="nil"/>
              <w:right w:val="nil"/>
            </w:tcBorders>
            <w:shd w:val="clear" w:color="auto" w:fill="auto"/>
            <w:vAlign w:val="center"/>
            <w:hideMark/>
          </w:tcPr>
          <w:p w14:paraId="4C1FDA1D" w14:textId="39D0C302" w:rsidR="00992F16" w:rsidRPr="00992F16" w:rsidRDefault="00992F16" w:rsidP="0055392E">
            <w:pPr>
              <w:spacing w:after="0" w:line="240" w:lineRule="auto"/>
              <w:ind w:firstLine="0"/>
              <w:jc w:val="left"/>
              <w:rPr>
                <w:rFonts w:eastAsia="Times New Roman" w:cs="Times New Roman"/>
                <w:color w:val="000000"/>
                <w:sz w:val="18"/>
                <w:szCs w:val="18"/>
                <w:lang w:eastAsia="lv-LV"/>
              </w:rPr>
            </w:pPr>
            <w:proofErr w:type="spellStart"/>
            <w:r w:rsidRPr="00992F16">
              <w:rPr>
                <w:rFonts w:eastAsia="Times New Roman" w:cs="Times New Roman"/>
                <w:color w:val="000000"/>
                <w:sz w:val="18"/>
                <w:szCs w:val="18"/>
                <w:lang w:eastAsia="lv-LV"/>
              </w:rPr>
              <w:t>Pašnodarbināto</w:t>
            </w:r>
            <w:proofErr w:type="spellEnd"/>
            <w:r w:rsidRPr="00992F16">
              <w:rPr>
                <w:rFonts w:eastAsia="Times New Roman" w:cs="Times New Roman"/>
                <w:color w:val="000000"/>
                <w:sz w:val="18"/>
                <w:szCs w:val="18"/>
                <w:lang w:eastAsia="lv-LV"/>
              </w:rPr>
              <w:t xml:space="preserve"> </w:t>
            </w:r>
            <w:r w:rsidR="00091136">
              <w:rPr>
                <w:rFonts w:eastAsia="Times New Roman" w:cs="Times New Roman"/>
                <w:color w:val="000000"/>
                <w:sz w:val="18"/>
                <w:szCs w:val="18"/>
                <w:lang w:eastAsia="lv-LV"/>
              </w:rPr>
              <w:t>IIN</w:t>
            </w:r>
            <w:r w:rsidRPr="00992F16">
              <w:rPr>
                <w:rFonts w:eastAsia="Times New Roman" w:cs="Times New Roman"/>
                <w:color w:val="000000"/>
                <w:sz w:val="18"/>
                <w:szCs w:val="18"/>
                <w:lang w:eastAsia="lv-LV"/>
              </w:rPr>
              <w:t xml:space="preserve"> avansa maksājumu atcelšana no 2024. gada</w:t>
            </w:r>
          </w:p>
        </w:tc>
        <w:tc>
          <w:tcPr>
            <w:tcW w:w="1036" w:type="dxa"/>
            <w:tcBorders>
              <w:top w:val="nil"/>
              <w:left w:val="nil"/>
              <w:bottom w:val="nil"/>
              <w:right w:val="nil"/>
            </w:tcBorders>
            <w:shd w:val="clear" w:color="auto" w:fill="auto"/>
            <w:noWrap/>
            <w:vAlign w:val="center"/>
            <w:hideMark/>
          </w:tcPr>
          <w:p w14:paraId="7CFF783A"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6FB44646"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71F8D959"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72B71727"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5001BB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-0,07</w:t>
            </w:r>
          </w:p>
        </w:tc>
        <w:tc>
          <w:tcPr>
            <w:tcW w:w="936" w:type="dxa"/>
            <w:tcBorders>
              <w:top w:val="nil"/>
              <w:left w:val="nil"/>
              <w:bottom w:val="nil"/>
              <w:right w:val="nil"/>
            </w:tcBorders>
            <w:shd w:val="clear" w:color="auto" w:fill="auto"/>
            <w:noWrap/>
            <w:vAlign w:val="center"/>
            <w:hideMark/>
          </w:tcPr>
          <w:p w14:paraId="20333E2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8E32FF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EB3BE24"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09259C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289893FD" w14:textId="77777777" w:rsidTr="0055392E">
        <w:trPr>
          <w:trHeight w:val="975"/>
          <w:jc w:val="center"/>
        </w:trPr>
        <w:tc>
          <w:tcPr>
            <w:tcW w:w="476" w:type="dxa"/>
            <w:tcBorders>
              <w:top w:val="nil"/>
              <w:left w:val="nil"/>
              <w:bottom w:val="nil"/>
              <w:right w:val="nil"/>
            </w:tcBorders>
            <w:shd w:val="clear" w:color="000000" w:fill="95B3D7"/>
            <w:noWrap/>
            <w:vAlign w:val="center"/>
            <w:hideMark/>
          </w:tcPr>
          <w:p w14:paraId="085D05D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12</w:t>
            </w:r>
          </w:p>
        </w:tc>
        <w:tc>
          <w:tcPr>
            <w:tcW w:w="5576" w:type="dxa"/>
            <w:tcBorders>
              <w:top w:val="nil"/>
              <w:left w:val="nil"/>
              <w:bottom w:val="nil"/>
              <w:right w:val="nil"/>
            </w:tcBorders>
            <w:shd w:val="clear" w:color="auto" w:fill="auto"/>
            <w:vAlign w:val="center"/>
            <w:hideMark/>
          </w:tcPr>
          <w:p w14:paraId="73B6B9F3" w14:textId="3491B7A2"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 xml:space="preserve">Izmaiņas nodokļa atvieglojumos ziedotājiem - atļauts samazināt </w:t>
            </w:r>
            <w:r w:rsidR="00EB0FCC">
              <w:rPr>
                <w:rFonts w:eastAsia="Times New Roman" w:cs="Times New Roman"/>
                <w:color w:val="000000"/>
                <w:sz w:val="18"/>
                <w:szCs w:val="18"/>
                <w:lang w:eastAsia="lv-LV"/>
              </w:rPr>
              <w:t>UIN</w:t>
            </w:r>
            <w:r w:rsidRPr="00992F16">
              <w:rPr>
                <w:rFonts w:eastAsia="Times New Roman" w:cs="Times New Roman"/>
                <w:color w:val="000000"/>
                <w:sz w:val="18"/>
                <w:szCs w:val="18"/>
                <w:lang w:eastAsia="lv-LV"/>
              </w:rPr>
              <w:t xml:space="preserve"> par 85% no 75% no ziedotās summas, bet ne vairāk kā 30% (no 20%) no aprēķinātās </w:t>
            </w:r>
            <w:r w:rsidR="00EB0FCC">
              <w:rPr>
                <w:rFonts w:eastAsia="Times New Roman" w:cs="Times New Roman"/>
                <w:color w:val="000000"/>
                <w:sz w:val="18"/>
                <w:szCs w:val="18"/>
                <w:lang w:eastAsia="lv-LV"/>
              </w:rPr>
              <w:t>UIN</w:t>
            </w:r>
            <w:r w:rsidRPr="00992F16">
              <w:rPr>
                <w:rFonts w:eastAsia="Times New Roman" w:cs="Times New Roman"/>
                <w:color w:val="000000"/>
                <w:sz w:val="18"/>
                <w:szCs w:val="18"/>
                <w:lang w:eastAsia="lv-LV"/>
              </w:rPr>
              <w:t xml:space="preserve"> par aprēķinātajām dividendēm.</w:t>
            </w:r>
          </w:p>
        </w:tc>
        <w:tc>
          <w:tcPr>
            <w:tcW w:w="1036" w:type="dxa"/>
            <w:tcBorders>
              <w:top w:val="nil"/>
              <w:left w:val="nil"/>
              <w:bottom w:val="nil"/>
              <w:right w:val="nil"/>
            </w:tcBorders>
            <w:shd w:val="clear" w:color="auto" w:fill="auto"/>
            <w:noWrap/>
            <w:vAlign w:val="center"/>
            <w:hideMark/>
          </w:tcPr>
          <w:p w14:paraId="44088C7C"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1702542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F64281A"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50633A8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09C9E32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11D18C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44C658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1E0DB9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1A54219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0E9104A3" w14:textId="77777777" w:rsidTr="0055392E">
        <w:trPr>
          <w:trHeight w:val="735"/>
          <w:jc w:val="center"/>
        </w:trPr>
        <w:tc>
          <w:tcPr>
            <w:tcW w:w="476" w:type="dxa"/>
            <w:tcBorders>
              <w:top w:val="nil"/>
              <w:left w:val="nil"/>
              <w:bottom w:val="nil"/>
              <w:right w:val="nil"/>
            </w:tcBorders>
            <w:shd w:val="clear" w:color="000000" w:fill="95B3D7"/>
            <w:noWrap/>
            <w:vAlign w:val="center"/>
            <w:hideMark/>
          </w:tcPr>
          <w:p w14:paraId="0072225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lastRenderedPageBreak/>
              <w:t>13</w:t>
            </w:r>
          </w:p>
        </w:tc>
        <w:tc>
          <w:tcPr>
            <w:tcW w:w="5576" w:type="dxa"/>
            <w:tcBorders>
              <w:top w:val="nil"/>
              <w:left w:val="nil"/>
              <w:bottom w:val="nil"/>
              <w:right w:val="nil"/>
            </w:tcBorders>
            <w:shd w:val="clear" w:color="auto" w:fill="auto"/>
            <w:vAlign w:val="center"/>
            <w:hideMark/>
          </w:tcPr>
          <w:p w14:paraId="359CE7E8"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Kredītiestāžu un patērētāju kreditēšanas pakalpojumu sniedzēju pienākums veikt ikgadēju UIN maksājumu 20% apmērā par attiecīgajā gadā gūto peļņu</w:t>
            </w:r>
          </w:p>
        </w:tc>
        <w:tc>
          <w:tcPr>
            <w:tcW w:w="1036" w:type="dxa"/>
            <w:tcBorders>
              <w:top w:val="nil"/>
              <w:left w:val="nil"/>
              <w:bottom w:val="nil"/>
              <w:right w:val="nil"/>
            </w:tcBorders>
            <w:shd w:val="clear" w:color="auto" w:fill="auto"/>
            <w:noWrap/>
            <w:vAlign w:val="center"/>
            <w:hideMark/>
          </w:tcPr>
          <w:p w14:paraId="5F7989D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54AB061A"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0160855"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284A8C8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EFD12B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0,33</w:t>
            </w:r>
          </w:p>
        </w:tc>
        <w:tc>
          <w:tcPr>
            <w:tcW w:w="936" w:type="dxa"/>
            <w:tcBorders>
              <w:top w:val="nil"/>
              <w:left w:val="nil"/>
              <w:bottom w:val="nil"/>
              <w:right w:val="nil"/>
            </w:tcBorders>
            <w:shd w:val="clear" w:color="auto" w:fill="auto"/>
            <w:noWrap/>
            <w:vAlign w:val="center"/>
            <w:hideMark/>
          </w:tcPr>
          <w:p w14:paraId="5DC3FF3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-0,16</w:t>
            </w:r>
          </w:p>
        </w:tc>
        <w:tc>
          <w:tcPr>
            <w:tcW w:w="936" w:type="dxa"/>
            <w:tcBorders>
              <w:top w:val="nil"/>
              <w:left w:val="nil"/>
              <w:bottom w:val="nil"/>
              <w:right w:val="nil"/>
            </w:tcBorders>
            <w:shd w:val="clear" w:color="auto" w:fill="auto"/>
            <w:noWrap/>
            <w:vAlign w:val="center"/>
            <w:hideMark/>
          </w:tcPr>
          <w:p w14:paraId="43231A8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-0,09</w:t>
            </w:r>
          </w:p>
        </w:tc>
        <w:tc>
          <w:tcPr>
            <w:tcW w:w="936" w:type="dxa"/>
            <w:tcBorders>
              <w:top w:val="nil"/>
              <w:left w:val="nil"/>
              <w:bottom w:val="nil"/>
              <w:right w:val="nil"/>
            </w:tcBorders>
            <w:shd w:val="clear" w:color="auto" w:fill="auto"/>
            <w:noWrap/>
            <w:vAlign w:val="center"/>
            <w:hideMark/>
          </w:tcPr>
          <w:p w14:paraId="34BC96D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1F27C2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674009B7" w14:textId="77777777" w:rsidTr="0055392E">
        <w:trPr>
          <w:trHeight w:val="975"/>
          <w:jc w:val="center"/>
        </w:trPr>
        <w:tc>
          <w:tcPr>
            <w:tcW w:w="476" w:type="dxa"/>
            <w:tcBorders>
              <w:top w:val="nil"/>
              <w:left w:val="nil"/>
              <w:bottom w:val="nil"/>
              <w:right w:val="nil"/>
            </w:tcBorders>
            <w:shd w:val="clear" w:color="000000" w:fill="95B3D7"/>
            <w:noWrap/>
            <w:vAlign w:val="center"/>
            <w:hideMark/>
          </w:tcPr>
          <w:p w14:paraId="6C6BA45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14</w:t>
            </w:r>
          </w:p>
        </w:tc>
        <w:tc>
          <w:tcPr>
            <w:tcW w:w="5576" w:type="dxa"/>
            <w:tcBorders>
              <w:top w:val="nil"/>
              <w:left w:val="nil"/>
              <w:bottom w:val="nil"/>
              <w:right w:val="nil"/>
            </w:tcBorders>
            <w:shd w:val="clear" w:color="auto" w:fill="auto"/>
            <w:vAlign w:val="center"/>
            <w:hideMark/>
          </w:tcPr>
          <w:p w14:paraId="788CE0F1"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Akcīzes izstrādājumu likmju paaugstināšana (likmju paaugstināšana tabakas izstrādājumiem, e-šķidrumiem, tabakas aizstājējproduktiem, alkoholiskajiem dzērieniem un SEZ un brīvostās izmantotajai dīzeļdegvielai un petrolejai)</w:t>
            </w:r>
          </w:p>
        </w:tc>
        <w:tc>
          <w:tcPr>
            <w:tcW w:w="1036" w:type="dxa"/>
            <w:tcBorders>
              <w:top w:val="nil"/>
              <w:left w:val="nil"/>
              <w:bottom w:val="nil"/>
              <w:right w:val="nil"/>
            </w:tcBorders>
            <w:shd w:val="clear" w:color="auto" w:fill="auto"/>
            <w:noWrap/>
            <w:vAlign w:val="center"/>
            <w:hideMark/>
          </w:tcPr>
          <w:p w14:paraId="4F9E6C1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0BA4C56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B350815"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D.21</w:t>
            </w:r>
          </w:p>
        </w:tc>
        <w:tc>
          <w:tcPr>
            <w:tcW w:w="936" w:type="dxa"/>
            <w:tcBorders>
              <w:top w:val="nil"/>
              <w:left w:val="nil"/>
              <w:bottom w:val="nil"/>
              <w:right w:val="nil"/>
            </w:tcBorders>
            <w:shd w:val="clear" w:color="auto" w:fill="auto"/>
            <w:noWrap/>
            <w:vAlign w:val="center"/>
            <w:hideMark/>
          </w:tcPr>
          <w:p w14:paraId="4C83F26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CF7656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0,05</w:t>
            </w:r>
          </w:p>
        </w:tc>
        <w:tc>
          <w:tcPr>
            <w:tcW w:w="936" w:type="dxa"/>
            <w:tcBorders>
              <w:top w:val="nil"/>
              <w:left w:val="nil"/>
              <w:bottom w:val="nil"/>
              <w:right w:val="nil"/>
            </w:tcBorders>
            <w:shd w:val="clear" w:color="auto" w:fill="auto"/>
            <w:noWrap/>
            <w:vAlign w:val="center"/>
            <w:hideMark/>
          </w:tcPr>
          <w:p w14:paraId="39F9462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0,08</w:t>
            </w:r>
          </w:p>
        </w:tc>
        <w:tc>
          <w:tcPr>
            <w:tcW w:w="936" w:type="dxa"/>
            <w:tcBorders>
              <w:top w:val="nil"/>
              <w:left w:val="nil"/>
              <w:bottom w:val="nil"/>
              <w:right w:val="nil"/>
            </w:tcBorders>
            <w:shd w:val="clear" w:color="auto" w:fill="auto"/>
            <w:noWrap/>
            <w:vAlign w:val="center"/>
            <w:hideMark/>
          </w:tcPr>
          <w:p w14:paraId="2B043EA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0,07</w:t>
            </w:r>
          </w:p>
        </w:tc>
        <w:tc>
          <w:tcPr>
            <w:tcW w:w="936" w:type="dxa"/>
            <w:tcBorders>
              <w:top w:val="nil"/>
              <w:left w:val="nil"/>
              <w:bottom w:val="nil"/>
              <w:right w:val="nil"/>
            </w:tcBorders>
            <w:shd w:val="clear" w:color="auto" w:fill="auto"/>
            <w:noWrap/>
            <w:vAlign w:val="center"/>
            <w:hideMark/>
          </w:tcPr>
          <w:p w14:paraId="5CE3436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159DF15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00EA2B4E"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1EC1A86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15</w:t>
            </w:r>
          </w:p>
        </w:tc>
        <w:tc>
          <w:tcPr>
            <w:tcW w:w="5576" w:type="dxa"/>
            <w:tcBorders>
              <w:top w:val="nil"/>
              <w:left w:val="nil"/>
              <w:bottom w:val="nil"/>
              <w:right w:val="nil"/>
            </w:tcBorders>
            <w:shd w:val="clear" w:color="auto" w:fill="auto"/>
            <w:vAlign w:val="center"/>
            <w:hideMark/>
          </w:tcPr>
          <w:p w14:paraId="0665E849"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Azartspēļu likmes paaugstināšana</w:t>
            </w:r>
          </w:p>
        </w:tc>
        <w:tc>
          <w:tcPr>
            <w:tcW w:w="1036" w:type="dxa"/>
            <w:tcBorders>
              <w:top w:val="nil"/>
              <w:left w:val="nil"/>
              <w:bottom w:val="nil"/>
              <w:right w:val="nil"/>
            </w:tcBorders>
            <w:shd w:val="clear" w:color="auto" w:fill="auto"/>
            <w:noWrap/>
            <w:vAlign w:val="center"/>
            <w:hideMark/>
          </w:tcPr>
          <w:p w14:paraId="0E8CF7D6"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510C92E0"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6A6B75D0"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D.21</w:t>
            </w:r>
          </w:p>
        </w:tc>
        <w:tc>
          <w:tcPr>
            <w:tcW w:w="936" w:type="dxa"/>
            <w:tcBorders>
              <w:top w:val="nil"/>
              <w:left w:val="nil"/>
              <w:bottom w:val="nil"/>
              <w:right w:val="nil"/>
            </w:tcBorders>
            <w:shd w:val="clear" w:color="auto" w:fill="auto"/>
            <w:noWrap/>
            <w:vAlign w:val="center"/>
            <w:hideMark/>
          </w:tcPr>
          <w:p w14:paraId="37938F9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2F97F2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0,02</w:t>
            </w:r>
          </w:p>
        </w:tc>
        <w:tc>
          <w:tcPr>
            <w:tcW w:w="936" w:type="dxa"/>
            <w:tcBorders>
              <w:top w:val="nil"/>
              <w:left w:val="nil"/>
              <w:bottom w:val="nil"/>
              <w:right w:val="nil"/>
            </w:tcBorders>
            <w:shd w:val="clear" w:color="auto" w:fill="auto"/>
            <w:noWrap/>
            <w:vAlign w:val="center"/>
            <w:hideMark/>
          </w:tcPr>
          <w:p w14:paraId="2890FF4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5D9EDC8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27FF42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1C72BD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50FB25B5"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328C126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16</w:t>
            </w:r>
          </w:p>
        </w:tc>
        <w:tc>
          <w:tcPr>
            <w:tcW w:w="5576" w:type="dxa"/>
            <w:tcBorders>
              <w:top w:val="nil"/>
              <w:left w:val="nil"/>
              <w:bottom w:val="nil"/>
              <w:right w:val="nil"/>
            </w:tcBorders>
            <w:shd w:val="clear" w:color="auto" w:fill="auto"/>
            <w:vAlign w:val="center"/>
            <w:hideMark/>
          </w:tcPr>
          <w:p w14:paraId="42AA9C56"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IIN atvieglojumu pārskatīšana un neapliekamā atvieglojuma piemērošana</w:t>
            </w:r>
          </w:p>
        </w:tc>
        <w:tc>
          <w:tcPr>
            <w:tcW w:w="1036" w:type="dxa"/>
            <w:tcBorders>
              <w:top w:val="nil"/>
              <w:left w:val="nil"/>
              <w:bottom w:val="nil"/>
              <w:right w:val="nil"/>
            </w:tcBorders>
            <w:shd w:val="clear" w:color="auto" w:fill="auto"/>
            <w:noWrap/>
            <w:vAlign w:val="center"/>
            <w:hideMark/>
          </w:tcPr>
          <w:p w14:paraId="263C66F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76463005"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7DAD3569"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D.5</w:t>
            </w:r>
          </w:p>
        </w:tc>
        <w:tc>
          <w:tcPr>
            <w:tcW w:w="936" w:type="dxa"/>
            <w:tcBorders>
              <w:top w:val="nil"/>
              <w:left w:val="nil"/>
              <w:bottom w:val="nil"/>
              <w:right w:val="nil"/>
            </w:tcBorders>
            <w:shd w:val="clear" w:color="auto" w:fill="auto"/>
            <w:noWrap/>
            <w:vAlign w:val="center"/>
            <w:hideMark/>
          </w:tcPr>
          <w:p w14:paraId="78E6F84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FCE99D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43F1EC2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2FCB25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351785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7833E5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5DA7FA37" w14:textId="77777777" w:rsidTr="0055392E">
        <w:trPr>
          <w:trHeight w:val="735"/>
          <w:jc w:val="center"/>
        </w:trPr>
        <w:tc>
          <w:tcPr>
            <w:tcW w:w="476" w:type="dxa"/>
            <w:tcBorders>
              <w:top w:val="nil"/>
              <w:left w:val="nil"/>
              <w:bottom w:val="nil"/>
              <w:right w:val="nil"/>
            </w:tcBorders>
            <w:shd w:val="clear" w:color="000000" w:fill="95B3D7"/>
            <w:noWrap/>
            <w:vAlign w:val="center"/>
            <w:hideMark/>
          </w:tcPr>
          <w:p w14:paraId="4DE280F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17</w:t>
            </w:r>
          </w:p>
        </w:tc>
        <w:tc>
          <w:tcPr>
            <w:tcW w:w="5576" w:type="dxa"/>
            <w:tcBorders>
              <w:top w:val="nil"/>
              <w:left w:val="nil"/>
              <w:bottom w:val="nil"/>
              <w:right w:val="nil"/>
            </w:tcBorders>
            <w:shd w:val="clear" w:color="auto" w:fill="auto"/>
            <w:vAlign w:val="center"/>
            <w:hideMark/>
          </w:tcPr>
          <w:p w14:paraId="057B943A"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 xml:space="preserve">PVN reģistrācijas sliekšņa palielinājums par 50 000 </w:t>
            </w:r>
            <w:proofErr w:type="spellStart"/>
            <w:r w:rsidRPr="00702199">
              <w:rPr>
                <w:rFonts w:eastAsia="Times New Roman" w:cs="Times New Roman"/>
                <w:i/>
                <w:iCs/>
                <w:color w:val="000000"/>
                <w:sz w:val="18"/>
                <w:szCs w:val="18"/>
                <w:lang w:eastAsia="lv-LV"/>
              </w:rPr>
              <w:t>euro</w:t>
            </w:r>
            <w:proofErr w:type="spellEnd"/>
            <w:r w:rsidRPr="00992F16">
              <w:rPr>
                <w:rFonts w:eastAsia="Times New Roman" w:cs="Times New Roman"/>
                <w:color w:val="000000"/>
                <w:sz w:val="18"/>
                <w:szCs w:val="18"/>
                <w:lang w:eastAsia="lv-LV"/>
              </w:rPr>
              <w:t xml:space="preserve">, darījuma vērtības slieksnis zaudētajiem parādiem par 1000 </w:t>
            </w:r>
            <w:proofErr w:type="spellStart"/>
            <w:r w:rsidRPr="00702199">
              <w:rPr>
                <w:rFonts w:eastAsia="Times New Roman" w:cs="Times New Roman"/>
                <w:i/>
                <w:iCs/>
                <w:color w:val="000000"/>
                <w:sz w:val="18"/>
                <w:szCs w:val="18"/>
                <w:lang w:eastAsia="lv-LV"/>
              </w:rPr>
              <w:t>euro</w:t>
            </w:r>
            <w:proofErr w:type="spellEnd"/>
            <w:r w:rsidRPr="00992F16">
              <w:rPr>
                <w:rFonts w:eastAsia="Times New Roman" w:cs="Times New Roman"/>
                <w:color w:val="000000"/>
                <w:sz w:val="18"/>
                <w:szCs w:val="18"/>
                <w:lang w:eastAsia="lv-LV"/>
              </w:rPr>
              <w:t>, atbrīvojuma piemērošana sporta aktivitātēm</w:t>
            </w:r>
          </w:p>
        </w:tc>
        <w:tc>
          <w:tcPr>
            <w:tcW w:w="1036" w:type="dxa"/>
            <w:tcBorders>
              <w:top w:val="nil"/>
              <w:left w:val="nil"/>
              <w:bottom w:val="nil"/>
              <w:right w:val="nil"/>
            </w:tcBorders>
            <w:shd w:val="clear" w:color="auto" w:fill="auto"/>
            <w:noWrap/>
            <w:vAlign w:val="center"/>
            <w:hideMark/>
          </w:tcPr>
          <w:p w14:paraId="70F22386"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1449BD3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6BEC083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D.21</w:t>
            </w:r>
          </w:p>
        </w:tc>
        <w:tc>
          <w:tcPr>
            <w:tcW w:w="936" w:type="dxa"/>
            <w:tcBorders>
              <w:top w:val="nil"/>
              <w:left w:val="nil"/>
              <w:bottom w:val="nil"/>
              <w:right w:val="nil"/>
            </w:tcBorders>
            <w:shd w:val="clear" w:color="auto" w:fill="auto"/>
            <w:noWrap/>
            <w:vAlign w:val="center"/>
            <w:hideMark/>
          </w:tcPr>
          <w:p w14:paraId="5903489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E05C94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6F08DBD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1E61ED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43B162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9CE628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1909A606" w14:textId="77777777" w:rsidTr="0055392E">
        <w:trPr>
          <w:trHeight w:val="495"/>
          <w:jc w:val="center"/>
        </w:trPr>
        <w:tc>
          <w:tcPr>
            <w:tcW w:w="476" w:type="dxa"/>
            <w:tcBorders>
              <w:top w:val="nil"/>
              <w:left w:val="nil"/>
              <w:bottom w:val="nil"/>
              <w:right w:val="nil"/>
            </w:tcBorders>
            <w:shd w:val="clear" w:color="000000" w:fill="95B3D7"/>
            <w:noWrap/>
            <w:vAlign w:val="center"/>
            <w:hideMark/>
          </w:tcPr>
          <w:p w14:paraId="1036E9E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18</w:t>
            </w:r>
          </w:p>
        </w:tc>
        <w:tc>
          <w:tcPr>
            <w:tcW w:w="5576" w:type="dxa"/>
            <w:tcBorders>
              <w:top w:val="nil"/>
              <w:left w:val="nil"/>
              <w:bottom w:val="nil"/>
              <w:right w:val="nil"/>
            </w:tcBorders>
            <w:shd w:val="clear" w:color="auto" w:fill="auto"/>
            <w:vAlign w:val="center"/>
            <w:hideMark/>
          </w:tcPr>
          <w:p w14:paraId="25B7CED5"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Dabas resursu nodoklis (likmju izmaiņas, jauni objekti, nodokļu atvieglojumu atcelšana)</w:t>
            </w:r>
          </w:p>
        </w:tc>
        <w:tc>
          <w:tcPr>
            <w:tcW w:w="1036" w:type="dxa"/>
            <w:tcBorders>
              <w:top w:val="nil"/>
              <w:left w:val="nil"/>
              <w:bottom w:val="nil"/>
              <w:right w:val="nil"/>
            </w:tcBorders>
            <w:shd w:val="clear" w:color="auto" w:fill="auto"/>
            <w:noWrap/>
            <w:vAlign w:val="center"/>
            <w:hideMark/>
          </w:tcPr>
          <w:p w14:paraId="178696A6"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214E2CE8"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4F1D888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D.29</w:t>
            </w:r>
          </w:p>
        </w:tc>
        <w:tc>
          <w:tcPr>
            <w:tcW w:w="936" w:type="dxa"/>
            <w:tcBorders>
              <w:top w:val="nil"/>
              <w:left w:val="nil"/>
              <w:bottom w:val="nil"/>
              <w:right w:val="nil"/>
            </w:tcBorders>
            <w:shd w:val="clear" w:color="auto" w:fill="auto"/>
            <w:noWrap/>
            <w:vAlign w:val="center"/>
            <w:hideMark/>
          </w:tcPr>
          <w:p w14:paraId="3B0AE75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2C593DE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0,02</w:t>
            </w:r>
          </w:p>
        </w:tc>
        <w:tc>
          <w:tcPr>
            <w:tcW w:w="936" w:type="dxa"/>
            <w:tcBorders>
              <w:top w:val="nil"/>
              <w:left w:val="nil"/>
              <w:bottom w:val="nil"/>
              <w:right w:val="nil"/>
            </w:tcBorders>
            <w:shd w:val="clear" w:color="auto" w:fill="auto"/>
            <w:noWrap/>
            <w:vAlign w:val="center"/>
            <w:hideMark/>
          </w:tcPr>
          <w:p w14:paraId="76A8D68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0,03</w:t>
            </w:r>
          </w:p>
        </w:tc>
        <w:tc>
          <w:tcPr>
            <w:tcW w:w="936" w:type="dxa"/>
            <w:tcBorders>
              <w:top w:val="nil"/>
              <w:left w:val="nil"/>
              <w:bottom w:val="nil"/>
              <w:right w:val="nil"/>
            </w:tcBorders>
            <w:shd w:val="clear" w:color="auto" w:fill="auto"/>
            <w:noWrap/>
            <w:vAlign w:val="center"/>
            <w:hideMark/>
          </w:tcPr>
          <w:p w14:paraId="463BE74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0,02</w:t>
            </w:r>
          </w:p>
        </w:tc>
        <w:tc>
          <w:tcPr>
            <w:tcW w:w="936" w:type="dxa"/>
            <w:tcBorders>
              <w:top w:val="nil"/>
              <w:left w:val="nil"/>
              <w:bottom w:val="nil"/>
              <w:right w:val="nil"/>
            </w:tcBorders>
            <w:shd w:val="clear" w:color="auto" w:fill="auto"/>
            <w:noWrap/>
            <w:vAlign w:val="center"/>
            <w:hideMark/>
          </w:tcPr>
          <w:p w14:paraId="0324FCB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CFEE0F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26CCDC7D"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2232FE7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19</w:t>
            </w:r>
          </w:p>
        </w:tc>
        <w:tc>
          <w:tcPr>
            <w:tcW w:w="5576" w:type="dxa"/>
            <w:tcBorders>
              <w:top w:val="nil"/>
              <w:left w:val="nil"/>
              <w:bottom w:val="nil"/>
              <w:right w:val="nil"/>
            </w:tcBorders>
            <w:shd w:val="clear" w:color="auto" w:fill="auto"/>
            <w:vAlign w:val="center"/>
            <w:hideMark/>
          </w:tcPr>
          <w:p w14:paraId="1957C264" w14:textId="6D2AACB5" w:rsidR="00992F16" w:rsidRPr="00992F16" w:rsidRDefault="0012487F" w:rsidP="0055392E">
            <w:pPr>
              <w:spacing w:after="0" w:line="240" w:lineRule="auto"/>
              <w:ind w:firstLine="0"/>
              <w:jc w:val="left"/>
              <w:rPr>
                <w:rFonts w:eastAsia="Times New Roman" w:cs="Times New Roman"/>
                <w:color w:val="000000"/>
                <w:sz w:val="18"/>
                <w:szCs w:val="18"/>
                <w:lang w:eastAsia="lv-LV"/>
              </w:rPr>
            </w:pPr>
            <w:r w:rsidRPr="0012487F">
              <w:rPr>
                <w:rFonts w:eastAsia="Times New Roman" w:cs="Times New Roman"/>
                <w:color w:val="000000"/>
                <w:sz w:val="18"/>
                <w:szCs w:val="18"/>
                <w:lang w:eastAsia="lv-LV"/>
              </w:rPr>
              <w:t>Ieņēmumu palielināšana no dividenžu”</w:t>
            </w:r>
            <w:r w:rsidR="00992F16" w:rsidRPr="00992F16">
              <w:rPr>
                <w:rFonts w:eastAsia="Times New Roman" w:cs="Times New Roman"/>
                <w:color w:val="000000"/>
                <w:sz w:val="18"/>
                <w:szCs w:val="18"/>
                <w:lang w:eastAsia="lv-LV"/>
              </w:rPr>
              <w:t>2024</w:t>
            </w:r>
          </w:p>
        </w:tc>
        <w:tc>
          <w:tcPr>
            <w:tcW w:w="1036" w:type="dxa"/>
            <w:tcBorders>
              <w:top w:val="nil"/>
              <w:left w:val="nil"/>
              <w:bottom w:val="nil"/>
              <w:right w:val="nil"/>
            </w:tcBorders>
            <w:shd w:val="clear" w:color="auto" w:fill="auto"/>
            <w:noWrap/>
            <w:vAlign w:val="center"/>
            <w:hideMark/>
          </w:tcPr>
          <w:p w14:paraId="56C9368A"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003E3F8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6F17C70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D.4</w:t>
            </w:r>
          </w:p>
        </w:tc>
        <w:tc>
          <w:tcPr>
            <w:tcW w:w="936" w:type="dxa"/>
            <w:tcBorders>
              <w:top w:val="nil"/>
              <w:left w:val="nil"/>
              <w:bottom w:val="nil"/>
              <w:right w:val="nil"/>
            </w:tcBorders>
            <w:shd w:val="clear" w:color="auto" w:fill="auto"/>
            <w:noWrap/>
            <w:vAlign w:val="center"/>
            <w:hideMark/>
          </w:tcPr>
          <w:p w14:paraId="7E3B3F1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1F064F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0,42</w:t>
            </w:r>
          </w:p>
        </w:tc>
        <w:tc>
          <w:tcPr>
            <w:tcW w:w="936" w:type="dxa"/>
            <w:tcBorders>
              <w:top w:val="nil"/>
              <w:left w:val="nil"/>
              <w:bottom w:val="nil"/>
              <w:right w:val="nil"/>
            </w:tcBorders>
            <w:shd w:val="clear" w:color="auto" w:fill="auto"/>
            <w:noWrap/>
            <w:vAlign w:val="center"/>
            <w:hideMark/>
          </w:tcPr>
          <w:p w14:paraId="3E5F460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-0,32</w:t>
            </w:r>
          </w:p>
        </w:tc>
        <w:tc>
          <w:tcPr>
            <w:tcW w:w="936" w:type="dxa"/>
            <w:tcBorders>
              <w:top w:val="nil"/>
              <w:left w:val="nil"/>
              <w:bottom w:val="nil"/>
              <w:right w:val="nil"/>
            </w:tcBorders>
            <w:shd w:val="clear" w:color="auto" w:fill="auto"/>
            <w:noWrap/>
            <w:vAlign w:val="center"/>
            <w:hideMark/>
          </w:tcPr>
          <w:p w14:paraId="680F627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0,19</w:t>
            </w:r>
          </w:p>
        </w:tc>
        <w:tc>
          <w:tcPr>
            <w:tcW w:w="936" w:type="dxa"/>
            <w:tcBorders>
              <w:top w:val="nil"/>
              <w:left w:val="nil"/>
              <w:bottom w:val="nil"/>
              <w:right w:val="nil"/>
            </w:tcBorders>
            <w:shd w:val="clear" w:color="auto" w:fill="auto"/>
            <w:noWrap/>
            <w:vAlign w:val="center"/>
            <w:hideMark/>
          </w:tcPr>
          <w:p w14:paraId="3142930E"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2104FA8"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75F961CA" w14:textId="77777777" w:rsidTr="0055392E">
        <w:trPr>
          <w:trHeight w:val="495"/>
          <w:jc w:val="center"/>
        </w:trPr>
        <w:tc>
          <w:tcPr>
            <w:tcW w:w="476" w:type="dxa"/>
            <w:tcBorders>
              <w:top w:val="nil"/>
              <w:left w:val="nil"/>
              <w:bottom w:val="nil"/>
              <w:right w:val="nil"/>
            </w:tcBorders>
            <w:shd w:val="clear" w:color="000000" w:fill="95B3D7"/>
            <w:noWrap/>
            <w:vAlign w:val="center"/>
            <w:hideMark/>
          </w:tcPr>
          <w:p w14:paraId="1C3375F0"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20</w:t>
            </w:r>
          </w:p>
        </w:tc>
        <w:tc>
          <w:tcPr>
            <w:tcW w:w="5576" w:type="dxa"/>
            <w:tcBorders>
              <w:top w:val="nil"/>
              <w:left w:val="nil"/>
              <w:bottom w:val="nil"/>
              <w:right w:val="nil"/>
            </w:tcBorders>
            <w:shd w:val="clear" w:color="auto" w:fill="auto"/>
            <w:vAlign w:val="center"/>
            <w:hideMark/>
          </w:tcPr>
          <w:p w14:paraId="7D403972" w14:textId="6075D9A1" w:rsidR="00992F16" w:rsidRPr="00992F16" w:rsidRDefault="0012487F" w:rsidP="0055392E">
            <w:pPr>
              <w:spacing w:after="0" w:line="240" w:lineRule="auto"/>
              <w:ind w:firstLine="0"/>
              <w:jc w:val="left"/>
              <w:rPr>
                <w:rFonts w:eastAsia="Times New Roman" w:cs="Times New Roman"/>
                <w:color w:val="000000"/>
                <w:sz w:val="18"/>
                <w:szCs w:val="18"/>
                <w:lang w:eastAsia="lv-LV"/>
              </w:rPr>
            </w:pPr>
            <w:r w:rsidRPr="0012487F">
              <w:rPr>
                <w:rFonts w:eastAsia="Times New Roman" w:cs="Times New Roman"/>
                <w:color w:val="000000"/>
                <w:sz w:val="18"/>
                <w:szCs w:val="18"/>
                <w:lang w:eastAsia="lv-LV"/>
              </w:rPr>
              <w:t>Ieņēmumu palielināšana no dividenžu maksājumiem, AS “Latvijas valsts meži”</w:t>
            </w:r>
            <w:r w:rsidR="00992F16" w:rsidRPr="00992F16">
              <w:rPr>
                <w:rFonts w:eastAsia="Times New Roman" w:cs="Times New Roman"/>
                <w:color w:val="000000"/>
                <w:sz w:val="18"/>
                <w:szCs w:val="18"/>
                <w:lang w:eastAsia="lv-LV"/>
              </w:rPr>
              <w:t>2024. gadā</w:t>
            </w:r>
          </w:p>
        </w:tc>
        <w:tc>
          <w:tcPr>
            <w:tcW w:w="1036" w:type="dxa"/>
            <w:tcBorders>
              <w:top w:val="nil"/>
              <w:left w:val="nil"/>
              <w:bottom w:val="nil"/>
              <w:right w:val="nil"/>
            </w:tcBorders>
            <w:shd w:val="clear" w:color="auto" w:fill="auto"/>
            <w:noWrap/>
            <w:vAlign w:val="center"/>
            <w:hideMark/>
          </w:tcPr>
          <w:p w14:paraId="23E8D2A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35E5736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3E884AF9"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D.4</w:t>
            </w:r>
          </w:p>
        </w:tc>
        <w:tc>
          <w:tcPr>
            <w:tcW w:w="936" w:type="dxa"/>
            <w:tcBorders>
              <w:top w:val="nil"/>
              <w:left w:val="nil"/>
              <w:bottom w:val="nil"/>
              <w:right w:val="nil"/>
            </w:tcBorders>
            <w:shd w:val="clear" w:color="auto" w:fill="auto"/>
            <w:noWrap/>
            <w:vAlign w:val="center"/>
            <w:hideMark/>
          </w:tcPr>
          <w:p w14:paraId="0DB0FA2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979F094"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0,03</w:t>
            </w:r>
          </w:p>
        </w:tc>
        <w:tc>
          <w:tcPr>
            <w:tcW w:w="936" w:type="dxa"/>
            <w:tcBorders>
              <w:top w:val="nil"/>
              <w:left w:val="nil"/>
              <w:bottom w:val="nil"/>
              <w:right w:val="nil"/>
            </w:tcBorders>
            <w:shd w:val="clear" w:color="auto" w:fill="auto"/>
            <w:noWrap/>
            <w:vAlign w:val="center"/>
            <w:hideMark/>
          </w:tcPr>
          <w:p w14:paraId="360F370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-0,03</w:t>
            </w:r>
          </w:p>
        </w:tc>
        <w:tc>
          <w:tcPr>
            <w:tcW w:w="936" w:type="dxa"/>
            <w:tcBorders>
              <w:top w:val="nil"/>
              <w:left w:val="nil"/>
              <w:bottom w:val="nil"/>
              <w:right w:val="nil"/>
            </w:tcBorders>
            <w:shd w:val="clear" w:color="auto" w:fill="auto"/>
            <w:noWrap/>
            <w:vAlign w:val="center"/>
            <w:hideMark/>
          </w:tcPr>
          <w:p w14:paraId="00BE080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1546557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648E80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06C92EC0" w14:textId="77777777" w:rsidTr="0055392E">
        <w:trPr>
          <w:trHeight w:val="735"/>
          <w:jc w:val="center"/>
        </w:trPr>
        <w:tc>
          <w:tcPr>
            <w:tcW w:w="476" w:type="dxa"/>
            <w:tcBorders>
              <w:top w:val="nil"/>
              <w:left w:val="nil"/>
              <w:bottom w:val="nil"/>
              <w:right w:val="nil"/>
            </w:tcBorders>
            <w:shd w:val="clear" w:color="000000" w:fill="95B3D7"/>
            <w:noWrap/>
            <w:vAlign w:val="center"/>
            <w:hideMark/>
          </w:tcPr>
          <w:p w14:paraId="7B29686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21</w:t>
            </w:r>
          </w:p>
        </w:tc>
        <w:tc>
          <w:tcPr>
            <w:tcW w:w="5576" w:type="dxa"/>
            <w:tcBorders>
              <w:top w:val="nil"/>
              <w:left w:val="nil"/>
              <w:bottom w:val="nil"/>
              <w:right w:val="nil"/>
            </w:tcBorders>
            <w:shd w:val="clear" w:color="auto" w:fill="auto"/>
            <w:vAlign w:val="center"/>
            <w:hideMark/>
          </w:tcPr>
          <w:p w14:paraId="7E985372" w14:textId="4589A186"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 xml:space="preserve">Atcels </w:t>
            </w:r>
            <w:r w:rsidR="00EB0FCC">
              <w:rPr>
                <w:rFonts w:eastAsia="Times New Roman" w:cs="Times New Roman"/>
                <w:color w:val="000000"/>
                <w:sz w:val="18"/>
                <w:szCs w:val="18"/>
                <w:lang w:eastAsia="lv-LV"/>
              </w:rPr>
              <w:t>IIN</w:t>
            </w:r>
            <w:r w:rsidRPr="00992F16">
              <w:rPr>
                <w:rFonts w:eastAsia="Times New Roman" w:cs="Times New Roman"/>
                <w:color w:val="000000"/>
                <w:sz w:val="18"/>
                <w:szCs w:val="18"/>
                <w:lang w:eastAsia="lv-LV"/>
              </w:rPr>
              <w:t xml:space="preserve"> atvieglojumus par saņemtajām summām, kas izmaksātas kā valsts vai ES atbalsts lauksaimniecībai un lauku attīstībai</w:t>
            </w:r>
          </w:p>
        </w:tc>
        <w:tc>
          <w:tcPr>
            <w:tcW w:w="1036" w:type="dxa"/>
            <w:tcBorders>
              <w:top w:val="nil"/>
              <w:left w:val="nil"/>
              <w:bottom w:val="nil"/>
              <w:right w:val="nil"/>
            </w:tcBorders>
            <w:shd w:val="clear" w:color="auto" w:fill="auto"/>
            <w:noWrap/>
            <w:vAlign w:val="center"/>
            <w:hideMark/>
          </w:tcPr>
          <w:p w14:paraId="34C636A0"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332A557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7A1E938B"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D.29</w:t>
            </w:r>
          </w:p>
        </w:tc>
        <w:tc>
          <w:tcPr>
            <w:tcW w:w="936" w:type="dxa"/>
            <w:tcBorders>
              <w:top w:val="nil"/>
              <w:left w:val="nil"/>
              <w:bottom w:val="nil"/>
              <w:right w:val="nil"/>
            </w:tcBorders>
            <w:shd w:val="clear" w:color="auto" w:fill="auto"/>
            <w:noWrap/>
            <w:vAlign w:val="center"/>
            <w:hideMark/>
          </w:tcPr>
          <w:p w14:paraId="020F345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1C58607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578EA0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0,05</w:t>
            </w:r>
          </w:p>
        </w:tc>
        <w:tc>
          <w:tcPr>
            <w:tcW w:w="936" w:type="dxa"/>
            <w:tcBorders>
              <w:top w:val="nil"/>
              <w:left w:val="nil"/>
              <w:bottom w:val="nil"/>
              <w:right w:val="nil"/>
            </w:tcBorders>
            <w:shd w:val="clear" w:color="auto" w:fill="auto"/>
            <w:noWrap/>
            <w:vAlign w:val="center"/>
            <w:hideMark/>
          </w:tcPr>
          <w:p w14:paraId="0AB60B1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4D5672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9E3E4B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56A9644E" w14:textId="77777777" w:rsidTr="0055392E">
        <w:trPr>
          <w:trHeight w:val="529"/>
          <w:jc w:val="center"/>
        </w:trPr>
        <w:tc>
          <w:tcPr>
            <w:tcW w:w="476" w:type="dxa"/>
            <w:tcBorders>
              <w:top w:val="nil"/>
              <w:left w:val="nil"/>
              <w:bottom w:val="nil"/>
              <w:right w:val="nil"/>
            </w:tcBorders>
            <w:shd w:val="clear" w:color="000000" w:fill="95B3D7"/>
            <w:noWrap/>
            <w:vAlign w:val="center"/>
            <w:hideMark/>
          </w:tcPr>
          <w:p w14:paraId="6F13240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22</w:t>
            </w:r>
          </w:p>
        </w:tc>
        <w:tc>
          <w:tcPr>
            <w:tcW w:w="5576" w:type="dxa"/>
            <w:tcBorders>
              <w:top w:val="nil"/>
              <w:left w:val="nil"/>
              <w:bottom w:val="nil"/>
              <w:right w:val="nil"/>
            </w:tcBorders>
            <w:shd w:val="clear" w:color="auto" w:fill="auto"/>
            <w:vAlign w:val="center"/>
            <w:hideMark/>
          </w:tcPr>
          <w:p w14:paraId="4C5B4903"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Aizliegums ievest noteiktus lauksaimniecības un lopbarības produktus no Krievijas Federācijas un Baltkrievijas Republikas (arī no citām trešajām valstīm, ja produktu izcelsme ir Krievijas Federācija vai Baltkrievijas Republika).</w:t>
            </w:r>
          </w:p>
        </w:tc>
        <w:tc>
          <w:tcPr>
            <w:tcW w:w="1036" w:type="dxa"/>
            <w:tcBorders>
              <w:top w:val="nil"/>
              <w:left w:val="nil"/>
              <w:bottom w:val="nil"/>
              <w:right w:val="nil"/>
            </w:tcBorders>
            <w:shd w:val="clear" w:color="auto" w:fill="auto"/>
            <w:noWrap/>
            <w:vAlign w:val="center"/>
            <w:hideMark/>
          </w:tcPr>
          <w:p w14:paraId="650CD1C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37D8A964"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0DE742F7"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w:t>
            </w:r>
          </w:p>
        </w:tc>
        <w:tc>
          <w:tcPr>
            <w:tcW w:w="936" w:type="dxa"/>
            <w:tcBorders>
              <w:top w:val="nil"/>
              <w:left w:val="nil"/>
              <w:bottom w:val="nil"/>
              <w:right w:val="nil"/>
            </w:tcBorders>
            <w:shd w:val="clear" w:color="auto" w:fill="auto"/>
            <w:noWrap/>
            <w:vAlign w:val="center"/>
            <w:hideMark/>
          </w:tcPr>
          <w:p w14:paraId="7C00A4D7"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FC0C544"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615C909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0,01</w:t>
            </w:r>
          </w:p>
        </w:tc>
        <w:tc>
          <w:tcPr>
            <w:tcW w:w="936" w:type="dxa"/>
            <w:tcBorders>
              <w:top w:val="nil"/>
              <w:left w:val="nil"/>
              <w:bottom w:val="nil"/>
              <w:right w:val="nil"/>
            </w:tcBorders>
            <w:shd w:val="clear" w:color="auto" w:fill="auto"/>
            <w:noWrap/>
            <w:vAlign w:val="center"/>
            <w:hideMark/>
          </w:tcPr>
          <w:p w14:paraId="3724480D"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5ECE7F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C8C1FB5"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3F39E844"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3B79E06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23</w:t>
            </w:r>
          </w:p>
        </w:tc>
        <w:tc>
          <w:tcPr>
            <w:tcW w:w="5576" w:type="dxa"/>
            <w:tcBorders>
              <w:top w:val="nil"/>
              <w:left w:val="nil"/>
              <w:bottom w:val="nil"/>
              <w:right w:val="nil"/>
            </w:tcBorders>
            <w:shd w:val="clear" w:color="auto" w:fill="auto"/>
            <w:vAlign w:val="center"/>
            <w:hideMark/>
          </w:tcPr>
          <w:p w14:paraId="4DA37224"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Izmaiņas akcīzes nodokļos</w:t>
            </w:r>
          </w:p>
        </w:tc>
        <w:tc>
          <w:tcPr>
            <w:tcW w:w="1036" w:type="dxa"/>
            <w:tcBorders>
              <w:top w:val="nil"/>
              <w:left w:val="nil"/>
              <w:bottom w:val="nil"/>
              <w:right w:val="nil"/>
            </w:tcBorders>
            <w:shd w:val="clear" w:color="auto" w:fill="auto"/>
            <w:noWrap/>
            <w:vAlign w:val="center"/>
            <w:hideMark/>
          </w:tcPr>
          <w:p w14:paraId="125E9FE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532A2090"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1230098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D.21</w:t>
            </w:r>
          </w:p>
        </w:tc>
        <w:tc>
          <w:tcPr>
            <w:tcW w:w="936" w:type="dxa"/>
            <w:tcBorders>
              <w:top w:val="nil"/>
              <w:left w:val="nil"/>
              <w:bottom w:val="nil"/>
              <w:right w:val="nil"/>
            </w:tcBorders>
            <w:shd w:val="clear" w:color="auto" w:fill="auto"/>
            <w:noWrap/>
            <w:vAlign w:val="center"/>
            <w:hideMark/>
          </w:tcPr>
          <w:p w14:paraId="57E987D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50DCF4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0,02</w:t>
            </w:r>
          </w:p>
        </w:tc>
        <w:tc>
          <w:tcPr>
            <w:tcW w:w="936" w:type="dxa"/>
            <w:tcBorders>
              <w:top w:val="nil"/>
              <w:left w:val="nil"/>
              <w:bottom w:val="nil"/>
              <w:right w:val="nil"/>
            </w:tcBorders>
            <w:shd w:val="clear" w:color="auto" w:fill="auto"/>
            <w:noWrap/>
            <w:vAlign w:val="center"/>
            <w:hideMark/>
          </w:tcPr>
          <w:p w14:paraId="6DD58DC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4AD64A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AFB7EF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1D43705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38DCB018" w14:textId="77777777" w:rsidTr="0055392E">
        <w:trPr>
          <w:trHeight w:val="735"/>
          <w:jc w:val="center"/>
        </w:trPr>
        <w:tc>
          <w:tcPr>
            <w:tcW w:w="476" w:type="dxa"/>
            <w:tcBorders>
              <w:top w:val="nil"/>
              <w:left w:val="nil"/>
              <w:bottom w:val="nil"/>
              <w:right w:val="nil"/>
            </w:tcBorders>
            <w:shd w:val="clear" w:color="000000" w:fill="95B3D7"/>
            <w:noWrap/>
            <w:vAlign w:val="center"/>
            <w:hideMark/>
          </w:tcPr>
          <w:p w14:paraId="2B903BB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24</w:t>
            </w:r>
          </w:p>
        </w:tc>
        <w:tc>
          <w:tcPr>
            <w:tcW w:w="5576" w:type="dxa"/>
            <w:tcBorders>
              <w:top w:val="nil"/>
              <w:left w:val="nil"/>
              <w:bottom w:val="nil"/>
              <w:right w:val="nil"/>
            </w:tcBorders>
            <w:shd w:val="clear" w:color="auto" w:fill="auto"/>
            <w:vAlign w:val="center"/>
            <w:hideMark/>
          </w:tcPr>
          <w:p w14:paraId="574EB79C"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Izmaiņas PVN svaigiem augļiem un dārzeņiem - likme samazināta līdz 12% samazinātā PVN likme 2024. gadā (uz vienu gadu), no 2025. gada piemērojama standarta likme</w:t>
            </w:r>
          </w:p>
        </w:tc>
        <w:tc>
          <w:tcPr>
            <w:tcW w:w="1036" w:type="dxa"/>
            <w:tcBorders>
              <w:top w:val="nil"/>
              <w:left w:val="nil"/>
              <w:bottom w:val="nil"/>
              <w:right w:val="nil"/>
            </w:tcBorders>
            <w:shd w:val="clear" w:color="auto" w:fill="auto"/>
            <w:noWrap/>
            <w:vAlign w:val="center"/>
            <w:hideMark/>
          </w:tcPr>
          <w:p w14:paraId="01E6D25D"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0F20E279"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7B9D07A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D.21</w:t>
            </w:r>
          </w:p>
        </w:tc>
        <w:tc>
          <w:tcPr>
            <w:tcW w:w="936" w:type="dxa"/>
            <w:tcBorders>
              <w:top w:val="nil"/>
              <w:left w:val="nil"/>
              <w:bottom w:val="nil"/>
              <w:right w:val="nil"/>
            </w:tcBorders>
            <w:shd w:val="clear" w:color="auto" w:fill="auto"/>
            <w:noWrap/>
            <w:vAlign w:val="center"/>
            <w:hideMark/>
          </w:tcPr>
          <w:p w14:paraId="523AD43A"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5EC910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-0,04</w:t>
            </w:r>
          </w:p>
        </w:tc>
        <w:tc>
          <w:tcPr>
            <w:tcW w:w="936" w:type="dxa"/>
            <w:tcBorders>
              <w:top w:val="nil"/>
              <w:left w:val="nil"/>
              <w:bottom w:val="nil"/>
              <w:right w:val="nil"/>
            </w:tcBorders>
            <w:shd w:val="clear" w:color="auto" w:fill="auto"/>
            <w:noWrap/>
            <w:vAlign w:val="center"/>
            <w:hideMark/>
          </w:tcPr>
          <w:p w14:paraId="4F83CEB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0,04</w:t>
            </w:r>
          </w:p>
        </w:tc>
        <w:tc>
          <w:tcPr>
            <w:tcW w:w="936" w:type="dxa"/>
            <w:tcBorders>
              <w:top w:val="nil"/>
              <w:left w:val="nil"/>
              <w:bottom w:val="nil"/>
              <w:right w:val="nil"/>
            </w:tcBorders>
            <w:shd w:val="clear" w:color="auto" w:fill="auto"/>
            <w:noWrap/>
            <w:vAlign w:val="center"/>
            <w:hideMark/>
          </w:tcPr>
          <w:p w14:paraId="0E9D5BC2"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45D5D3D4"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72C484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235CD4EA" w14:textId="77777777" w:rsidTr="0055392E">
        <w:trPr>
          <w:trHeight w:val="495"/>
          <w:jc w:val="center"/>
        </w:trPr>
        <w:tc>
          <w:tcPr>
            <w:tcW w:w="476" w:type="dxa"/>
            <w:tcBorders>
              <w:top w:val="nil"/>
              <w:left w:val="nil"/>
              <w:bottom w:val="nil"/>
              <w:right w:val="nil"/>
            </w:tcBorders>
            <w:shd w:val="clear" w:color="000000" w:fill="95B3D7"/>
            <w:noWrap/>
            <w:vAlign w:val="center"/>
            <w:hideMark/>
          </w:tcPr>
          <w:p w14:paraId="055C5154"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25</w:t>
            </w:r>
          </w:p>
        </w:tc>
        <w:tc>
          <w:tcPr>
            <w:tcW w:w="5576" w:type="dxa"/>
            <w:tcBorders>
              <w:top w:val="nil"/>
              <w:left w:val="nil"/>
              <w:bottom w:val="nil"/>
              <w:right w:val="nil"/>
            </w:tcBorders>
            <w:shd w:val="clear" w:color="auto" w:fill="auto"/>
            <w:vAlign w:val="center"/>
            <w:hideMark/>
          </w:tcPr>
          <w:p w14:paraId="41A8B75E"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Hipotekārā kredīta ņēmēja aizsardzības maksa sakarā ar procentu likmju paaugstināšanu</w:t>
            </w:r>
          </w:p>
        </w:tc>
        <w:tc>
          <w:tcPr>
            <w:tcW w:w="1036" w:type="dxa"/>
            <w:tcBorders>
              <w:top w:val="nil"/>
              <w:left w:val="nil"/>
              <w:bottom w:val="nil"/>
              <w:right w:val="nil"/>
            </w:tcBorders>
            <w:shd w:val="clear" w:color="auto" w:fill="auto"/>
            <w:noWrap/>
            <w:vAlign w:val="center"/>
            <w:hideMark/>
          </w:tcPr>
          <w:p w14:paraId="008F5F4E"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1747D1C2"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3946CF94"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D.7</w:t>
            </w:r>
          </w:p>
        </w:tc>
        <w:tc>
          <w:tcPr>
            <w:tcW w:w="936" w:type="dxa"/>
            <w:tcBorders>
              <w:top w:val="nil"/>
              <w:left w:val="nil"/>
              <w:bottom w:val="nil"/>
              <w:right w:val="nil"/>
            </w:tcBorders>
            <w:shd w:val="clear" w:color="auto" w:fill="auto"/>
            <w:noWrap/>
            <w:vAlign w:val="center"/>
            <w:hideMark/>
          </w:tcPr>
          <w:p w14:paraId="6C96266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74C70C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0,23</w:t>
            </w:r>
          </w:p>
        </w:tc>
        <w:tc>
          <w:tcPr>
            <w:tcW w:w="936" w:type="dxa"/>
            <w:tcBorders>
              <w:top w:val="nil"/>
              <w:left w:val="nil"/>
              <w:bottom w:val="nil"/>
              <w:right w:val="nil"/>
            </w:tcBorders>
            <w:shd w:val="clear" w:color="auto" w:fill="auto"/>
            <w:noWrap/>
            <w:vAlign w:val="center"/>
            <w:hideMark/>
          </w:tcPr>
          <w:p w14:paraId="2A90164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-0,22</w:t>
            </w:r>
          </w:p>
        </w:tc>
        <w:tc>
          <w:tcPr>
            <w:tcW w:w="936" w:type="dxa"/>
            <w:tcBorders>
              <w:top w:val="nil"/>
              <w:left w:val="nil"/>
              <w:bottom w:val="nil"/>
              <w:right w:val="nil"/>
            </w:tcBorders>
            <w:shd w:val="clear" w:color="auto" w:fill="auto"/>
            <w:noWrap/>
            <w:vAlign w:val="center"/>
            <w:hideMark/>
          </w:tcPr>
          <w:p w14:paraId="74B294C6"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020275F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374D00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24B2333E"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3B60ECF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26</w:t>
            </w:r>
          </w:p>
        </w:tc>
        <w:tc>
          <w:tcPr>
            <w:tcW w:w="5576" w:type="dxa"/>
            <w:tcBorders>
              <w:top w:val="nil"/>
              <w:left w:val="nil"/>
              <w:bottom w:val="nil"/>
              <w:right w:val="nil"/>
            </w:tcBorders>
            <w:shd w:val="clear" w:color="auto" w:fill="auto"/>
            <w:vAlign w:val="center"/>
            <w:hideMark/>
          </w:tcPr>
          <w:p w14:paraId="106FEFBE" w14:textId="77777777" w:rsidR="00992F16" w:rsidRPr="00992F16" w:rsidRDefault="00992F16" w:rsidP="0055392E">
            <w:pPr>
              <w:spacing w:after="0" w:line="240" w:lineRule="auto"/>
              <w:ind w:firstLine="0"/>
              <w:jc w:val="left"/>
              <w:rPr>
                <w:rFonts w:eastAsia="Times New Roman" w:cs="Times New Roman"/>
                <w:color w:val="000000"/>
                <w:sz w:val="18"/>
                <w:szCs w:val="18"/>
                <w:lang w:eastAsia="lv-LV"/>
              </w:rPr>
            </w:pPr>
            <w:r w:rsidRPr="00992F16">
              <w:rPr>
                <w:rFonts w:eastAsia="Times New Roman" w:cs="Times New Roman"/>
                <w:color w:val="000000"/>
                <w:sz w:val="18"/>
                <w:szCs w:val="18"/>
                <w:lang w:eastAsia="lv-LV"/>
              </w:rPr>
              <w:t>VSAOI griestu paaugstināšana</w:t>
            </w:r>
          </w:p>
        </w:tc>
        <w:tc>
          <w:tcPr>
            <w:tcW w:w="1036" w:type="dxa"/>
            <w:tcBorders>
              <w:top w:val="nil"/>
              <w:left w:val="nil"/>
              <w:bottom w:val="nil"/>
              <w:right w:val="nil"/>
            </w:tcBorders>
            <w:shd w:val="clear" w:color="auto" w:fill="auto"/>
            <w:noWrap/>
            <w:vAlign w:val="center"/>
            <w:hideMark/>
          </w:tcPr>
          <w:p w14:paraId="314CF2FD"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Nē</w:t>
            </w:r>
          </w:p>
        </w:tc>
        <w:tc>
          <w:tcPr>
            <w:tcW w:w="1004" w:type="dxa"/>
            <w:tcBorders>
              <w:top w:val="nil"/>
              <w:left w:val="nil"/>
              <w:bottom w:val="nil"/>
              <w:right w:val="nil"/>
            </w:tcBorders>
            <w:shd w:val="clear" w:color="auto" w:fill="auto"/>
            <w:noWrap/>
            <w:vAlign w:val="center"/>
            <w:hideMark/>
          </w:tcPr>
          <w:p w14:paraId="701298C4"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Ieņēmumi</w:t>
            </w:r>
          </w:p>
        </w:tc>
        <w:tc>
          <w:tcPr>
            <w:tcW w:w="792" w:type="dxa"/>
            <w:tcBorders>
              <w:top w:val="nil"/>
              <w:left w:val="nil"/>
              <w:bottom w:val="nil"/>
              <w:right w:val="nil"/>
            </w:tcBorders>
            <w:shd w:val="clear" w:color="auto" w:fill="auto"/>
            <w:noWrap/>
            <w:vAlign w:val="center"/>
            <w:hideMark/>
          </w:tcPr>
          <w:p w14:paraId="147B94A3" w14:textId="77777777" w:rsidR="00992F16" w:rsidRPr="00992F16" w:rsidRDefault="00992F16" w:rsidP="0055392E">
            <w:pPr>
              <w:spacing w:after="0" w:line="240" w:lineRule="auto"/>
              <w:ind w:firstLine="0"/>
              <w:jc w:val="center"/>
              <w:rPr>
                <w:rFonts w:eastAsia="Times New Roman" w:cs="Times New Roman"/>
                <w:sz w:val="18"/>
                <w:szCs w:val="18"/>
                <w:lang w:eastAsia="lv-LV"/>
              </w:rPr>
            </w:pPr>
            <w:r w:rsidRPr="00992F16">
              <w:rPr>
                <w:rFonts w:eastAsia="Times New Roman" w:cs="Times New Roman"/>
                <w:sz w:val="18"/>
                <w:szCs w:val="18"/>
                <w:lang w:eastAsia="lv-LV"/>
              </w:rPr>
              <w:t>D.61</w:t>
            </w:r>
          </w:p>
        </w:tc>
        <w:tc>
          <w:tcPr>
            <w:tcW w:w="936" w:type="dxa"/>
            <w:tcBorders>
              <w:top w:val="nil"/>
              <w:left w:val="nil"/>
              <w:bottom w:val="nil"/>
              <w:right w:val="nil"/>
            </w:tcBorders>
            <w:shd w:val="clear" w:color="auto" w:fill="auto"/>
            <w:noWrap/>
            <w:vAlign w:val="center"/>
            <w:hideMark/>
          </w:tcPr>
          <w:p w14:paraId="6401E763"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3816A751"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581DACE9"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0,04</w:t>
            </w:r>
          </w:p>
        </w:tc>
        <w:tc>
          <w:tcPr>
            <w:tcW w:w="936" w:type="dxa"/>
            <w:tcBorders>
              <w:top w:val="nil"/>
              <w:left w:val="nil"/>
              <w:bottom w:val="nil"/>
              <w:right w:val="nil"/>
            </w:tcBorders>
            <w:shd w:val="clear" w:color="auto" w:fill="auto"/>
            <w:noWrap/>
            <w:vAlign w:val="center"/>
            <w:hideMark/>
          </w:tcPr>
          <w:p w14:paraId="057F425C"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7E21837B"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c>
          <w:tcPr>
            <w:tcW w:w="936" w:type="dxa"/>
            <w:tcBorders>
              <w:top w:val="nil"/>
              <w:left w:val="nil"/>
              <w:bottom w:val="nil"/>
              <w:right w:val="nil"/>
            </w:tcBorders>
            <w:shd w:val="clear" w:color="auto" w:fill="auto"/>
            <w:noWrap/>
            <w:vAlign w:val="center"/>
            <w:hideMark/>
          </w:tcPr>
          <w:p w14:paraId="66BE117F" w14:textId="77777777" w:rsidR="00992F16" w:rsidRPr="00992F16" w:rsidRDefault="00992F16" w:rsidP="0055392E">
            <w:pPr>
              <w:spacing w:after="0" w:line="240" w:lineRule="auto"/>
              <w:ind w:firstLine="0"/>
              <w:jc w:val="center"/>
              <w:rPr>
                <w:rFonts w:eastAsia="Times New Roman" w:cs="Times New Roman"/>
                <w:color w:val="000000"/>
                <w:sz w:val="18"/>
                <w:szCs w:val="18"/>
                <w:lang w:eastAsia="lv-LV"/>
              </w:rPr>
            </w:pPr>
            <w:r w:rsidRPr="00992F16">
              <w:rPr>
                <w:rFonts w:eastAsia="Times New Roman" w:cs="Times New Roman"/>
                <w:color w:val="000000"/>
                <w:sz w:val="18"/>
                <w:szCs w:val="18"/>
                <w:lang w:eastAsia="lv-LV"/>
              </w:rPr>
              <w:t>0,00</w:t>
            </w:r>
          </w:p>
        </w:tc>
      </w:tr>
      <w:tr w:rsidR="00992F16" w:rsidRPr="00992F16" w14:paraId="0A578240" w14:textId="77777777" w:rsidTr="0055392E">
        <w:trPr>
          <w:trHeight w:val="300"/>
          <w:jc w:val="center"/>
        </w:trPr>
        <w:tc>
          <w:tcPr>
            <w:tcW w:w="476" w:type="dxa"/>
            <w:tcBorders>
              <w:top w:val="nil"/>
              <w:left w:val="nil"/>
              <w:bottom w:val="nil"/>
              <w:right w:val="nil"/>
            </w:tcBorders>
            <w:shd w:val="clear" w:color="000000" w:fill="95B3D7"/>
            <w:noWrap/>
            <w:vAlign w:val="center"/>
            <w:hideMark/>
          </w:tcPr>
          <w:p w14:paraId="63649FE6" w14:textId="242ADAB8" w:rsidR="00992F16" w:rsidRPr="00992F16" w:rsidRDefault="00992F16" w:rsidP="0055392E">
            <w:pPr>
              <w:spacing w:after="0" w:line="240" w:lineRule="auto"/>
              <w:ind w:firstLine="0"/>
              <w:jc w:val="center"/>
              <w:rPr>
                <w:rFonts w:eastAsia="Times New Roman" w:cs="Times New Roman"/>
                <w:color w:val="000000"/>
                <w:sz w:val="18"/>
                <w:szCs w:val="18"/>
                <w:lang w:eastAsia="lv-LV"/>
              </w:rPr>
            </w:pPr>
          </w:p>
        </w:tc>
        <w:tc>
          <w:tcPr>
            <w:tcW w:w="5576" w:type="dxa"/>
            <w:tcBorders>
              <w:top w:val="nil"/>
              <w:left w:val="nil"/>
              <w:bottom w:val="nil"/>
              <w:right w:val="nil"/>
            </w:tcBorders>
            <w:shd w:val="clear" w:color="auto" w:fill="BDD6EE"/>
            <w:vAlign w:val="center"/>
            <w:hideMark/>
          </w:tcPr>
          <w:p w14:paraId="2657143F" w14:textId="77777777" w:rsidR="00992F16" w:rsidRPr="00BB31A6" w:rsidRDefault="00992F16" w:rsidP="0055392E">
            <w:pPr>
              <w:spacing w:after="0" w:line="240" w:lineRule="auto"/>
              <w:ind w:firstLine="0"/>
              <w:jc w:val="left"/>
              <w:rPr>
                <w:rFonts w:eastAsia="Times New Roman" w:cs="Times New Roman"/>
                <w:b/>
                <w:bCs/>
                <w:sz w:val="18"/>
                <w:szCs w:val="18"/>
                <w:lang w:eastAsia="lv-LV"/>
              </w:rPr>
            </w:pPr>
            <w:r w:rsidRPr="00BB31A6">
              <w:rPr>
                <w:rFonts w:eastAsia="Times New Roman" w:cs="Times New Roman"/>
                <w:b/>
                <w:bCs/>
                <w:sz w:val="18"/>
                <w:szCs w:val="18"/>
                <w:lang w:eastAsia="lv-LV"/>
              </w:rPr>
              <w:t>KOPĀ</w:t>
            </w:r>
          </w:p>
        </w:tc>
        <w:tc>
          <w:tcPr>
            <w:tcW w:w="1036" w:type="dxa"/>
            <w:tcBorders>
              <w:top w:val="nil"/>
              <w:left w:val="nil"/>
              <w:bottom w:val="nil"/>
              <w:right w:val="nil"/>
            </w:tcBorders>
            <w:shd w:val="clear" w:color="auto" w:fill="BDD6EE"/>
            <w:vAlign w:val="center"/>
            <w:hideMark/>
          </w:tcPr>
          <w:p w14:paraId="75B0789E" w14:textId="1B158788" w:rsidR="00992F16" w:rsidRPr="00BB31A6" w:rsidRDefault="00992F16" w:rsidP="0055392E">
            <w:pPr>
              <w:spacing w:after="0" w:line="240" w:lineRule="auto"/>
              <w:ind w:firstLine="0"/>
              <w:jc w:val="center"/>
              <w:rPr>
                <w:rFonts w:eastAsia="Times New Roman" w:cs="Times New Roman"/>
                <w:b/>
                <w:bCs/>
                <w:sz w:val="18"/>
                <w:szCs w:val="18"/>
                <w:lang w:eastAsia="lv-LV"/>
              </w:rPr>
            </w:pPr>
          </w:p>
        </w:tc>
        <w:tc>
          <w:tcPr>
            <w:tcW w:w="1004" w:type="dxa"/>
            <w:tcBorders>
              <w:top w:val="nil"/>
              <w:left w:val="nil"/>
              <w:bottom w:val="nil"/>
              <w:right w:val="nil"/>
            </w:tcBorders>
            <w:shd w:val="clear" w:color="auto" w:fill="BDD6EE"/>
            <w:noWrap/>
            <w:vAlign w:val="center"/>
            <w:hideMark/>
          </w:tcPr>
          <w:p w14:paraId="0E104D66" w14:textId="23FD3936" w:rsidR="00992F16" w:rsidRPr="00BB31A6" w:rsidRDefault="00992F16" w:rsidP="0055392E">
            <w:pPr>
              <w:spacing w:after="0" w:line="240" w:lineRule="auto"/>
              <w:ind w:firstLine="0"/>
              <w:jc w:val="center"/>
              <w:rPr>
                <w:rFonts w:eastAsia="Times New Roman" w:cs="Times New Roman"/>
                <w:b/>
                <w:bCs/>
                <w:color w:val="31869B"/>
                <w:sz w:val="18"/>
                <w:szCs w:val="18"/>
                <w:lang w:eastAsia="lv-LV"/>
              </w:rPr>
            </w:pPr>
          </w:p>
        </w:tc>
        <w:tc>
          <w:tcPr>
            <w:tcW w:w="792" w:type="dxa"/>
            <w:tcBorders>
              <w:top w:val="nil"/>
              <w:left w:val="nil"/>
              <w:bottom w:val="nil"/>
              <w:right w:val="nil"/>
            </w:tcBorders>
            <w:shd w:val="clear" w:color="auto" w:fill="BDD6EE"/>
            <w:noWrap/>
            <w:vAlign w:val="center"/>
            <w:hideMark/>
          </w:tcPr>
          <w:p w14:paraId="2275E93F" w14:textId="44888710" w:rsidR="00992F16" w:rsidRPr="00BB31A6" w:rsidRDefault="00992F16" w:rsidP="0055392E">
            <w:pPr>
              <w:spacing w:after="0" w:line="240" w:lineRule="auto"/>
              <w:ind w:firstLine="0"/>
              <w:jc w:val="center"/>
              <w:rPr>
                <w:rFonts w:eastAsia="Times New Roman" w:cs="Times New Roman"/>
                <w:b/>
                <w:bCs/>
                <w:color w:val="000000"/>
                <w:sz w:val="18"/>
                <w:szCs w:val="18"/>
                <w:lang w:eastAsia="lv-LV"/>
              </w:rPr>
            </w:pPr>
          </w:p>
        </w:tc>
        <w:tc>
          <w:tcPr>
            <w:tcW w:w="936" w:type="dxa"/>
            <w:tcBorders>
              <w:top w:val="nil"/>
              <w:left w:val="nil"/>
              <w:bottom w:val="nil"/>
              <w:right w:val="nil"/>
            </w:tcBorders>
            <w:shd w:val="clear" w:color="auto" w:fill="BDD6EE"/>
            <w:noWrap/>
            <w:vAlign w:val="center"/>
            <w:hideMark/>
          </w:tcPr>
          <w:p w14:paraId="2081C94A" w14:textId="3C80BCC0" w:rsidR="00992F16" w:rsidRPr="00BB31A6" w:rsidRDefault="00992F16" w:rsidP="0055392E">
            <w:pPr>
              <w:spacing w:after="0" w:line="240" w:lineRule="auto"/>
              <w:ind w:firstLine="0"/>
              <w:jc w:val="center"/>
              <w:rPr>
                <w:rFonts w:eastAsia="Times New Roman" w:cs="Times New Roman"/>
                <w:b/>
                <w:bCs/>
                <w:color w:val="000000"/>
                <w:sz w:val="18"/>
                <w:szCs w:val="16"/>
                <w:lang w:eastAsia="lv-LV"/>
              </w:rPr>
            </w:pPr>
            <w:r w:rsidRPr="00BB31A6">
              <w:rPr>
                <w:b/>
                <w:bCs/>
                <w:sz w:val="18"/>
                <w:szCs w:val="16"/>
              </w:rPr>
              <w:t>-0,29</w:t>
            </w:r>
          </w:p>
        </w:tc>
        <w:tc>
          <w:tcPr>
            <w:tcW w:w="936" w:type="dxa"/>
            <w:tcBorders>
              <w:top w:val="nil"/>
              <w:left w:val="nil"/>
              <w:bottom w:val="nil"/>
              <w:right w:val="nil"/>
            </w:tcBorders>
            <w:shd w:val="clear" w:color="auto" w:fill="BDD6EE"/>
            <w:noWrap/>
            <w:vAlign w:val="center"/>
            <w:hideMark/>
          </w:tcPr>
          <w:p w14:paraId="2E13E696" w14:textId="7823215C" w:rsidR="00992F16" w:rsidRPr="00BB31A6" w:rsidRDefault="00992F16" w:rsidP="0055392E">
            <w:pPr>
              <w:spacing w:after="0" w:line="240" w:lineRule="auto"/>
              <w:ind w:firstLine="0"/>
              <w:jc w:val="center"/>
              <w:rPr>
                <w:rFonts w:eastAsia="Times New Roman" w:cs="Times New Roman"/>
                <w:b/>
                <w:bCs/>
                <w:color w:val="000000"/>
                <w:sz w:val="18"/>
                <w:szCs w:val="16"/>
                <w:lang w:eastAsia="lv-LV"/>
              </w:rPr>
            </w:pPr>
            <w:r w:rsidRPr="00BB31A6">
              <w:rPr>
                <w:b/>
                <w:bCs/>
                <w:sz w:val="18"/>
                <w:szCs w:val="16"/>
              </w:rPr>
              <w:t>0,85</w:t>
            </w:r>
          </w:p>
        </w:tc>
        <w:tc>
          <w:tcPr>
            <w:tcW w:w="936" w:type="dxa"/>
            <w:tcBorders>
              <w:top w:val="nil"/>
              <w:left w:val="nil"/>
              <w:bottom w:val="nil"/>
              <w:right w:val="nil"/>
            </w:tcBorders>
            <w:shd w:val="clear" w:color="auto" w:fill="BDD6EE"/>
            <w:noWrap/>
            <w:vAlign w:val="center"/>
            <w:hideMark/>
          </w:tcPr>
          <w:p w14:paraId="4C81E601" w14:textId="4D20F70B" w:rsidR="00992F16" w:rsidRPr="00BB31A6" w:rsidRDefault="00992F16" w:rsidP="0055392E">
            <w:pPr>
              <w:spacing w:after="0" w:line="240" w:lineRule="auto"/>
              <w:ind w:firstLine="0"/>
              <w:jc w:val="center"/>
              <w:rPr>
                <w:rFonts w:eastAsia="Times New Roman" w:cs="Times New Roman"/>
                <w:b/>
                <w:bCs/>
                <w:color w:val="000000"/>
                <w:sz w:val="18"/>
                <w:szCs w:val="16"/>
                <w:lang w:eastAsia="lv-LV"/>
              </w:rPr>
            </w:pPr>
            <w:r w:rsidRPr="00BB31A6">
              <w:rPr>
                <w:b/>
                <w:bCs/>
                <w:sz w:val="18"/>
                <w:szCs w:val="16"/>
              </w:rPr>
              <w:t>-0,50</w:t>
            </w:r>
          </w:p>
        </w:tc>
        <w:tc>
          <w:tcPr>
            <w:tcW w:w="936" w:type="dxa"/>
            <w:tcBorders>
              <w:top w:val="nil"/>
              <w:left w:val="nil"/>
              <w:bottom w:val="nil"/>
              <w:right w:val="nil"/>
            </w:tcBorders>
            <w:shd w:val="clear" w:color="auto" w:fill="BDD6EE"/>
            <w:noWrap/>
            <w:vAlign w:val="center"/>
            <w:hideMark/>
          </w:tcPr>
          <w:p w14:paraId="2E618237" w14:textId="478A52C1" w:rsidR="00992F16" w:rsidRPr="00BB31A6" w:rsidRDefault="00992F16" w:rsidP="0055392E">
            <w:pPr>
              <w:spacing w:after="0" w:line="240" w:lineRule="auto"/>
              <w:ind w:firstLine="0"/>
              <w:jc w:val="center"/>
              <w:rPr>
                <w:rFonts w:eastAsia="Times New Roman" w:cs="Times New Roman"/>
                <w:b/>
                <w:bCs/>
                <w:color w:val="000000"/>
                <w:sz w:val="18"/>
                <w:szCs w:val="16"/>
                <w:lang w:eastAsia="lv-LV"/>
              </w:rPr>
            </w:pPr>
            <w:r w:rsidRPr="00BB31A6">
              <w:rPr>
                <w:b/>
                <w:bCs/>
                <w:sz w:val="18"/>
                <w:szCs w:val="16"/>
              </w:rPr>
              <w:t>0,20</w:t>
            </w:r>
          </w:p>
        </w:tc>
        <w:tc>
          <w:tcPr>
            <w:tcW w:w="936" w:type="dxa"/>
            <w:tcBorders>
              <w:top w:val="nil"/>
              <w:left w:val="nil"/>
              <w:bottom w:val="nil"/>
              <w:right w:val="nil"/>
            </w:tcBorders>
            <w:shd w:val="clear" w:color="auto" w:fill="BDD6EE"/>
            <w:noWrap/>
            <w:vAlign w:val="center"/>
            <w:hideMark/>
          </w:tcPr>
          <w:p w14:paraId="6DCD4741" w14:textId="25E58820" w:rsidR="00992F16" w:rsidRPr="00BB31A6" w:rsidRDefault="00992F16" w:rsidP="0055392E">
            <w:pPr>
              <w:spacing w:after="0" w:line="240" w:lineRule="auto"/>
              <w:ind w:firstLine="0"/>
              <w:jc w:val="center"/>
              <w:rPr>
                <w:rFonts w:eastAsia="Times New Roman" w:cs="Times New Roman"/>
                <w:b/>
                <w:bCs/>
                <w:color w:val="000000"/>
                <w:sz w:val="18"/>
                <w:szCs w:val="16"/>
                <w:lang w:eastAsia="lv-LV"/>
              </w:rPr>
            </w:pPr>
            <w:r w:rsidRPr="00BB31A6">
              <w:rPr>
                <w:b/>
                <w:bCs/>
                <w:sz w:val="18"/>
                <w:szCs w:val="16"/>
              </w:rPr>
              <w:t>0,00</w:t>
            </w:r>
          </w:p>
        </w:tc>
        <w:tc>
          <w:tcPr>
            <w:tcW w:w="936" w:type="dxa"/>
            <w:tcBorders>
              <w:top w:val="nil"/>
              <w:left w:val="nil"/>
              <w:bottom w:val="nil"/>
              <w:right w:val="nil"/>
            </w:tcBorders>
            <w:shd w:val="clear" w:color="auto" w:fill="BDD6EE"/>
            <w:noWrap/>
            <w:vAlign w:val="center"/>
            <w:hideMark/>
          </w:tcPr>
          <w:p w14:paraId="77336931" w14:textId="3813A00C" w:rsidR="00992F16" w:rsidRPr="00BB31A6" w:rsidRDefault="00992F16" w:rsidP="0055392E">
            <w:pPr>
              <w:spacing w:after="0" w:line="240" w:lineRule="auto"/>
              <w:ind w:firstLine="0"/>
              <w:jc w:val="center"/>
              <w:rPr>
                <w:rFonts w:eastAsia="Times New Roman" w:cs="Times New Roman"/>
                <w:b/>
                <w:bCs/>
                <w:color w:val="000000"/>
                <w:sz w:val="18"/>
                <w:szCs w:val="16"/>
                <w:lang w:eastAsia="lv-LV"/>
              </w:rPr>
            </w:pPr>
            <w:r w:rsidRPr="00BB31A6">
              <w:rPr>
                <w:b/>
                <w:bCs/>
                <w:sz w:val="18"/>
                <w:szCs w:val="16"/>
              </w:rPr>
              <w:t>0,00</w:t>
            </w:r>
          </w:p>
        </w:tc>
      </w:tr>
    </w:tbl>
    <w:p w14:paraId="5AEC4E78" w14:textId="0D0A5BD8" w:rsidR="005A4348" w:rsidRPr="00AB1ADE" w:rsidRDefault="001E75E4" w:rsidP="006357B3">
      <w:pPr>
        <w:pStyle w:val="Heading2"/>
        <w:numPr>
          <w:ilvl w:val="0"/>
          <w:numId w:val="0"/>
        </w:numPr>
        <w:spacing w:before="240" w:after="240" w:line="240" w:lineRule="auto"/>
        <w:rPr>
          <w:rFonts w:eastAsia="Times New Roman" w:cs="Times New Roman"/>
          <w:sz w:val="28"/>
          <w:szCs w:val="24"/>
        </w:rPr>
      </w:pPr>
      <w:bookmarkStart w:id="43" w:name="_Toc179540637"/>
      <w:r w:rsidRPr="00AB1ADE">
        <w:rPr>
          <w:rFonts w:eastAsia="Times New Roman" w:cs="Times New Roman"/>
          <w:sz w:val="28"/>
          <w:szCs w:val="24"/>
        </w:rPr>
        <w:lastRenderedPageBreak/>
        <w:t>7</w:t>
      </w:r>
      <w:r w:rsidR="005A4348" w:rsidRPr="00AB1ADE">
        <w:rPr>
          <w:rFonts w:eastAsia="Times New Roman" w:cs="Times New Roman"/>
          <w:sz w:val="28"/>
          <w:szCs w:val="24"/>
        </w:rPr>
        <w:t>.2. Jaunie pasākumi</w:t>
      </w:r>
      <w:bookmarkEnd w:id="43"/>
    </w:p>
    <w:p w14:paraId="4DFB0E4C" w14:textId="0A0B730A" w:rsidR="005A4348" w:rsidRPr="002869EC" w:rsidRDefault="00FA1949" w:rsidP="006357B3">
      <w:pPr>
        <w:spacing w:line="240" w:lineRule="auto"/>
        <w:rPr>
          <w:rFonts w:cs="Times New Roman"/>
          <w:szCs w:val="20"/>
        </w:rPr>
      </w:pPr>
      <w:r>
        <w:rPr>
          <w:rFonts w:cs="Times New Roman"/>
          <w:szCs w:val="20"/>
        </w:rPr>
        <w:t xml:space="preserve">Jaunie pasākumi ietver </w:t>
      </w:r>
      <w:proofErr w:type="spellStart"/>
      <w:r>
        <w:rPr>
          <w:rFonts w:cs="Times New Roman"/>
          <w:szCs w:val="20"/>
        </w:rPr>
        <w:t>diskrecionāros</w:t>
      </w:r>
      <w:proofErr w:type="spellEnd"/>
      <w:r>
        <w:rPr>
          <w:rFonts w:cs="Times New Roman"/>
          <w:szCs w:val="20"/>
        </w:rPr>
        <w:t xml:space="preserve"> un </w:t>
      </w:r>
      <w:proofErr w:type="spellStart"/>
      <w:r>
        <w:rPr>
          <w:rFonts w:cs="Times New Roman"/>
          <w:szCs w:val="20"/>
        </w:rPr>
        <w:t>nediskrecionāros</w:t>
      </w:r>
      <w:proofErr w:type="spellEnd"/>
      <w:r>
        <w:rPr>
          <w:rFonts w:cs="Times New Roman"/>
          <w:szCs w:val="20"/>
        </w:rPr>
        <w:t xml:space="preserve"> ieņēmumu pasākumus un izdevumu pasākumus, tai skaitā ir ietverti ieņēmumu un izdevumu pasākumi</w:t>
      </w:r>
      <w:r w:rsidR="0008559F">
        <w:rPr>
          <w:rFonts w:cs="Times New Roman"/>
          <w:szCs w:val="20"/>
        </w:rPr>
        <w:t>. Atsevišķi sniegta informācija par pasākumiem,</w:t>
      </w:r>
      <w:r>
        <w:rPr>
          <w:rFonts w:cs="Times New Roman"/>
          <w:szCs w:val="20"/>
        </w:rPr>
        <w:t xml:space="preserve"> kas pieņemti nodokļu pārskatīšanas ietvaros.</w:t>
      </w:r>
    </w:p>
    <w:p w14:paraId="368B3121" w14:textId="71194496" w:rsidR="005A4348" w:rsidRPr="002869EC" w:rsidRDefault="001E75E4" w:rsidP="006357B3">
      <w:pPr>
        <w:pStyle w:val="Heading3"/>
        <w:numPr>
          <w:ilvl w:val="0"/>
          <w:numId w:val="0"/>
        </w:numPr>
        <w:spacing w:line="240" w:lineRule="auto"/>
        <w:jc w:val="center"/>
      </w:pPr>
      <w:bookmarkStart w:id="44" w:name="_Toc179540638"/>
      <w:r>
        <w:t>7</w:t>
      </w:r>
      <w:r w:rsidR="005A4348" w:rsidRPr="002869EC">
        <w:t xml:space="preserve">.2.1. Jaunie </w:t>
      </w:r>
      <w:proofErr w:type="spellStart"/>
      <w:r w:rsidR="005A4348" w:rsidRPr="002869EC">
        <w:t>diskrecionārie</w:t>
      </w:r>
      <w:proofErr w:type="spellEnd"/>
      <w:r w:rsidR="005A4348" w:rsidRPr="002869EC">
        <w:t xml:space="preserve"> ieņēmumu pasākumi</w:t>
      </w:r>
      <w:bookmarkEnd w:id="44"/>
    </w:p>
    <w:p w14:paraId="2585AD1D" w14:textId="07F7DC5F" w:rsidR="002F1103" w:rsidRPr="00BB31A6" w:rsidRDefault="000C5CF0" w:rsidP="006357B3">
      <w:pPr>
        <w:spacing w:line="240" w:lineRule="auto"/>
        <w:jc w:val="right"/>
        <w:rPr>
          <w:rFonts w:cs="Times New Roman"/>
          <w:b/>
          <w:bCs/>
          <w:szCs w:val="20"/>
        </w:rPr>
      </w:pPr>
      <w:r>
        <w:rPr>
          <w:rFonts w:cs="Times New Roman"/>
          <w:b/>
          <w:bCs/>
          <w:szCs w:val="20"/>
        </w:rPr>
        <w:t>K</w:t>
      </w:r>
      <w:r w:rsidR="002F1103" w:rsidRPr="00BB31A6">
        <w:rPr>
          <w:rFonts w:cs="Times New Roman"/>
          <w:b/>
          <w:bCs/>
          <w:szCs w:val="20"/>
        </w:rPr>
        <w:t xml:space="preserve">. </w:t>
      </w:r>
      <w:r w:rsidR="00FA1949" w:rsidRPr="00BB31A6">
        <w:rPr>
          <w:rFonts w:cs="Times New Roman"/>
          <w:b/>
          <w:bCs/>
          <w:szCs w:val="20"/>
        </w:rPr>
        <w:t>Tabula</w:t>
      </w:r>
      <w:r w:rsidR="002F1103" w:rsidRPr="00BB31A6">
        <w:rPr>
          <w:rFonts w:cs="Times New Roman"/>
          <w:b/>
          <w:bCs/>
          <w:szCs w:val="20"/>
        </w:rPr>
        <w:t xml:space="preserve">. Jauno </w:t>
      </w:r>
      <w:proofErr w:type="spellStart"/>
      <w:r w:rsidR="002F1103" w:rsidRPr="00BB31A6">
        <w:rPr>
          <w:rFonts w:cs="Times New Roman"/>
          <w:b/>
          <w:bCs/>
          <w:szCs w:val="20"/>
        </w:rPr>
        <w:t>diskrecionāro</w:t>
      </w:r>
      <w:proofErr w:type="spellEnd"/>
      <w:r w:rsidR="002F1103" w:rsidRPr="00BB31A6">
        <w:rPr>
          <w:rFonts w:cs="Times New Roman"/>
          <w:b/>
          <w:bCs/>
          <w:szCs w:val="20"/>
        </w:rPr>
        <w:t xml:space="preserve"> ieņēmumu pasākumu paredzamā ietekme</w:t>
      </w:r>
    </w:p>
    <w:tbl>
      <w:tblPr>
        <w:tblW w:w="14074" w:type="dxa"/>
        <w:jc w:val="center"/>
        <w:tblLook w:val="04A0" w:firstRow="1" w:lastRow="0" w:firstColumn="1" w:lastColumn="0" w:noHBand="0" w:noVBand="1"/>
      </w:tblPr>
      <w:tblGrid>
        <w:gridCol w:w="426"/>
        <w:gridCol w:w="6088"/>
        <w:gridCol w:w="1080"/>
        <w:gridCol w:w="1080"/>
        <w:gridCol w:w="1080"/>
        <w:gridCol w:w="1080"/>
        <w:gridCol w:w="1080"/>
        <w:gridCol w:w="1080"/>
        <w:gridCol w:w="1080"/>
      </w:tblGrid>
      <w:tr w:rsidR="006B09C4" w:rsidRPr="002F1103" w14:paraId="5A47C566" w14:textId="77777777" w:rsidTr="000C5CF0">
        <w:trPr>
          <w:trHeight w:val="480"/>
          <w:tblHeader/>
          <w:jc w:val="center"/>
        </w:trPr>
        <w:tc>
          <w:tcPr>
            <w:tcW w:w="426" w:type="dxa"/>
            <w:tcBorders>
              <w:top w:val="nil"/>
              <w:left w:val="nil"/>
              <w:bottom w:val="nil"/>
              <w:right w:val="nil"/>
            </w:tcBorders>
            <w:shd w:val="clear" w:color="auto" w:fill="D9E2F3" w:themeFill="accent5" w:themeFillTint="33"/>
            <w:noWrap/>
            <w:vAlign w:val="bottom"/>
            <w:hideMark/>
          </w:tcPr>
          <w:p w14:paraId="61769A3A" w14:textId="77777777" w:rsidR="002F1103" w:rsidRPr="002F1103" w:rsidRDefault="002F1103" w:rsidP="006357B3">
            <w:pPr>
              <w:spacing w:after="0" w:line="240" w:lineRule="auto"/>
              <w:ind w:firstLine="0"/>
              <w:jc w:val="left"/>
              <w:rPr>
                <w:rFonts w:eastAsia="Times New Roman" w:cs="Times New Roman"/>
                <w:sz w:val="20"/>
                <w:szCs w:val="24"/>
                <w:lang w:eastAsia="lv-LV"/>
              </w:rPr>
            </w:pPr>
          </w:p>
        </w:tc>
        <w:tc>
          <w:tcPr>
            <w:tcW w:w="6088" w:type="dxa"/>
            <w:tcBorders>
              <w:top w:val="nil"/>
              <w:left w:val="nil"/>
              <w:bottom w:val="nil"/>
              <w:right w:val="nil"/>
            </w:tcBorders>
            <w:shd w:val="clear" w:color="auto" w:fill="D9E2F3" w:themeFill="accent5" w:themeFillTint="33"/>
            <w:noWrap/>
            <w:vAlign w:val="bottom"/>
            <w:hideMark/>
          </w:tcPr>
          <w:p w14:paraId="1E07987C" w14:textId="77777777" w:rsidR="002F1103" w:rsidRPr="002F1103" w:rsidRDefault="002F1103" w:rsidP="006357B3">
            <w:pPr>
              <w:spacing w:after="0" w:line="240" w:lineRule="auto"/>
              <w:ind w:firstLine="0"/>
              <w:jc w:val="left"/>
              <w:rPr>
                <w:rFonts w:eastAsia="Times New Roman" w:cs="Times New Roman"/>
                <w:sz w:val="20"/>
                <w:szCs w:val="20"/>
                <w:lang w:eastAsia="lv-LV"/>
              </w:rPr>
            </w:pPr>
          </w:p>
        </w:tc>
        <w:tc>
          <w:tcPr>
            <w:tcW w:w="1080" w:type="dxa"/>
            <w:tcBorders>
              <w:top w:val="nil"/>
              <w:left w:val="nil"/>
              <w:bottom w:val="nil"/>
              <w:right w:val="nil"/>
            </w:tcBorders>
            <w:shd w:val="clear" w:color="auto" w:fill="D9E2F3" w:themeFill="accent5" w:themeFillTint="33"/>
            <w:noWrap/>
            <w:vAlign w:val="center"/>
            <w:hideMark/>
          </w:tcPr>
          <w:p w14:paraId="247198B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Vienreizējs</w:t>
            </w:r>
          </w:p>
        </w:tc>
        <w:tc>
          <w:tcPr>
            <w:tcW w:w="1080" w:type="dxa"/>
            <w:tcBorders>
              <w:top w:val="nil"/>
              <w:left w:val="nil"/>
              <w:bottom w:val="nil"/>
              <w:right w:val="nil"/>
            </w:tcBorders>
            <w:shd w:val="clear" w:color="auto" w:fill="D9E2F3" w:themeFill="accent5" w:themeFillTint="33"/>
            <w:vAlign w:val="center"/>
            <w:hideMark/>
          </w:tcPr>
          <w:p w14:paraId="34FCDC9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Izdevumi/ ieņēmumi</w:t>
            </w:r>
          </w:p>
        </w:tc>
        <w:tc>
          <w:tcPr>
            <w:tcW w:w="1080" w:type="dxa"/>
            <w:tcBorders>
              <w:top w:val="nil"/>
              <w:left w:val="nil"/>
              <w:bottom w:val="nil"/>
              <w:right w:val="nil"/>
            </w:tcBorders>
            <w:shd w:val="clear" w:color="auto" w:fill="D9E2F3" w:themeFill="accent5" w:themeFillTint="33"/>
            <w:vAlign w:val="center"/>
            <w:hideMark/>
          </w:tcPr>
          <w:p w14:paraId="63A6FEC4"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EKS kods</w:t>
            </w:r>
          </w:p>
        </w:tc>
        <w:tc>
          <w:tcPr>
            <w:tcW w:w="1080" w:type="dxa"/>
            <w:tcBorders>
              <w:top w:val="nil"/>
              <w:left w:val="nil"/>
              <w:bottom w:val="nil"/>
              <w:right w:val="nil"/>
            </w:tcBorders>
            <w:shd w:val="clear" w:color="000000" w:fill="95B3D7"/>
            <w:noWrap/>
            <w:vAlign w:val="center"/>
            <w:hideMark/>
          </w:tcPr>
          <w:p w14:paraId="18889FB7"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2025</w:t>
            </w:r>
          </w:p>
        </w:tc>
        <w:tc>
          <w:tcPr>
            <w:tcW w:w="1080" w:type="dxa"/>
            <w:tcBorders>
              <w:top w:val="nil"/>
              <w:left w:val="nil"/>
              <w:bottom w:val="nil"/>
              <w:right w:val="nil"/>
            </w:tcBorders>
            <w:shd w:val="clear" w:color="000000" w:fill="95B3D7"/>
            <w:noWrap/>
            <w:vAlign w:val="center"/>
            <w:hideMark/>
          </w:tcPr>
          <w:p w14:paraId="4C63E248"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2026</w:t>
            </w:r>
          </w:p>
        </w:tc>
        <w:tc>
          <w:tcPr>
            <w:tcW w:w="1080" w:type="dxa"/>
            <w:tcBorders>
              <w:top w:val="nil"/>
              <w:left w:val="nil"/>
              <w:bottom w:val="nil"/>
              <w:right w:val="nil"/>
            </w:tcBorders>
            <w:shd w:val="clear" w:color="000000" w:fill="95B3D7"/>
            <w:noWrap/>
            <w:vAlign w:val="center"/>
            <w:hideMark/>
          </w:tcPr>
          <w:p w14:paraId="2EECC3D7"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2027</w:t>
            </w:r>
          </w:p>
        </w:tc>
        <w:tc>
          <w:tcPr>
            <w:tcW w:w="1080" w:type="dxa"/>
            <w:tcBorders>
              <w:top w:val="nil"/>
              <w:left w:val="nil"/>
              <w:bottom w:val="nil"/>
              <w:right w:val="nil"/>
            </w:tcBorders>
            <w:shd w:val="clear" w:color="000000" w:fill="95B3D7"/>
            <w:noWrap/>
            <w:vAlign w:val="center"/>
            <w:hideMark/>
          </w:tcPr>
          <w:p w14:paraId="4C21E739"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2028</w:t>
            </w:r>
          </w:p>
        </w:tc>
      </w:tr>
      <w:tr w:rsidR="002F1103" w:rsidRPr="002F1103" w14:paraId="75C4963B" w14:textId="77777777" w:rsidTr="000C5CF0">
        <w:trPr>
          <w:trHeight w:val="315"/>
          <w:tblHeader/>
          <w:jc w:val="center"/>
        </w:trPr>
        <w:tc>
          <w:tcPr>
            <w:tcW w:w="426" w:type="dxa"/>
            <w:tcBorders>
              <w:top w:val="nil"/>
              <w:left w:val="nil"/>
              <w:bottom w:val="nil"/>
              <w:right w:val="nil"/>
            </w:tcBorders>
            <w:shd w:val="clear" w:color="000000" w:fill="95B3D7"/>
            <w:noWrap/>
            <w:vAlign w:val="center"/>
            <w:hideMark/>
          </w:tcPr>
          <w:p w14:paraId="43A99966"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 </w:t>
            </w:r>
          </w:p>
        </w:tc>
        <w:tc>
          <w:tcPr>
            <w:tcW w:w="6088" w:type="dxa"/>
            <w:tcBorders>
              <w:top w:val="nil"/>
              <w:left w:val="nil"/>
              <w:bottom w:val="nil"/>
              <w:right w:val="nil"/>
            </w:tcBorders>
            <w:shd w:val="clear" w:color="000000" w:fill="95B3D7"/>
            <w:vAlign w:val="center"/>
            <w:hideMark/>
          </w:tcPr>
          <w:p w14:paraId="5C6EA3A9" w14:textId="77777777" w:rsidR="002F1103" w:rsidRPr="002F1103" w:rsidRDefault="002F1103" w:rsidP="006357B3">
            <w:pPr>
              <w:spacing w:after="0" w:line="240" w:lineRule="auto"/>
              <w:ind w:firstLine="0"/>
              <w:jc w:val="left"/>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Nosaukums/pasākuma apraksts</w:t>
            </w:r>
          </w:p>
        </w:tc>
        <w:tc>
          <w:tcPr>
            <w:tcW w:w="1080" w:type="dxa"/>
            <w:tcBorders>
              <w:top w:val="nil"/>
              <w:left w:val="nil"/>
              <w:bottom w:val="nil"/>
              <w:right w:val="nil"/>
            </w:tcBorders>
            <w:shd w:val="clear" w:color="000000" w:fill="95B3D7"/>
            <w:vAlign w:val="center"/>
            <w:hideMark/>
          </w:tcPr>
          <w:p w14:paraId="1B8980C9" w14:textId="77777777" w:rsidR="002F1103" w:rsidRPr="002F1103" w:rsidRDefault="002F1103" w:rsidP="006357B3">
            <w:pPr>
              <w:spacing w:after="0" w:line="240" w:lineRule="auto"/>
              <w:ind w:firstLine="0"/>
              <w:jc w:val="left"/>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95B3D7"/>
            <w:vAlign w:val="center"/>
            <w:hideMark/>
          </w:tcPr>
          <w:p w14:paraId="051E5233" w14:textId="77777777" w:rsidR="002F1103" w:rsidRPr="002F1103" w:rsidRDefault="002F1103" w:rsidP="006357B3">
            <w:pPr>
              <w:spacing w:after="0" w:line="240" w:lineRule="auto"/>
              <w:ind w:firstLine="0"/>
              <w:jc w:val="left"/>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95B3D7"/>
            <w:vAlign w:val="center"/>
            <w:hideMark/>
          </w:tcPr>
          <w:p w14:paraId="7744245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 </w:t>
            </w:r>
          </w:p>
        </w:tc>
        <w:tc>
          <w:tcPr>
            <w:tcW w:w="1080" w:type="dxa"/>
            <w:tcBorders>
              <w:top w:val="nil"/>
              <w:left w:val="nil"/>
              <w:bottom w:val="nil"/>
              <w:right w:val="nil"/>
            </w:tcBorders>
            <w:shd w:val="clear" w:color="000000" w:fill="95B3D7"/>
            <w:noWrap/>
            <w:vAlign w:val="center"/>
            <w:hideMark/>
          </w:tcPr>
          <w:p w14:paraId="0C326E0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05B3CF5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5E2643C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7D02F6D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 no IKP</w:t>
            </w:r>
          </w:p>
        </w:tc>
      </w:tr>
      <w:tr w:rsidR="006B09C4" w:rsidRPr="002F1103" w14:paraId="76E93371"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11C446A7"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w:t>
            </w:r>
          </w:p>
        </w:tc>
        <w:tc>
          <w:tcPr>
            <w:tcW w:w="6088" w:type="dxa"/>
            <w:tcBorders>
              <w:top w:val="nil"/>
              <w:left w:val="nil"/>
              <w:bottom w:val="nil"/>
              <w:right w:val="nil"/>
            </w:tcBorders>
            <w:shd w:val="clear" w:color="auto" w:fill="auto"/>
            <w:vAlign w:val="center"/>
            <w:hideMark/>
          </w:tcPr>
          <w:p w14:paraId="31D739D4"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Solidaritātes iemaksa (bankas), UIN daļa</w:t>
            </w:r>
          </w:p>
        </w:tc>
        <w:tc>
          <w:tcPr>
            <w:tcW w:w="1080" w:type="dxa"/>
            <w:tcBorders>
              <w:top w:val="nil"/>
              <w:left w:val="nil"/>
              <w:bottom w:val="nil"/>
              <w:right w:val="nil"/>
            </w:tcBorders>
            <w:shd w:val="clear" w:color="auto" w:fill="auto"/>
            <w:noWrap/>
            <w:vAlign w:val="center"/>
            <w:hideMark/>
          </w:tcPr>
          <w:p w14:paraId="28D2469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5EB011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396DC2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0D8982F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F72F92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28CE285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7ED4D5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0,04</w:t>
            </w:r>
          </w:p>
        </w:tc>
      </w:tr>
      <w:tr w:rsidR="006B09C4" w:rsidRPr="002F1103" w14:paraId="0F83BC50"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5340D0D4"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w:t>
            </w:r>
          </w:p>
        </w:tc>
        <w:tc>
          <w:tcPr>
            <w:tcW w:w="6088" w:type="dxa"/>
            <w:tcBorders>
              <w:top w:val="nil"/>
              <w:left w:val="nil"/>
              <w:bottom w:val="nil"/>
              <w:right w:val="nil"/>
            </w:tcBorders>
            <w:shd w:val="clear" w:color="auto" w:fill="auto"/>
            <w:vAlign w:val="center"/>
            <w:hideMark/>
          </w:tcPr>
          <w:p w14:paraId="78983EA9"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Solidaritātes iemaksa (bankas)</w:t>
            </w:r>
          </w:p>
        </w:tc>
        <w:tc>
          <w:tcPr>
            <w:tcW w:w="1080" w:type="dxa"/>
            <w:tcBorders>
              <w:top w:val="nil"/>
              <w:left w:val="nil"/>
              <w:bottom w:val="nil"/>
              <w:right w:val="nil"/>
            </w:tcBorders>
            <w:shd w:val="clear" w:color="auto" w:fill="auto"/>
            <w:noWrap/>
            <w:vAlign w:val="center"/>
            <w:hideMark/>
          </w:tcPr>
          <w:p w14:paraId="03A8DDF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0574CD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02B388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0524993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0,28</w:t>
            </w:r>
          </w:p>
        </w:tc>
        <w:tc>
          <w:tcPr>
            <w:tcW w:w="1080" w:type="dxa"/>
            <w:tcBorders>
              <w:top w:val="nil"/>
              <w:left w:val="nil"/>
              <w:bottom w:val="nil"/>
              <w:right w:val="nil"/>
            </w:tcBorders>
            <w:shd w:val="clear" w:color="auto" w:fill="auto"/>
            <w:noWrap/>
            <w:vAlign w:val="center"/>
            <w:hideMark/>
          </w:tcPr>
          <w:p w14:paraId="6817AD9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-0,07</w:t>
            </w:r>
          </w:p>
        </w:tc>
        <w:tc>
          <w:tcPr>
            <w:tcW w:w="1080" w:type="dxa"/>
            <w:tcBorders>
              <w:top w:val="nil"/>
              <w:left w:val="nil"/>
              <w:bottom w:val="nil"/>
              <w:right w:val="nil"/>
            </w:tcBorders>
            <w:shd w:val="clear" w:color="auto" w:fill="auto"/>
            <w:noWrap/>
            <w:vAlign w:val="center"/>
            <w:hideMark/>
          </w:tcPr>
          <w:p w14:paraId="6F6BAAC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082CF1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-0,22</w:t>
            </w:r>
          </w:p>
        </w:tc>
      </w:tr>
      <w:tr w:rsidR="006B09C4" w:rsidRPr="002F1103" w14:paraId="4F1EC4BF"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28C2F9B1"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w:t>
            </w:r>
          </w:p>
        </w:tc>
        <w:tc>
          <w:tcPr>
            <w:tcW w:w="6088" w:type="dxa"/>
            <w:tcBorders>
              <w:top w:val="nil"/>
              <w:left w:val="nil"/>
              <w:bottom w:val="nil"/>
              <w:right w:val="nil"/>
            </w:tcBorders>
            <w:shd w:val="clear" w:color="auto" w:fill="auto"/>
            <w:vAlign w:val="center"/>
            <w:hideMark/>
          </w:tcPr>
          <w:p w14:paraId="5AF1D3CA" w14:textId="0620A706"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 xml:space="preserve">DRN likmes palielināšana akmeņoglēm, koksam un </w:t>
            </w:r>
            <w:proofErr w:type="spellStart"/>
            <w:r w:rsidRPr="002F1103">
              <w:rPr>
                <w:rFonts w:eastAsia="Times New Roman" w:cs="Times New Roman"/>
                <w:color w:val="000000"/>
                <w:sz w:val="18"/>
                <w:szCs w:val="18"/>
                <w:lang w:eastAsia="lv-LV"/>
              </w:rPr>
              <w:t>lignītam</w:t>
            </w:r>
            <w:proofErr w:type="spellEnd"/>
            <w:r w:rsidRPr="002F1103">
              <w:rPr>
                <w:rFonts w:eastAsia="Times New Roman" w:cs="Times New Roman"/>
                <w:color w:val="000000"/>
                <w:sz w:val="18"/>
                <w:szCs w:val="18"/>
                <w:lang w:eastAsia="lv-LV"/>
              </w:rPr>
              <w:t xml:space="preserve"> (brūnoglēm)</w:t>
            </w:r>
          </w:p>
        </w:tc>
        <w:tc>
          <w:tcPr>
            <w:tcW w:w="1080" w:type="dxa"/>
            <w:tcBorders>
              <w:top w:val="nil"/>
              <w:left w:val="nil"/>
              <w:bottom w:val="nil"/>
              <w:right w:val="nil"/>
            </w:tcBorders>
            <w:shd w:val="clear" w:color="auto" w:fill="auto"/>
            <w:noWrap/>
            <w:vAlign w:val="center"/>
            <w:hideMark/>
          </w:tcPr>
          <w:p w14:paraId="0A56DA1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0F9081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CB8E1A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4BB5A87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30C030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EDC95F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F729CB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0C658C99"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2ED866C6"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4</w:t>
            </w:r>
          </w:p>
        </w:tc>
        <w:tc>
          <w:tcPr>
            <w:tcW w:w="6088" w:type="dxa"/>
            <w:tcBorders>
              <w:top w:val="nil"/>
              <w:left w:val="nil"/>
              <w:bottom w:val="nil"/>
              <w:right w:val="nil"/>
            </w:tcBorders>
            <w:shd w:val="clear" w:color="auto" w:fill="auto"/>
            <w:vAlign w:val="center"/>
            <w:hideMark/>
          </w:tcPr>
          <w:p w14:paraId="3EEB8070"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TEN likmju palielināšana un izmaiņas samaksas termiņā</w:t>
            </w:r>
          </w:p>
        </w:tc>
        <w:tc>
          <w:tcPr>
            <w:tcW w:w="1080" w:type="dxa"/>
            <w:tcBorders>
              <w:top w:val="nil"/>
              <w:left w:val="nil"/>
              <w:bottom w:val="nil"/>
              <w:right w:val="nil"/>
            </w:tcBorders>
            <w:shd w:val="clear" w:color="auto" w:fill="auto"/>
            <w:noWrap/>
            <w:vAlign w:val="center"/>
            <w:hideMark/>
          </w:tcPr>
          <w:p w14:paraId="6BAB1F9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EE84BC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50AF323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6C26083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0A156A6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2A02EE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63488A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4291B5AC"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2BF67192"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5</w:t>
            </w:r>
          </w:p>
        </w:tc>
        <w:tc>
          <w:tcPr>
            <w:tcW w:w="6088" w:type="dxa"/>
            <w:tcBorders>
              <w:top w:val="nil"/>
              <w:left w:val="nil"/>
              <w:bottom w:val="nil"/>
              <w:right w:val="nil"/>
            </w:tcBorders>
            <w:shd w:val="clear" w:color="auto" w:fill="auto"/>
            <w:vAlign w:val="center"/>
            <w:hideMark/>
          </w:tcPr>
          <w:p w14:paraId="286FB659"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UVTN likmju palielināšana</w:t>
            </w:r>
          </w:p>
        </w:tc>
        <w:tc>
          <w:tcPr>
            <w:tcW w:w="1080" w:type="dxa"/>
            <w:tcBorders>
              <w:top w:val="nil"/>
              <w:left w:val="nil"/>
              <w:bottom w:val="nil"/>
              <w:right w:val="nil"/>
            </w:tcBorders>
            <w:shd w:val="clear" w:color="auto" w:fill="auto"/>
            <w:noWrap/>
            <w:vAlign w:val="center"/>
            <w:hideMark/>
          </w:tcPr>
          <w:p w14:paraId="60B332A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5ABCF1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B359B8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129D280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216143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411B91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06F5F1D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42ABC3C4"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1CE29E4C"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6</w:t>
            </w:r>
          </w:p>
        </w:tc>
        <w:tc>
          <w:tcPr>
            <w:tcW w:w="6088" w:type="dxa"/>
            <w:tcBorders>
              <w:top w:val="nil"/>
              <w:left w:val="nil"/>
              <w:bottom w:val="nil"/>
              <w:right w:val="nil"/>
            </w:tcBorders>
            <w:shd w:val="clear" w:color="auto" w:fill="auto"/>
            <w:vAlign w:val="center"/>
            <w:hideMark/>
          </w:tcPr>
          <w:p w14:paraId="3CDF7DAF"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Izložu nodokļa likmes palielināšana</w:t>
            </w:r>
          </w:p>
        </w:tc>
        <w:tc>
          <w:tcPr>
            <w:tcW w:w="1080" w:type="dxa"/>
            <w:tcBorders>
              <w:top w:val="nil"/>
              <w:left w:val="nil"/>
              <w:bottom w:val="nil"/>
              <w:right w:val="nil"/>
            </w:tcBorders>
            <w:shd w:val="clear" w:color="auto" w:fill="auto"/>
            <w:noWrap/>
            <w:vAlign w:val="center"/>
            <w:hideMark/>
          </w:tcPr>
          <w:p w14:paraId="64E585A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444504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5BC85EA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30E4029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64501A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05C20A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95CA19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25F49EFC"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4ED3DC38"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7</w:t>
            </w:r>
          </w:p>
        </w:tc>
        <w:tc>
          <w:tcPr>
            <w:tcW w:w="6088" w:type="dxa"/>
            <w:tcBorders>
              <w:top w:val="nil"/>
              <w:left w:val="nil"/>
              <w:bottom w:val="nil"/>
              <w:right w:val="nil"/>
            </w:tcBorders>
            <w:shd w:val="clear" w:color="auto" w:fill="auto"/>
            <w:vAlign w:val="center"/>
            <w:hideMark/>
          </w:tcPr>
          <w:p w14:paraId="30B442E9"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Azartspēļu nodokļa likmes palielināšana</w:t>
            </w:r>
          </w:p>
        </w:tc>
        <w:tc>
          <w:tcPr>
            <w:tcW w:w="1080" w:type="dxa"/>
            <w:tcBorders>
              <w:top w:val="nil"/>
              <w:left w:val="nil"/>
              <w:bottom w:val="nil"/>
              <w:right w:val="nil"/>
            </w:tcBorders>
            <w:shd w:val="clear" w:color="auto" w:fill="auto"/>
            <w:noWrap/>
            <w:vAlign w:val="center"/>
            <w:hideMark/>
          </w:tcPr>
          <w:p w14:paraId="0E77B41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143DEB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3C3296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311947D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1E5C5A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6DC09C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52710CE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0AF585EA"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12BD6A83"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8</w:t>
            </w:r>
          </w:p>
        </w:tc>
        <w:tc>
          <w:tcPr>
            <w:tcW w:w="6088" w:type="dxa"/>
            <w:tcBorders>
              <w:top w:val="nil"/>
              <w:left w:val="nil"/>
              <w:bottom w:val="nil"/>
              <w:right w:val="nil"/>
            </w:tcBorders>
            <w:shd w:val="clear" w:color="auto" w:fill="auto"/>
            <w:vAlign w:val="center"/>
            <w:hideMark/>
          </w:tcPr>
          <w:p w14:paraId="07ABF125"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likmju pakāpeniska paaugstināšana degvielai, ietverot akcīzes nodoklī CO</w:t>
            </w:r>
            <w:r w:rsidRPr="00E733CA">
              <w:rPr>
                <w:rFonts w:eastAsia="Times New Roman" w:cs="Times New Roman"/>
                <w:color w:val="000000"/>
                <w:sz w:val="18"/>
                <w:szCs w:val="18"/>
                <w:vertAlign w:val="subscript"/>
                <w:lang w:eastAsia="lv-LV"/>
              </w:rPr>
              <w:t>2</w:t>
            </w:r>
            <w:r w:rsidRPr="002F1103">
              <w:rPr>
                <w:rFonts w:eastAsia="Times New Roman" w:cs="Times New Roman"/>
                <w:color w:val="000000"/>
                <w:sz w:val="18"/>
                <w:szCs w:val="18"/>
                <w:lang w:eastAsia="lv-LV"/>
              </w:rPr>
              <w:t xml:space="preserve"> komponenti </w:t>
            </w:r>
          </w:p>
        </w:tc>
        <w:tc>
          <w:tcPr>
            <w:tcW w:w="1080" w:type="dxa"/>
            <w:tcBorders>
              <w:top w:val="nil"/>
              <w:left w:val="nil"/>
              <w:bottom w:val="nil"/>
              <w:right w:val="nil"/>
            </w:tcBorders>
            <w:shd w:val="clear" w:color="auto" w:fill="auto"/>
            <w:noWrap/>
            <w:vAlign w:val="center"/>
            <w:hideMark/>
          </w:tcPr>
          <w:p w14:paraId="6A4ECBD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BEEE82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74DBD7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0C6B7EF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0,06</w:t>
            </w:r>
          </w:p>
        </w:tc>
        <w:tc>
          <w:tcPr>
            <w:tcW w:w="1080" w:type="dxa"/>
            <w:tcBorders>
              <w:top w:val="nil"/>
              <w:left w:val="nil"/>
              <w:bottom w:val="nil"/>
              <w:right w:val="nil"/>
            </w:tcBorders>
            <w:shd w:val="clear" w:color="auto" w:fill="auto"/>
            <w:noWrap/>
            <w:vAlign w:val="center"/>
            <w:hideMark/>
          </w:tcPr>
          <w:p w14:paraId="12F37F3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22630EA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-0,10</w:t>
            </w:r>
          </w:p>
        </w:tc>
        <w:tc>
          <w:tcPr>
            <w:tcW w:w="1080" w:type="dxa"/>
            <w:tcBorders>
              <w:top w:val="nil"/>
              <w:left w:val="nil"/>
              <w:bottom w:val="nil"/>
              <w:right w:val="nil"/>
            </w:tcBorders>
            <w:shd w:val="clear" w:color="auto" w:fill="auto"/>
            <w:noWrap/>
            <w:vAlign w:val="center"/>
            <w:hideMark/>
          </w:tcPr>
          <w:p w14:paraId="4D36220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r>
      <w:tr w:rsidR="006B09C4" w:rsidRPr="002F1103" w14:paraId="6A8D7ECB"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06FD656C"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9</w:t>
            </w:r>
          </w:p>
        </w:tc>
        <w:tc>
          <w:tcPr>
            <w:tcW w:w="6088" w:type="dxa"/>
            <w:tcBorders>
              <w:top w:val="nil"/>
              <w:left w:val="nil"/>
              <w:bottom w:val="nil"/>
              <w:right w:val="nil"/>
            </w:tcBorders>
            <w:shd w:val="clear" w:color="auto" w:fill="auto"/>
            <w:vAlign w:val="center"/>
            <w:hideMark/>
          </w:tcPr>
          <w:p w14:paraId="4228A1F2"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likmju pakāpeniska paaugstināšana degvielai, dabasgāzei un naftas gāzēm, ko izmanto par kurināmo</w:t>
            </w:r>
          </w:p>
        </w:tc>
        <w:tc>
          <w:tcPr>
            <w:tcW w:w="1080" w:type="dxa"/>
            <w:tcBorders>
              <w:top w:val="nil"/>
              <w:left w:val="nil"/>
              <w:bottom w:val="nil"/>
              <w:right w:val="nil"/>
            </w:tcBorders>
            <w:shd w:val="clear" w:color="auto" w:fill="auto"/>
            <w:noWrap/>
            <w:vAlign w:val="center"/>
            <w:hideMark/>
          </w:tcPr>
          <w:p w14:paraId="2BD9A63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7CA7BF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0E03D4A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4402F86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410004B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8C1F25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037BCCB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44B70392"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581646DF"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10</w:t>
            </w:r>
          </w:p>
        </w:tc>
        <w:tc>
          <w:tcPr>
            <w:tcW w:w="6088" w:type="dxa"/>
            <w:tcBorders>
              <w:top w:val="nil"/>
              <w:left w:val="nil"/>
              <w:bottom w:val="nil"/>
              <w:right w:val="nil"/>
            </w:tcBorders>
            <w:shd w:val="clear" w:color="auto" w:fill="auto"/>
            <w:vAlign w:val="center"/>
            <w:hideMark/>
          </w:tcPr>
          <w:p w14:paraId="69A9B1A6"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atbrīvojuma atcelšana naftas produktiem, kurus izmanto elektroenerģijas ražošanā un koģenerācijā</w:t>
            </w:r>
          </w:p>
        </w:tc>
        <w:tc>
          <w:tcPr>
            <w:tcW w:w="1080" w:type="dxa"/>
            <w:tcBorders>
              <w:top w:val="nil"/>
              <w:left w:val="nil"/>
              <w:bottom w:val="nil"/>
              <w:right w:val="nil"/>
            </w:tcBorders>
            <w:shd w:val="clear" w:color="auto" w:fill="auto"/>
            <w:noWrap/>
            <w:vAlign w:val="center"/>
            <w:hideMark/>
          </w:tcPr>
          <w:p w14:paraId="2E1128F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35C4DC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6721069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790792C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296725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0AC9D3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918104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41ADB3BF"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2DE5F1EC"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11</w:t>
            </w:r>
          </w:p>
        </w:tc>
        <w:tc>
          <w:tcPr>
            <w:tcW w:w="6088" w:type="dxa"/>
            <w:tcBorders>
              <w:top w:val="nil"/>
              <w:left w:val="nil"/>
              <w:bottom w:val="nil"/>
              <w:right w:val="nil"/>
            </w:tcBorders>
            <w:shd w:val="clear" w:color="auto" w:fill="auto"/>
            <w:vAlign w:val="center"/>
            <w:hideMark/>
          </w:tcPr>
          <w:p w14:paraId="697EB2E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paaugstināšana alkoholiskajiem dzērieniem un alum</w:t>
            </w:r>
          </w:p>
        </w:tc>
        <w:tc>
          <w:tcPr>
            <w:tcW w:w="1080" w:type="dxa"/>
            <w:tcBorders>
              <w:top w:val="nil"/>
              <w:left w:val="nil"/>
              <w:bottom w:val="nil"/>
              <w:right w:val="nil"/>
            </w:tcBorders>
            <w:shd w:val="clear" w:color="auto" w:fill="auto"/>
            <w:noWrap/>
            <w:vAlign w:val="center"/>
            <w:hideMark/>
          </w:tcPr>
          <w:p w14:paraId="3CA1AB9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140CD1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E08FA9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498364A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0B8372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629862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420C409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124E14D9"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02AC1843"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12</w:t>
            </w:r>
          </w:p>
        </w:tc>
        <w:tc>
          <w:tcPr>
            <w:tcW w:w="6088" w:type="dxa"/>
            <w:tcBorders>
              <w:top w:val="nil"/>
              <w:left w:val="nil"/>
              <w:bottom w:val="nil"/>
              <w:right w:val="nil"/>
            </w:tcBorders>
            <w:shd w:val="clear" w:color="auto" w:fill="auto"/>
            <w:vAlign w:val="center"/>
            <w:hideMark/>
          </w:tcPr>
          <w:p w14:paraId="1F2B66D5"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paaugstināšana tabakas izstrādājumiem un pēc izmantošanas mērķa līdzīgiem produktiem</w:t>
            </w:r>
          </w:p>
        </w:tc>
        <w:tc>
          <w:tcPr>
            <w:tcW w:w="1080" w:type="dxa"/>
            <w:tcBorders>
              <w:top w:val="nil"/>
              <w:left w:val="nil"/>
              <w:bottom w:val="nil"/>
              <w:right w:val="nil"/>
            </w:tcBorders>
            <w:shd w:val="clear" w:color="auto" w:fill="auto"/>
            <w:noWrap/>
            <w:vAlign w:val="center"/>
            <w:hideMark/>
          </w:tcPr>
          <w:p w14:paraId="5F14BE7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9DBB7D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D28A06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5A9F4FF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CCB6C7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30C810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61BF7A3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r>
      <w:tr w:rsidR="006B09C4" w:rsidRPr="002F1103" w14:paraId="43157C05"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2A1A940A"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13</w:t>
            </w:r>
          </w:p>
        </w:tc>
        <w:tc>
          <w:tcPr>
            <w:tcW w:w="6088" w:type="dxa"/>
            <w:tcBorders>
              <w:top w:val="nil"/>
              <w:left w:val="nil"/>
              <w:bottom w:val="nil"/>
              <w:right w:val="nil"/>
            </w:tcBorders>
            <w:shd w:val="clear" w:color="auto" w:fill="auto"/>
            <w:vAlign w:val="center"/>
            <w:hideMark/>
          </w:tcPr>
          <w:p w14:paraId="58AE0B4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paaugstināšana bezalkoholiskajiem dzērieniem ar cukura saturu līdz 8 g uz 100 ml</w:t>
            </w:r>
          </w:p>
        </w:tc>
        <w:tc>
          <w:tcPr>
            <w:tcW w:w="1080" w:type="dxa"/>
            <w:tcBorders>
              <w:top w:val="nil"/>
              <w:left w:val="nil"/>
              <w:bottom w:val="nil"/>
              <w:right w:val="nil"/>
            </w:tcBorders>
            <w:shd w:val="clear" w:color="auto" w:fill="auto"/>
            <w:noWrap/>
            <w:vAlign w:val="center"/>
            <w:hideMark/>
          </w:tcPr>
          <w:p w14:paraId="27F2FC0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FBC827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6DE535B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0D499ED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C5E97C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3F0D38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8EFCB0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16CC51DE"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22F2793C"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14</w:t>
            </w:r>
          </w:p>
        </w:tc>
        <w:tc>
          <w:tcPr>
            <w:tcW w:w="6088" w:type="dxa"/>
            <w:tcBorders>
              <w:top w:val="nil"/>
              <w:left w:val="nil"/>
              <w:bottom w:val="nil"/>
              <w:right w:val="nil"/>
            </w:tcBorders>
            <w:shd w:val="clear" w:color="auto" w:fill="auto"/>
            <w:vAlign w:val="center"/>
            <w:hideMark/>
          </w:tcPr>
          <w:p w14:paraId="4B21BFF9"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likmju pakāpeniska paaugstināšana degvielai, ietverot akcīzes nodoklī CO</w:t>
            </w:r>
            <w:r w:rsidRPr="00E733CA">
              <w:rPr>
                <w:rFonts w:eastAsia="Times New Roman" w:cs="Times New Roman"/>
                <w:color w:val="000000"/>
                <w:sz w:val="18"/>
                <w:szCs w:val="18"/>
                <w:vertAlign w:val="subscript"/>
                <w:lang w:eastAsia="lv-LV"/>
              </w:rPr>
              <w:t>2</w:t>
            </w:r>
            <w:r w:rsidRPr="002F1103">
              <w:rPr>
                <w:rFonts w:eastAsia="Times New Roman" w:cs="Times New Roman"/>
                <w:color w:val="000000"/>
                <w:sz w:val="18"/>
                <w:szCs w:val="18"/>
                <w:lang w:eastAsia="lv-LV"/>
              </w:rPr>
              <w:t xml:space="preserve"> komponenti </w:t>
            </w:r>
          </w:p>
        </w:tc>
        <w:tc>
          <w:tcPr>
            <w:tcW w:w="1080" w:type="dxa"/>
            <w:tcBorders>
              <w:top w:val="nil"/>
              <w:left w:val="nil"/>
              <w:bottom w:val="nil"/>
              <w:right w:val="nil"/>
            </w:tcBorders>
            <w:shd w:val="clear" w:color="auto" w:fill="auto"/>
            <w:noWrap/>
            <w:vAlign w:val="center"/>
            <w:hideMark/>
          </w:tcPr>
          <w:p w14:paraId="68CE90B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793A85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56ADA08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5DF3C76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C35F0B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C609A0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51031BC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5AA3A0DD"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5349EBCB"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15</w:t>
            </w:r>
          </w:p>
        </w:tc>
        <w:tc>
          <w:tcPr>
            <w:tcW w:w="6088" w:type="dxa"/>
            <w:tcBorders>
              <w:top w:val="nil"/>
              <w:left w:val="nil"/>
              <w:bottom w:val="nil"/>
              <w:right w:val="nil"/>
            </w:tcBorders>
            <w:shd w:val="clear" w:color="auto" w:fill="auto"/>
            <w:vAlign w:val="center"/>
            <w:hideMark/>
          </w:tcPr>
          <w:p w14:paraId="55E79AB2"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likmju pakāpeniska paaugstināšana degvielai, dabasgāzei un naftas gāzēm, ko izmanto par kurināmo</w:t>
            </w:r>
          </w:p>
        </w:tc>
        <w:tc>
          <w:tcPr>
            <w:tcW w:w="1080" w:type="dxa"/>
            <w:tcBorders>
              <w:top w:val="nil"/>
              <w:left w:val="nil"/>
              <w:bottom w:val="nil"/>
              <w:right w:val="nil"/>
            </w:tcBorders>
            <w:shd w:val="clear" w:color="auto" w:fill="auto"/>
            <w:noWrap/>
            <w:vAlign w:val="center"/>
            <w:hideMark/>
          </w:tcPr>
          <w:p w14:paraId="3126713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AD2EB1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789147C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787AFA7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0E6FC4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869C67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CEF179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1876E1CC"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1F7C7AD0"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16</w:t>
            </w:r>
          </w:p>
        </w:tc>
        <w:tc>
          <w:tcPr>
            <w:tcW w:w="6088" w:type="dxa"/>
            <w:tcBorders>
              <w:top w:val="nil"/>
              <w:left w:val="nil"/>
              <w:bottom w:val="nil"/>
              <w:right w:val="nil"/>
            </w:tcBorders>
            <w:shd w:val="clear" w:color="auto" w:fill="auto"/>
            <w:vAlign w:val="center"/>
            <w:hideMark/>
          </w:tcPr>
          <w:p w14:paraId="058043B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paaugstināšana alkoholiskajiem dzērieniem un alum</w:t>
            </w:r>
          </w:p>
        </w:tc>
        <w:tc>
          <w:tcPr>
            <w:tcW w:w="1080" w:type="dxa"/>
            <w:tcBorders>
              <w:top w:val="nil"/>
              <w:left w:val="nil"/>
              <w:bottom w:val="nil"/>
              <w:right w:val="nil"/>
            </w:tcBorders>
            <w:shd w:val="clear" w:color="auto" w:fill="auto"/>
            <w:noWrap/>
            <w:vAlign w:val="center"/>
            <w:hideMark/>
          </w:tcPr>
          <w:p w14:paraId="24B1DE1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6A26E8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076034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3A68D8B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34FC6F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690D8B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DD57B1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6394C8EB"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788C18EF"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lastRenderedPageBreak/>
              <w:t>17</w:t>
            </w:r>
          </w:p>
        </w:tc>
        <w:tc>
          <w:tcPr>
            <w:tcW w:w="6088" w:type="dxa"/>
            <w:tcBorders>
              <w:top w:val="nil"/>
              <w:left w:val="nil"/>
              <w:bottom w:val="nil"/>
              <w:right w:val="nil"/>
            </w:tcBorders>
            <w:shd w:val="clear" w:color="auto" w:fill="auto"/>
            <w:vAlign w:val="center"/>
            <w:hideMark/>
          </w:tcPr>
          <w:p w14:paraId="31A57879"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paaugstināšana tabakas izstrādājumiem un pēc izmantošanas mērķa līdzīgiem produktiem</w:t>
            </w:r>
          </w:p>
        </w:tc>
        <w:tc>
          <w:tcPr>
            <w:tcW w:w="1080" w:type="dxa"/>
            <w:tcBorders>
              <w:top w:val="nil"/>
              <w:left w:val="nil"/>
              <w:bottom w:val="nil"/>
              <w:right w:val="nil"/>
            </w:tcBorders>
            <w:shd w:val="clear" w:color="auto" w:fill="auto"/>
            <w:noWrap/>
            <w:vAlign w:val="center"/>
            <w:hideMark/>
          </w:tcPr>
          <w:p w14:paraId="340B76E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6DC3CB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A118A4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4DF1905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73A4FD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314B6F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CBC7B8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62D45D78"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47E059E9"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18</w:t>
            </w:r>
          </w:p>
        </w:tc>
        <w:tc>
          <w:tcPr>
            <w:tcW w:w="6088" w:type="dxa"/>
            <w:tcBorders>
              <w:top w:val="nil"/>
              <w:left w:val="nil"/>
              <w:bottom w:val="nil"/>
              <w:right w:val="nil"/>
            </w:tcBorders>
            <w:shd w:val="clear" w:color="auto" w:fill="auto"/>
            <w:vAlign w:val="center"/>
            <w:hideMark/>
          </w:tcPr>
          <w:p w14:paraId="04E60F86"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AN paaugstināšana bezalkoholiskajiem dzērieniem ar cukura saturu līdz 8 g uz 100 ml</w:t>
            </w:r>
          </w:p>
        </w:tc>
        <w:tc>
          <w:tcPr>
            <w:tcW w:w="1080" w:type="dxa"/>
            <w:tcBorders>
              <w:top w:val="nil"/>
              <w:left w:val="nil"/>
              <w:bottom w:val="nil"/>
              <w:right w:val="nil"/>
            </w:tcBorders>
            <w:shd w:val="clear" w:color="auto" w:fill="auto"/>
            <w:noWrap/>
            <w:vAlign w:val="center"/>
            <w:hideMark/>
          </w:tcPr>
          <w:p w14:paraId="08EE2CE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43E17C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D22F00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50601CD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23FDA3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6A470D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D88B1C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7F928EB9" w14:textId="77777777" w:rsidTr="00735170">
        <w:trPr>
          <w:trHeight w:val="720"/>
          <w:jc w:val="center"/>
        </w:trPr>
        <w:tc>
          <w:tcPr>
            <w:tcW w:w="426" w:type="dxa"/>
            <w:tcBorders>
              <w:top w:val="nil"/>
              <w:left w:val="nil"/>
              <w:bottom w:val="nil"/>
              <w:right w:val="nil"/>
            </w:tcBorders>
            <w:shd w:val="clear" w:color="000000" w:fill="95B3D7"/>
            <w:noWrap/>
            <w:vAlign w:val="center"/>
            <w:hideMark/>
          </w:tcPr>
          <w:p w14:paraId="61BD2AFE"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19</w:t>
            </w:r>
          </w:p>
        </w:tc>
        <w:tc>
          <w:tcPr>
            <w:tcW w:w="6088" w:type="dxa"/>
            <w:tcBorders>
              <w:top w:val="nil"/>
              <w:left w:val="nil"/>
              <w:bottom w:val="nil"/>
              <w:right w:val="nil"/>
            </w:tcBorders>
            <w:shd w:val="clear" w:color="auto" w:fill="auto"/>
            <w:vAlign w:val="center"/>
            <w:hideMark/>
          </w:tcPr>
          <w:p w14:paraId="312734E1"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PVN likmes 12 % apmērā Latvijai raksturīgajiem svaigiem augļiem, ogām un dārzeņiem piemērošana arī turpmāk līdz nākamajam izvērtēšanas periodam</w:t>
            </w:r>
          </w:p>
        </w:tc>
        <w:tc>
          <w:tcPr>
            <w:tcW w:w="1080" w:type="dxa"/>
            <w:tcBorders>
              <w:top w:val="nil"/>
              <w:left w:val="nil"/>
              <w:bottom w:val="nil"/>
              <w:right w:val="nil"/>
            </w:tcBorders>
            <w:shd w:val="clear" w:color="auto" w:fill="auto"/>
            <w:noWrap/>
            <w:vAlign w:val="center"/>
            <w:hideMark/>
          </w:tcPr>
          <w:p w14:paraId="4824771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9F8FDD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02F67E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55B16B8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1277ABE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40AB92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7A6DC6C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5FE312B8"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43E38A76"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20</w:t>
            </w:r>
          </w:p>
        </w:tc>
        <w:tc>
          <w:tcPr>
            <w:tcW w:w="6088" w:type="dxa"/>
            <w:tcBorders>
              <w:top w:val="nil"/>
              <w:left w:val="nil"/>
              <w:bottom w:val="nil"/>
              <w:right w:val="nil"/>
            </w:tcBorders>
            <w:shd w:val="clear" w:color="auto" w:fill="auto"/>
            <w:vAlign w:val="center"/>
            <w:hideMark/>
          </w:tcPr>
          <w:p w14:paraId="0B439774"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IIN atvieglojuma koplīgumiem paplašināšana</w:t>
            </w:r>
          </w:p>
        </w:tc>
        <w:tc>
          <w:tcPr>
            <w:tcW w:w="1080" w:type="dxa"/>
            <w:tcBorders>
              <w:top w:val="nil"/>
              <w:left w:val="nil"/>
              <w:bottom w:val="nil"/>
              <w:right w:val="nil"/>
            </w:tcBorders>
            <w:shd w:val="clear" w:color="auto" w:fill="auto"/>
            <w:noWrap/>
            <w:vAlign w:val="center"/>
            <w:hideMark/>
          </w:tcPr>
          <w:p w14:paraId="3B15F4A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457E81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B6F750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D.61</w:t>
            </w:r>
          </w:p>
        </w:tc>
        <w:tc>
          <w:tcPr>
            <w:tcW w:w="1080" w:type="dxa"/>
            <w:tcBorders>
              <w:top w:val="nil"/>
              <w:left w:val="nil"/>
              <w:bottom w:val="nil"/>
              <w:right w:val="nil"/>
            </w:tcBorders>
            <w:shd w:val="clear" w:color="auto" w:fill="auto"/>
            <w:noWrap/>
            <w:vAlign w:val="center"/>
            <w:hideMark/>
          </w:tcPr>
          <w:p w14:paraId="0DE949A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49BABF9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C55DC3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4EE700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042DB8AE"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0662E0E1"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21</w:t>
            </w:r>
          </w:p>
        </w:tc>
        <w:tc>
          <w:tcPr>
            <w:tcW w:w="6088" w:type="dxa"/>
            <w:tcBorders>
              <w:top w:val="nil"/>
              <w:left w:val="nil"/>
              <w:bottom w:val="nil"/>
              <w:right w:val="nil"/>
            </w:tcBorders>
            <w:shd w:val="clear" w:color="auto" w:fill="auto"/>
            <w:vAlign w:val="center"/>
            <w:hideMark/>
          </w:tcPr>
          <w:p w14:paraId="1A59C380" w14:textId="71A0A59C"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No IIN atbrīvoj</w:t>
            </w:r>
            <w:r w:rsidR="00094578">
              <w:rPr>
                <w:rFonts w:eastAsia="Times New Roman" w:cs="Times New Roman"/>
                <w:color w:val="000000"/>
                <w:sz w:val="18"/>
                <w:szCs w:val="18"/>
                <w:lang w:eastAsia="lv-LV"/>
              </w:rPr>
              <w:t>a</w:t>
            </w:r>
            <w:r w:rsidRPr="002F1103">
              <w:rPr>
                <w:rFonts w:eastAsia="Times New Roman" w:cs="Times New Roman"/>
                <w:color w:val="000000"/>
                <w:sz w:val="18"/>
                <w:szCs w:val="18"/>
                <w:lang w:eastAsia="lv-LV"/>
              </w:rPr>
              <w:t>mās summas paaugstināšana darba devēja izmaksātajam bēru pabalstam un bērna piedzimšanas pabalstam</w:t>
            </w:r>
          </w:p>
        </w:tc>
        <w:tc>
          <w:tcPr>
            <w:tcW w:w="1080" w:type="dxa"/>
            <w:tcBorders>
              <w:top w:val="nil"/>
              <w:left w:val="nil"/>
              <w:bottom w:val="nil"/>
              <w:right w:val="nil"/>
            </w:tcBorders>
            <w:shd w:val="clear" w:color="auto" w:fill="auto"/>
            <w:noWrap/>
            <w:vAlign w:val="center"/>
            <w:hideMark/>
          </w:tcPr>
          <w:p w14:paraId="00ADBBF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4111B5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F51E6C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D.61</w:t>
            </w:r>
          </w:p>
        </w:tc>
        <w:tc>
          <w:tcPr>
            <w:tcW w:w="1080" w:type="dxa"/>
            <w:tcBorders>
              <w:top w:val="nil"/>
              <w:left w:val="nil"/>
              <w:bottom w:val="nil"/>
              <w:right w:val="nil"/>
            </w:tcBorders>
            <w:shd w:val="clear" w:color="auto" w:fill="auto"/>
            <w:noWrap/>
            <w:vAlign w:val="center"/>
            <w:hideMark/>
          </w:tcPr>
          <w:p w14:paraId="440FBC1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AAFCBA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5254EF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354210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345114FA"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38CDA418"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22</w:t>
            </w:r>
          </w:p>
        </w:tc>
        <w:tc>
          <w:tcPr>
            <w:tcW w:w="6088" w:type="dxa"/>
            <w:tcBorders>
              <w:top w:val="nil"/>
              <w:left w:val="nil"/>
              <w:bottom w:val="nil"/>
              <w:right w:val="nil"/>
            </w:tcBorders>
            <w:shd w:val="clear" w:color="auto" w:fill="auto"/>
            <w:vAlign w:val="center"/>
            <w:hideMark/>
          </w:tcPr>
          <w:p w14:paraId="441CFFF7"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 xml:space="preserve">1% </w:t>
            </w:r>
            <w:proofErr w:type="spellStart"/>
            <w:r w:rsidRPr="002F1103">
              <w:rPr>
                <w:rFonts w:eastAsia="Times New Roman" w:cs="Times New Roman"/>
                <w:color w:val="000000"/>
                <w:sz w:val="18"/>
                <w:szCs w:val="18"/>
                <w:lang w:eastAsia="lv-LV"/>
              </w:rPr>
              <w:t>pārnese</w:t>
            </w:r>
            <w:proofErr w:type="spellEnd"/>
            <w:r w:rsidRPr="002F1103">
              <w:rPr>
                <w:rFonts w:eastAsia="Times New Roman" w:cs="Times New Roman"/>
                <w:color w:val="000000"/>
                <w:sz w:val="18"/>
                <w:szCs w:val="18"/>
                <w:lang w:eastAsia="lv-LV"/>
              </w:rPr>
              <w:t xml:space="preserve"> no </w:t>
            </w:r>
            <w:proofErr w:type="spellStart"/>
            <w:r w:rsidRPr="002F1103">
              <w:rPr>
                <w:rFonts w:eastAsia="Times New Roman" w:cs="Times New Roman"/>
                <w:color w:val="000000"/>
                <w:sz w:val="18"/>
                <w:szCs w:val="18"/>
                <w:lang w:eastAsia="lv-LV"/>
              </w:rPr>
              <w:t>fondētās</w:t>
            </w:r>
            <w:proofErr w:type="spellEnd"/>
            <w:r w:rsidRPr="002F1103">
              <w:rPr>
                <w:rFonts w:eastAsia="Times New Roman" w:cs="Times New Roman"/>
                <w:color w:val="000000"/>
                <w:sz w:val="18"/>
                <w:szCs w:val="18"/>
                <w:lang w:eastAsia="lv-LV"/>
              </w:rPr>
              <w:t xml:space="preserve"> pensiju shēmas uz pirmo līmeni</w:t>
            </w:r>
          </w:p>
        </w:tc>
        <w:tc>
          <w:tcPr>
            <w:tcW w:w="1080" w:type="dxa"/>
            <w:tcBorders>
              <w:top w:val="nil"/>
              <w:left w:val="nil"/>
              <w:bottom w:val="nil"/>
              <w:right w:val="nil"/>
            </w:tcBorders>
            <w:shd w:val="clear" w:color="auto" w:fill="auto"/>
            <w:noWrap/>
            <w:vAlign w:val="center"/>
            <w:hideMark/>
          </w:tcPr>
          <w:p w14:paraId="2794790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5F2DFC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517F828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D.61</w:t>
            </w:r>
          </w:p>
        </w:tc>
        <w:tc>
          <w:tcPr>
            <w:tcW w:w="1080" w:type="dxa"/>
            <w:tcBorders>
              <w:top w:val="nil"/>
              <w:left w:val="nil"/>
              <w:bottom w:val="nil"/>
              <w:right w:val="nil"/>
            </w:tcBorders>
            <w:shd w:val="clear" w:color="auto" w:fill="auto"/>
            <w:noWrap/>
            <w:vAlign w:val="center"/>
            <w:hideMark/>
          </w:tcPr>
          <w:p w14:paraId="23C029F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0,35</w:t>
            </w:r>
          </w:p>
        </w:tc>
        <w:tc>
          <w:tcPr>
            <w:tcW w:w="1080" w:type="dxa"/>
            <w:tcBorders>
              <w:top w:val="nil"/>
              <w:left w:val="nil"/>
              <w:bottom w:val="nil"/>
              <w:right w:val="nil"/>
            </w:tcBorders>
            <w:shd w:val="clear" w:color="auto" w:fill="auto"/>
            <w:noWrap/>
            <w:vAlign w:val="center"/>
            <w:hideMark/>
          </w:tcPr>
          <w:p w14:paraId="1E170BA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525CE9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67466E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062F1B73"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630626A9"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23</w:t>
            </w:r>
          </w:p>
        </w:tc>
        <w:tc>
          <w:tcPr>
            <w:tcW w:w="6088" w:type="dxa"/>
            <w:tcBorders>
              <w:top w:val="nil"/>
              <w:left w:val="nil"/>
              <w:bottom w:val="nil"/>
              <w:right w:val="nil"/>
            </w:tcBorders>
            <w:shd w:val="clear" w:color="auto" w:fill="auto"/>
            <w:vAlign w:val="center"/>
            <w:hideMark/>
          </w:tcPr>
          <w:p w14:paraId="7E062018"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Neapliekamā minimuma palielināšana</w:t>
            </w:r>
          </w:p>
        </w:tc>
        <w:tc>
          <w:tcPr>
            <w:tcW w:w="1080" w:type="dxa"/>
            <w:tcBorders>
              <w:top w:val="nil"/>
              <w:left w:val="nil"/>
              <w:bottom w:val="nil"/>
              <w:right w:val="nil"/>
            </w:tcBorders>
            <w:shd w:val="clear" w:color="auto" w:fill="auto"/>
            <w:noWrap/>
            <w:vAlign w:val="center"/>
            <w:hideMark/>
          </w:tcPr>
          <w:p w14:paraId="4C0A3ED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0199D5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1B5E74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2A764C0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-1,01</w:t>
            </w:r>
          </w:p>
        </w:tc>
        <w:tc>
          <w:tcPr>
            <w:tcW w:w="1080" w:type="dxa"/>
            <w:tcBorders>
              <w:top w:val="nil"/>
              <w:left w:val="nil"/>
              <w:bottom w:val="nil"/>
              <w:right w:val="nil"/>
            </w:tcBorders>
            <w:shd w:val="clear" w:color="auto" w:fill="auto"/>
            <w:noWrap/>
            <w:vAlign w:val="center"/>
            <w:hideMark/>
          </w:tcPr>
          <w:p w14:paraId="174ED1E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-0,20</w:t>
            </w:r>
          </w:p>
        </w:tc>
        <w:tc>
          <w:tcPr>
            <w:tcW w:w="1080" w:type="dxa"/>
            <w:tcBorders>
              <w:top w:val="nil"/>
              <w:left w:val="nil"/>
              <w:bottom w:val="nil"/>
              <w:right w:val="nil"/>
            </w:tcBorders>
            <w:shd w:val="clear" w:color="auto" w:fill="auto"/>
            <w:noWrap/>
            <w:vAlign w:val="center"/>
            <w:hideMark/>
          </w:tcPr>
          <w:p w14:paraId="45D84BD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15E2294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0,03</w:t>
            </w:r>
          </w:p>
        </w:tc>
      </w:tr>
      <w:tr w:rsidR="006B09C4" w:rsidRPr="002F1103" w14:paraId="0AE57F49"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5955F4B8"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24</w:t>
            </w:r>
          </w:p>
        </w:tc>
        <w:tc>
          <w:tcPr>
            <w:tcW w:w="6088" w:type="dxa"/>
            <w:tcBorders>
              <w:top w:val="nil"/>
              <w:left w:val="nil"/>
              <w:bottom w:val="nil"/>
              <w:right w:val="nil"/>
            </w:tcBorders>
            <w:shd w:val="clear" w:color="auto" w:fill="auto"/>
            <w:vAlign w:val="center"/>
            <w:hideMark/>
          </w:tcPr>
          <w:p w14:paraId="519A2510"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IIN likmju un ienākumu sliekšņu izmaiņas</w:t>
            </w:r>
          </w:p>
        </w:tc>
        <w:tc>
          <w:tcPr>
            <w:tcW w:w="1080" w:type="dxa"/>
            <w:tcBorders>
              <w:top w:val="nil"/>
              <w:left w:val="nil"/>
              <w:bottom w:val="nil"/>
              <w:right w:val="nil"/>
            </w:tcBorders>
            <w:shd w:val="clear" w:color="auto" w:fill="auto"/>
            <w:noWrap/>
            <w:vAlign w:val="center"/>
            <w:hideMark/>
          </w:tcPr>
          <w:p w14:paraId="218CB81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E7E5B8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08A7E2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1C172AF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0,80</w:t>
            </w:r>
          </w:p>
        </w:tc>
        <w:tc>
          <w:tcPr>
            <w:tcW w:w="1080" w:type="dxa"/>
            <w:tcBorders>
              <w:top w:val="nil"/>
              <w:left w:val="nil"/>
              <w:bottom w:val="nil"/>
              <w:right w:val="nil"/>
            </w:tcBorders>
            <w:shd w:val="clear" w:color="auto" w:fill="auto"/>
            <w:noWrap/>
            <w:vAlign w:val="center"/>
            <w:hideMark/>
          </w:tcPr>
          <w:p w14:paraId="3FD7019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0,08</w:t>
            </w:r>
          </w:p>
        </w:tc>
        <w:tc>
          <w:tcPr>
            <w:tcW w:w="1080" w:type="dxa"/>
            <w:tcBorders>
              <w:top w:val="nil"/>
              <w:left w:val="nil"/>
              <w:bottom w:val="nil"/>
              <w:right w:val="nil"/>
            </w:tcBorders>
            <w:shd w:val="clear" w:color="auto" w:fill="auto"/>
            <w:noWrap/>
            <w:vAlign w:val="center"/>
            <w:hideMark/>
          </w:tcPr>
          <w:p w14:paraId="3664035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5E147D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708C2E56"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4B8EA370"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25</w:t>
            </w:r>
          </w:p>
        </w:tc>
        <w:tc>
          <w:tcPr>
            <w:tcW w:w="6088" w:type="dxa"/>
            <w:tcBorders>
              <w:top w:val="nil"/>
              <w:left w:val="nil"/>
              <w:bottom w:val="nil"/>
              <w:right w:val="nil"/>
            </w:tcBorders>
            <w:shd w:val="clear" w:color="auto" w:fill="auto"/>
            <w:vAlign w:val="center"/>
            <w:hideMark/>
          </w:tcPr>
          <w:p w14:paraId="3A20D149"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Pensionāra neapliekamā minimuma palielināšana</w:t>
            </w:r>
          </w:p>
        </w:tc>
        <w:tc>
          <w:tcPr>
            <w:tcW w:w="1080" w:type="dxa"/>
            <w:tcBorders>
              <w:top w:val="nil"/>
              <w:left w:val="nil"/>
              <w:bottom w:val="nil"/>
              <w:right w:val="nil"/>
            </w:tcBorders>
            <w:shd w:val="clear" w:color="auto" w:fill="auto"/>
            <w:noWrap/>
            <w:vAlign w:val="center"/>
            <w:hideMark/>
          </w:tcPr>
          <w:p w14:paraId="1809AFF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6AF82E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563D7CE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0FEEAC5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-0,27</w:t>
            </w:r>
          </w:p>
        </w:tc>
        <w:tc>
          <w:tcPr>
            <w:tcW w:w="1080" w:type="dxa"/>
            <w:tcBorders>
              <w:top w:val="nil"/>
              <w:left w:val="nil"/>
              <w:bottom w:val="nil"/>
              <w:right w:val="nil"/>
            </w:tcBorders>
            <w:shd w:val="clear" w:color="auto" w:fill="auto"/>
            <w:noWrap/>
            <w:vAlign w:val="center"/>
            <w:hideMark/>
          </w:tcPr>
          <w:p w14:paraId="5255BB4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DFE657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38660F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r>
      <w:tr w:rsidR="006B09C4" w:rsidRPr="002F1103" w14:paraId="2412C50A"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35EBD74D"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26</w:t>
            </w:r>
          </w:p>
        </w:tc>
        <w:tc>
          <w:tcPr>
            <w:tcW w:w="6088" w:type="dxa"/>
            <w:tcBorders>
              <w:top w:val="nil"/>
              <w:left w:val="nil"/>
              <w:bottom w:val="nil"/>
              <w:right w:val="nil"/>
            </w:tcBorders>
            <w:shd w:val="clear" w:color="auto" w:fill="auto"/>
            <w:vAlign w:val="center"/>
            <w:hideMark/>
          </w:tcPr>
          <w:p w14:paraId="33AF6988"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 xml:space="preserve">Papildus IIN likme 3% apmērā ienākumiem (dividendes, kapitāls) virs 200 000 </w:t>
            </w:r>
            <w:proofErr w:type="spellStart"/>
            <w:r w:rsidRPr="00702199">
              <w:rPr>
                <w:rFonts w:eastAsia="Times New Roman" w:cs="Times New Roman"/>
                <w:i/>
                <w:iCs/>
                <w:color w:val="000000"/>
                <w:sz w:val="18"/>
                <w:szCs w:val="18"/>
                <w:lang w:eastAsia="lv-LV"/>
              </w:rPr>
              <w:t>euro</w:t>
            </w:r>
            <w:proofErr w:type="spellEnd"/>
            <w:r w:rsidRPr="002F1103">
              <w:rPr>
                <w:rFonts w:eastAsia="Times New Roman" w:cs="Times New Roman"/>
                <w:color w:val="000000"/>
                <w:sz w:val="18"/>
                <w:szCs w:val="18"/>
                <w:lang w:eastAsia="lv-LV"/>
              </w:rPr>
              <w:t xml:space="preserve"> gadā, deklarējot gada ienākumus </w:t>
            </w:r>
          </w:p>
        </w:tc>
        <w:tc>
          <w:tcPr>
            <w:tcW w:w="1080" w:type="dxa"/>
            <w:tcBorders>
              <w:top w:val="nil"/>
              <w:left w:val="nil"/>
              <w:bottom w:val="nil"/>
              <w:right w:val="nil"/>
            </w:tcBorders>
            <w:shd w:val="clear" w:color="auto" w:fill="auto"/>
            <w:noWrap/>
            <w:vAlign w:val="center"/>
            <w:hideMark/>
          </w:tcPr>
          <w:p w14:paraId="6B7067F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251353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10743C2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5634799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6294C0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69568EE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8B4C5A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5D44BAA5"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3048A961"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27</w:t>
            </w:r>
          </w:p>
        </w:tc>
        <w:tc>
          <w:tcPr>
            <w:tcW w:w="6088" w:type="dxa"/>
            <w:tcBorders>
              <w:top w:val="nil"/>
              <w:left w:val="nil"/>
              <w:bottom w:val="nil"/>
              <w:right w:val="nil"/>
            </w:tcBorders>
            <w:shd w:val="clear" w:color="auto" w:fill="auto"/>
            <w:vAlign w:val="center"/>
            <w:hideMark/>
          </w:tcPr>
          <w:p w14:paraId="6E96AD5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Lauksaimnieku saņemtās atbalsta summas arī turpmāka neaplikšana ar IIN (šobrīd terminēts līdz 31.12.2024.)</w:t>
            </w:r>
          </w:p>
        </w:tc>
        <w:tc>
          <w:tcPr>
            <w:tcW w:w="1080" w:type="dxa"/>
            <w:tcBorders>
              <w:top w:val="nil"/>
              <w:left w:val="nil"/>
              <w:bottom w:val="nil"/>
              <w:right w:val="nil"/>
            </w:tcBorders>
            <w:shd w:val="clear" w:color="auto" w:fill="auto"/>
            <w:noWrap/>
            <w:vAlign w:val="center"/>
            <w:hideMark/>
          </w:tcPr>
          <w:p w14:paraId="2584471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EA8BDA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0A81CB7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3067C63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82AE22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4031B26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D96E06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6EA696D1"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19F16DA5"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28</w:t>
            </w:r>
          </w:p>
        </w:tc>
        <w:tc>
          <w:tcPr>
            <w:tcW w:w="6088" w:type="dxa"/>
            <w:tcBorders>
              <w:top w:val="nil"/>
              <w:left w:val="nil"/>
              <w:bottom w:val="nil"/>
              <w:right w:val="nil"/>
            </w:tcBorders>
            <w:shd w:val="clear" w:color="auto" w:fill="auto"/>
            <w:vAlign w:val="center"/>
            <w:hideMark/>
          </w:tcPr>
          <w:p w14:paraId="5E081DA5"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IIN atvieglojuma koplīgumiem paplašināšana</w:t>
            </w:r>
          </w:p>
        </w:tc>
        <w:tc>
          <w:tcPr>
            <w:tcW w:w="1080" w:type="dxa"/>
            <w:tcBorders>
              <w:top w:val="nil"/>
              <w:left w:val="nil"/>
              <w:bottom w:val="nil"/>
              <w:right w:val="nil"/>
            </w:tcBorders>
            <w:shd w:val="clear" w:color="auto" w:fill="auto"/>
            <w:noWrap/>
            <w:vAlign w:val="center"/>
            <w:hideMark/>
          </w:tcPr>
          <w:p w14:paraId="7866207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0F7CFF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DF3129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311E455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7155F46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98E64F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6C5401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24E3DC2F"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11577BCE"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29</w:t>
            </w:r>
          </w:p>
        </w:tc>
        <w:tc>
          <w:tcPr>
            <w:tcW w:w="6088" w:type="dxa"/>
            <w:tcBorders>
              <w:top w:val="nil"/>
              <w:left w:val="nil"/>
              <w:bottom w:val="nil"/>
              <w:right w:val="nil"/>
            </w:tcBorders>
            <w:shd w:val="clear" w:color="auto" w:fill="auto"/>
            <w:vAlign w:val="center"/>
            <w:hideMark/>
          </w:tcPr>
          <w:p w14:paraId="64353F70" w14:textId="0F478128"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No IIN atbrīvoj</w:t>
            </w:r>
            <w:r w:rsidR="00094578">
              <w:rPr>
                <w:rFonts w:eastAsia="Times New Roman" w:cs="Times New Roman"/>
                <w:color w:val="000000"/>
                <w:sz w:val="18"/>
                <w:szCs w:val="18"/>
                <w:lang w:eastAsia="lv-LV"/>
              </w:rPr>
              <w:t>a</w:t>
            </w:r>
            <w:r w:rsidRPr="002F1103">
              <w:rPr>
                <w:rFonts w:eastAsia="Times New Roman" w:cs="Times New Roman"/>
                <w:color w:val="000000"/>
                <w:sz w:val="18"/>
                <w:szCs w:val="18"/>
                <w:lang w:eastAsia="lv-LV"/>
              </w:rPr>
              <w:t>mās summas paaugstināšana darba devēja izmaksātajam bēru pabalstam un bērna piedzimšanas pabalstam</w:t>
            </w:r>
          </w:p>
        </w:tc>
        <w:tc>
          <w:tcPr>
            <w:tcW w:w="1080" w:type="dxa"/>
            <w:tcBorders>
              <w:top w:val="nil"/>
              <w:left w:val="nil"/>
              <w:bottom w:val="nil"/>
              <w:right w:val="nil"/>
            </w:tcBorders>
            <w:shd w:val="clear" w:color="auto" w:fill="auto"/>
            <w:noWrap/>
            <w:vAlign w:val="center"/>
            <w:hideMark/>
          </w:tcPr>
          <w:p w14:paraId="69CF8EF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AAC8D6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8BA2D1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0960C8C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103A36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3A0A53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4EE55E5"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12BA34F6"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54DFC0DA"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30</w:t>
            </w:r>
          </w:p>
        </w:tc>
        <w:tc>
          <w:tcPr>
            <w:tcW w:w="6088" w:type="dxa"/>
            <w:tcBorders>
              <w:top w:val="nil"/>
              <w:left w:val="nil"/>
              <w:bottom w:val="nil"/>
              <w:right w:val="nil"/>
            </w:tcBorders>
            <w:shd w:val="clear" w:color="auto" w:fill="auto"/>
            <w:vAlign w:val="center"/>
            <w:hideMark/>
          </w:tcPr>
          <w:p w14:paraId="26F6537F" w14:textId="2DB4500C"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IIN attaisnoto izdevumu pieaugums par izglītības un ārstniecības izdevumiem, kā arī ziedojumiem dēļ IIN likmes pieauguma</w:t>
            </w:r>
          </w:p>
        </w:tc>
        <w:tc>
          <w:tcPr>
            <w:tcW w:w="1080" w:type="dxa"/>
            <w:tcBorders>
              <w:top w:val="nil"/>
              <w:left w:val="nil"/>
              <w:bottom w:val="nil"/>
              <w:right w:val="nil"/>
            </w:tcBorders>
            <w:shd w:val="clear" w:color="auto" w:fill="auto"/>
            <w:noWrap/>
            <w:vAlign w:val="center"/>
            <w:hideMark/>
          </w:tcPr>
          <w:p w14:paraId="52EE02F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FF53AD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DDF13E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020BA84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442EB4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6648F3E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7C3134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6EBD8C14"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73A48641"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31</w:t>
            </w:r>
          </w:p>
        </w:tc>
        <w:tc>
          <w:tcPr>
            <w:tcW w:w="6088" w:type="dxa"/>
            <w:tcBorders>
              <w:top w:val="nil"/>
              <w:left w:val="nil"/>
              <w:bottom w:val="nil"/>
              <w:right w:val="nil"/>
            </w:tcBorders>
            <w:shd w:val="clear" w:color="auto" w:fill="auto"/>
            <w:vAlign w:val="center"/>
            <w:hideMark/>
          </w:tcPr>
          <w:p w14:paraId="09BF6EF7"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Pārejot uz 25,5% pamatlikmi, tiek izlīdzināta IIN likmes pārējiem ienākumiem, kuriem šobrīd ir 20%</w:t>
            </w:r>
          </w:p>
        </w:tc>
        <w:tc>
          <w:tcPr>
            <w:tcW w:w="1080" w:type="dxa"/>
            <w:tcBorders>
              <w:top w:val="nil"/>
              <w:left w:val="nil"/>
              <w:bottom w:val="nil"/>
              <w:right w:val="nil"/>
            </w:tcBorders>
            <w:shd w:val="clear" w:color="auto" w:fill="auto"/>
            <w:noWrap/>
            <w:vAlign w:val="center"/>
            <w:hideMark/>
          </w:tcPr>
          <w:p w14:paraId="1010BD3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D38C03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534311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2E4C111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3738F2C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EC792F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95CF3A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1236A152"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6327C665"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32</w:t>
            </w:r>
          </w:p>
        </w:tc>
        <w:tc>
          <w:tcPr>
            <w:tcW w:w="6088" w:type="dxa"/>
            <w:tcBorders>
              <w:top w:val="nil"/>
              <w:left w:val="nil"/>
              <w:bottom w:val="nil"/>
              <w:right w:val="nil"/>
            </w:tcBorders>
            <w:shd w:val="clear" w:color="auto" w:fill="auto"/>
            <w:vAlign w:val="center"/>
            <w:hideMark/>
          </w:tcPr>
          <w:p w14:paraId="07F30D7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Paaugstināt dividendes valsts kapitālsabiedrībām uz 70%</w:t>
            </w:r>
          </w:p>
        </w:tc>
        <w:tc>
          <w:tcPr>
            <w:tcW w:w="1080" w:type="dxa"/>
            <w:tcBorders>
              <w:top w:val="nil"/>
              <w:left w:val="nil"/>
              <w:bottom w:val="nil"/>
              <w:right w:val="nil"/>
            </w:tcBorders>
            <w:shd w:val="clear" w:color="auto" w:fill="auto"/>
            <w:noWrap/>
            <w:vAlign w:val="center"/>
            <w:hideMark/>
          </w:tcPr>
          <w:p w14:paraId="1257B8D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A59DAB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74280EB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D.4</w:t>
            </w:r>
          </w:p>
        </w:tc>
        <w:tc>
          <w:tcPr>
            <w:tcW w:w="1080" w:type="dxa"/>
            <w:tcBorders>
              <w:top w:val="nil"/>
              <w:left w:val="nil"/>
              <w:bottom w:val="nil"/>
              <w:right w:val="nil"/>
            </w:tcBorders>
            <w:shd w:val="clear" w:color="auto" w:fill="auto"/>
            <w:noWrap/>
            <w:vAlign w:val="center"/>
            <w:hideMark/>
          </w:tcPr>
          <w:p w14:paraId="3FCA89A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810BF6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58B1761"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40C929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66B6A76B" w14:textId="77777777" w:rsidTr="00735170">
        <w:trPr>
          <w:trHeight w:val="303"/>
          <w:jc w:val="center"/>
        </w:trPr>
        <w:tc>
          <w:tcPr>
            <w:tcW w:w="426" w:type="dxa"/>
            <w:tcBorders>
              <w:top w:val="nil"/>
              <w:left w:val="nil"/>
              <w:bottom w:val="nil"/>
              <w:right w:val="nil"/>
            </w:tcBorders>
            <w:shd w:val="clear" w:color="000000" w:fill="95B3D7"/>
            <w:noWrap/>
            <w:vAlign w:val="center"/>
            <w:hideMark/>
          </w:tcPr>
          <w:p w14:paraId="598EA5FE"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33</w:t>
            </w:r>
          </w:p>
        </w:tc>
        <w:tc>
          <w:tcPr>
            <w:tcW w:w="6088" w:type="dxa"/>
            <w:tcBorders>
              <w:top w:val="nil"/>
              <w:left w:val="nil"/>
              <w:bottom w:val="nil"/>
              <w:right w:val="nil"/>
            </w:tcBorders>
            <w:shd w:val="clear" w:color="auto" w:fill="auto"/>
            <w:vAlign w:val="center"/>
            <w:hideMark/>
          </w:tcPr>
          <w:p w14:paraId="5082DC6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Ieņēmumu palielināšana no dividenžu maksājumiem, AS “Latvijas Loto”</w:t>
            </w:r>
          </w:p>
        </w:tc>
        <w:tc>
          <w:tcPr>
            <w:tcW w:w="1080" w:type="dxa"/>
            <w:tcBorders>
              <w:top w:val="nil"/>
              <w:left w:val="nil"/>
              <w:bottom w:val="nil"/>
              <w:right w:val="nil"/>
            </w:tcBorders>
            <w:shd w:val="clear" w:color="auto" w:fill="auto"/>
            <w:noWrap/>
            <w:vAlign w:val="center"/>
            <w:hideMark/>
          </w:tcPr>
          <w:p w14:paraId="474D970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6A707C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50E27E9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D.4</w:t>
            </w:r>
          </w:p>
        </w:tc>
        <w:tc>
          <w:tcPr>
            <w:tcW w:w="1080" w:type="dxa"/>
            <w:tcBorders>
              <w:top w:val="nil"/>
              <w:left w:val="nil"/>
              <w:bottom w:val="nil"/>
              <w:right w:val="nil"/>
            </w:tcBorders>
            <w:shd w:val="clear" w:color="auto" w:fill="auto"/>
            <w:noWrap/>
            <w:vAlign w:val="center"/>
            <w:hideMark/>
          </w:tcPr>
          <w:p w14:paraId="1C2029A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8EA8C4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913C0B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5D4957B"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7B8769E7" w14:textId="77777777" w:rsidTr="00735170">
        <w:trPr>
          <w:trHeight w:val="395"/>
          <w:jc w:val="center"/>
        </w:trPr>
        <w:tc>
          <w:tcPr>
            <w:tcW w:w="426" w:type="dxa"/>
            <w:tcBorders>
              <w:top w:val="nil"/>
              <w:left w:val="nil"/>
              <w:bottom w:val="nil"/>
              <w:right w:val="nil"/>
            </w:tcBorders>
            <w:shd w:val="clear" w:color="000000" w:fill="95B3D7"/>
            <w:noWrap/>
            <w:vAlign w:val="center"/>
            <w:hideMark/>
          </w:tcPr>
          <w:p w14:paraId="46B6FDCA"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34</w:t>
            </w:r>
          </w:p>
        </w:tc>
        <w:tc>
          <w:tcPr>
            <w:tcW w:w="6088" w:type="dxa"/>
            <w:tcBorders>
              <w:top w:val="nil"/>
              <w:left w:val="nil"/>
              <w:bottom w:val="nil"/>
              <w:right w:val="nil"/>
            </w:tcBorders>
            <w:shd w:val="clear" w:color="auto" w:fill="auto"/>
            <w:vAlign w:val="center"/>
            <w:hideMark/>
          </w:tcPr>
          <w:p w14:paraId="753303B9"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Ieņēmumu palielināšana no dividenžu maksājumiem, AS “Latvenergo”</w:t>
            </w:r>
          </w:p>
        </w:tc>
        <w:tc>
          <w:tcPr>
            <w:tcW w:w="1080" w:type="dxa"/>
            <w:tcBorders>
              <w:top w:val="nil"/>
              <w:left w:val="nil"/>
              <w:bottom w:val="nil"/>
              <w:right w:val="nil"/>
            </w:tcBorders>
            <w:shd w:val="clear" w:color="auto" w:fill="auto"/>
            <w:noWrap/>
            <w:vAlign w:val="center"/>
            <w:hideMark/>
          </w:tcPr>
          <w:p w14:paraId="4122CC2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EFE455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BB6E04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D.4</w:t>
            </w:r>
          </w:p>
        </w:tc>
        <w:tc>
          <w:tcPr>
            <w:tcW w:w="1080" w:type="dxa"/>
            <w:tcBorders>
              <w:top w:val="nil"/>
              <w:left w:val="nil"/>
              <w:bottom w:val="nil"/>
              <w:right w:val="nil"/>
            </w:tcBorders>
            <w:shd w:val="clear" w:color="auto" w:fill="auto"/>
            <w:noWrap/>
            <w:vAlign w:val="center"/>
            <w:hideMark/>
          </w:tcPr>
          <w:p w14:paraId="21C74E07"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76091F8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570B9F10"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3E20FF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45572DD7" w14:textId="77777777" w:rsidTr="00735170">
        <w:trPr>
          <w:trHeight w:val="345"/>
          <w:jc w:val="center"/>
        </w:trPr>
        <w:tc>
          <w:tcPr>
            <w:tcW w:w="426" w:type="dxa"/>
            <w:tcBorders>
              <w:top w:val="nil"/>
              <w:left w:val="nil"/>
              <w:bottom w:val="nil"/>
              <w:right w:val="nil"/>
            </w:tcBorders>
            <w:shd w:val="clear" w:color="000000" w:fill="95B3D7"/>
            <w:noWrap/>
            <w:vAlign w:val="center"/>
            <w:hideMark/>
          </w:tcPr>
          <w:p w14:paraId="18CC8D89"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35</w:t>
            </w:r>
          </w:p>
        </w:tc>
        <w:tc>
          <w:tcPr>
            <w:tcW w:w="6088" w:type="dxa"/>
            <w:tcBorders>
              <w:top w:val="nil"/>
              <w:left w:val="nil"/>
              <w:bottom w:val="nil"/>
              <w:right w:val="nil"/>
            </w:tcBorders>
            <w:shd w:val="clear" w:color="auto" w:fill="auto"/>
            <w:vAlign w:val="center"/>
            <w:hideMark/>
          </w:tcPr>
          <w:p w14:paraId="7A5E84F3"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Ieņēmumu palielināšana no dividenžu maksājumiem, AS “Latvijas valsts meži”</w:t>
            </w:r>
          </w:p>
        </w:tc>
        <w:tc>
          <w:tcPr>
            <w:tcW w:w="1080" w:type="dxa"/>
            <w:tcBorders>
              <w:top w:val="nil"/>
              <w:left w:val="nil"/>
              <w:bottom w:val="nil"/>
              <w:right w:val="nil"/>
            </w:tcBorders>
            <w:shd w:val="clear" w:color="auto" w:fill="auto"/>
            <w:noWrap/>
            <w:vAlign w:val="center"/>
            <w:hideMark/>
          </w:tcPr>
          <w:p w14:paraId="171F69B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B27930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84075E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D.4</w:t>
            </w:r>
          </w:p>
        </w:tc>
        <w:tc>
          <w:tcPr>
            <w:tcW w:w="1080" w:type="dxa"/>
            <w:tcBorders>
              <w:top w:val="nil"/>
              <w:left w:val="nil"/>
              <w:bottom w:val="nil"/>
              <w:right w:val="nil"/>
            </w:tcBorders>
            <w:shd w:val="clear" w:color="auto" w:fill="auto"/>
            <w:noWrap/>
            <w:vAlign w:val="center"/>
            <w:hideMark/>
          </w:tcPr>
          <w:p w14:paraId="4BF8944F"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0,10</w:t>
            </w:r>
          </w:p>
        </w:tc>
        <w:tc>
          <w:tcPr>
            <w:tcW w:w="1080" w:type="dxa"/>
            <w:tcBorders>
              <w:top w:val="nil"/>
              <w:left w:val="nil"/>
              <w:bottom w:val="nil"/>
              <w:right w:val="nil"/>
            </w:tcBorders>
            <w:shd w:val="clear" w:color="auto" w:fill="auto"/>
            <w:noWrap/>
            <w:vAlign w:val="center"/>
            <w:hideMark/>
          </w:tcPr>
          <w:p w14:paraId="1A5E6FA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-0,10</w:t>
            </w:r>
          </w:p>
        </w:tc>
        <w:tc>
          <w:tcPr>
            <w:tcW w:w="1080" w:type="dxa"/>
            <w:tcBorders>
              <w:top w:val="nil"/>
              <w:left w:val="nil"/>
              <w:bottom w:val="nil"/>
              <w:right w:val="nil"/>
            </w:tcBorders>
            <w:shd w:val="clear" w:color="auto" w:fill="auto"/>
            <w:noWrap/>
            <w:vAlign w:val="center"/>
            <w:hideMark/>
          </w:tcPr>
          <w:p w14:paraId="33EECC3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B1D0C5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3189309B"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3FBE4A74"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t>36</w:t>
            </w:r>
          </w:p>
        </w:tc>
        <w:tc>
          <w:tcPr>
            <w:tcW w:w="6088" w:type="dxa"/>
            <w:tcBorders>
              <w:top w:val="nil"/>
              <w:left w:val="nil"/>
              <w:bottom w:val="nil"/>
              <w:right w:val="nil"/>
            </w:tcBorders>
            <w:shd w:val="clear" w:color="auto" w:fill="auto"/>
            <w:vAlign w:val="center"/>
            <w:hideMark/>
          </w:tcPr>
          <w:p w14:paraId="023B13B8"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Dažādu nodevu pārskatīšana</w:t>
            </w:r>
          </w:p>
        </w:tc>
        <w:tc>
          <w:tcPr>
            <w:tcW w:w="1080" w:type="dxa"/>
            <w:tcBorders>
              <w:top w:val="nil"/>
              <w:left w:val="nil"/>
              <w:bottom w:val="nil"/>
              <w:right w:val="nil"/>
            </w:tcBorders>
            <w:shd w:val="clear" w:color="auto" w:fill="auto"/>
            <w:noWrap/>
            <w:vAlign w:val="center"/>
            <w:hideMark/>
          </w:tcPr>
          <w:p w14:paraId="2F702993"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CF7BAED"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6CB14B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P.11, P.12, P.13</w:t>
            </w:r>
          </w:p>
        </w:tc>
        <w:tc>
          <w:tcPr>
            <w:tcW w:w="1080" w:type="dxa"/>
            <w:tcBorders>
              <w:top w:val="nil"/>
              <w:left w:val="nil"/>
              <w:bottom w:val="nil"/>
              <w:right w:val="nil"/>
            </w:tcBorders>
            <w:shd w:val="clear" w:color="auto" w:fill="auto"/>
            <w:noWrap/>
            <w:vAlign w:val="center"/>
            <w:hideMark/>
          </w:tcPr>
          <w:p w14:paraId="77E6FC8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7371F85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65212C6"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5A73409"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6B09C4" w:rsidRPr="002F1103" w14:paraId="0A80B6A9" w14:textId="77777777" w:rsidTr="00735170">
        <w:trPr>
          <w:trHeight w:val="480"/>
          <w:jc w:val="center"/>
        </w:trPr>
        <w:tc>
          <w:tcPr>
            <w:tcW w:w="426" w:type="dxa"/>
            <w:tcBorders>
              <w:top w:val="nil"/>
              <w:left w:val="nil"/>
              <w:bottom w:val="nil"/>
              <w:right w:val="nil"/>
            </w:tcBorders>
            <w:shd w:val="clear" w:color="000000" w:fill="95B3D7"/>
            <w:noWrap/>
            <w:vAlign w:val="center"/>
            <w:hideMark/>
          </w:tcPr>
          <w:p w14:paraId="76C27280" w14:textId="77777777" w:rsidR="002F1103" w:rsidRPr="002F1103" w:rsidRDefault="002F1103" w:rsidP="006357B3">
            <w:pPr>
              <w:spacing w:after="0" w:line="240" w:lineRule="auto"/>
              <w:ind w:firstLine="0"/>
              <w:jc w:val="right"/>
              <w:rPr>
                <w:rFonts w:eastAsia="Times New Roman" w:cs="Times New Roman"/>
                <w:color w:val="000000"/>
                <w:sz w:val="18"/>
                <w:szCs w:val="18"/>
                <w:lang w:eastAsia="lv-LV"/>
              </w:rPr>
            </w:pPr>
            <w:r w:rsidRPr="002F1103">
              <w:rPr>
                <w:rFonts w:eastAsia="Times New Roman" w:cs="Times New Roman"/>
                <w:color w:val="000000"/>
                <w:sz w:val="18"/>
                <w:szCs w:val="18"/>
                <w:lang w:eastAsia="lv-LV"/>
              </w:rPr>
              <w:lastRenderedPageBreak/>
              <w:t>37</w:t>
            </w:r>
          </w:p>
        </w:tc>
        <w:tc>
          <w:tcPr>
            <w:tcW w:w="6088" w:type="dxa"/>
            <w:tcBorders>
              <w:top w:val="nil"/>
              <w:left w:val="nil"/>
              <w:bottom w:val="nil"/>
              <w:right w:val="nil"/>
            </w:tcBorders>
            <w:shd w:val="clear" w:color="auto" w:fill="auto"/>
            <w:vAlign w:val="center"/>
            <w:hideMark/>
          </w:tcPr>
          <w:p w14:paraId="1CAF7E7B"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Autoceļu lietošanas nodeva</w:t>
            </w:r>
          </w:p>
        </w:tc>
        <w:tc>
          <w:tcPr>
            <w:tcW w:w="1080" w:type="dxa"/>
            <w:tcBorders>
              <w:top w:val="nil"/>
              <w:left w:val="nil"/>
              <w:bottom w:val="nil"/>
              <w:right w:val="nil"/>
            </w:tcBorders>
            <w:shd w:val="clear" w:color="auto" w:fill="auto"/>
            <w:noWrap/>
            <w:vAlign w:val="center"/>
            <w:hideMark/>
          </w:tcPr>
          <w:p w14:paraId="1393F06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D7A7058"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4D349A0A"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P.11, P.12, P.14</w:t>
            </w:r>
          </w:p>
        </w:tc>
        <w:tc>
          <w:tcPr>
            <w:tcW w:w="1080" w:type="dxa"/>
            <w:tcBorders>
              <w:top w:val="nil"/>
              <w:left w:val="nil"/>
              <w:bottom w:val="nil"/>
              <w:right w:val="nil"/>
            </w:tcBorders>
            <w:shd w:val="clear" w:color="auto" w:fill="auto"/>
            <w:noWrap/>
            <w:vAlign w:val="center"/>
            <w:hideMark/>
          </w:tcPr>
          <w:p w14:paraId="760642B4"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0,06</w:t>
            </w:r>
          </w:p>
        </w:tc>
        <w:tc>
          <w:tcPr>
            <w:tcW w:w="1080" w:type="dxa"/>
            <w:tcBorders>
              <w:top w:val="nil"/>
              <w:left w:val="nil"/>
              <w:bottom w:val="nil"/>
              <w:right w:val="nil"/>
            </w:tcBorders>
            <w:shd w:val="clear" w:color="auto" w:fill="auto"/>
            <w:noWrap/>
            <w:vAlign w:val="center"/>
            <w:hideMark/>
          </w:tcPr>
          <w:p w14:paraId="6939E1C2"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C96BEBE"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E20751C" w14:textId="77777777" w:rsidR="002F1103" w:rsidRPr="002F1103" w:rsidRDefault="002F1103" w:rsidP="006357B3">
            <w:pPr>
              <w:spacing w:after="0" w:line="240" w:lineRule="auto"/>
              <w:ind w:firstLine="0"/>
              <w:jc w:val="center"/>
              <w:rPr>
                <w:rFonts w:eastAsia="Times New Roman" w:cs="Times New Roman"/>
                <w:color w:val="000000"/>
                <w:sz w:val="18"/>
                <w:szCs w:val="18"/>
                <w:lang w:eastAsia="lv-LV"/>
              </w:rPr>
            </w:pPr>
            <w:r w:rsidRPr="002F1103">
              <w:rPr>
                <w:rFonts w:eastAsia="Times New Roman" w:cs="Times New Roman"/>
                <w:color w:val="000000"/>
                <w:sz w:val="18"/>
                <w:szCs w:val="18"/>
                <w:lang w:eastAsia="lv-LV"/>
              </w:rPr>
              <w:t>0,00</w:t>
            </w:r>
          </w:p>
        </w:tc>
      </w:tr>
      <w:tr w:rsidR="002F1103" w:rsidRPr="002F1103" w14:paraId="69C63828" w14:textId="77777777" w:rsidTr="00735170">
        <w:trPr>
          <w:trHeight w:val="315"/>
          <w:jc w:val="center"/>
        </w:trPr>
        <w:tc>
          <w:tcPr>
            <w:tcW w:w="426" w:type="dxa"/>
            <w:tcBorders>
              <w:top w:val="nil"/>
              <w:left w:val="nil"/>
              <w:bottom w:val="nil"/>
              <w:right w:val="nil"/>
            </w:tcBorders>
            <w:shd w:val="clear" w:color="000000" w:fill="95B3D7"/>
            <w:noWrap/>
            <w:vAlign w:val="center"/>
            <w:hideMark/>
          </w:tcPr>
          <w:p w14:paraId="326A6C40" w14:textId="77777777" w:rsidR="002F1103" w:rsidRPr="002F1103" w:rsidRDefault="002F1103" w:rsidP="006357B3">
            <w:pPr>
              <w:spacing w:after="0" w:line="240" w:lineRule="auto"/>
              <w:ind w:firstLine="0"/>
              <w:jc w:val="left"/>
              <w:rPr>
                <w:rFonts w:eastAsia="Times New Roman" w:cs="Times New Roman"/>
                <w:color w:val="000000"/>
                <w:sz w:val="18"/>
                <w:szCs w:val="18"/>
                <w:lang w:eastAsia="lv-LV"/>
              </w:rPr>
            </w:pPr>
            <w:r w:rsidRPr="002F1103">
              <w:rPr>
                <w:rFonts w:eastAsia="Times New Roman" w:cs="Times New Roman"/>
                <w:color w:val="000000"/>
                <w:sz w:val="18"/>
                <w:szCs w:val="18"/>
                <w:lang w:eastAsia="lv-LV"/>
              </w:rPr>
              <w:t> </w:t>
            </w:r>
          </w:p>
        </w:tc>
        <w:tc>
          <w:tcPr>
            <w:tcW w:w="6088" w:type="dxa"/>
            <w:tcBorders>
              <w:top w:val="nil"/>
              <w:left w:val="nil"/>
              <w:bottom w:val="nil"/>
              <w:right w:val="nil"/>
            </w:tcBorders>
            <w:shd w:val="clear" w:color="000000" w:fill="BDD6EE"/>
            <w:vAlign w:val="center"/>
            <w:hideMark/>
          </w:tcPr>
          <w:p w14:paraId="37C79C4E" w14:textId="77777777" w:rsidR="002F1103" w:rsidRPr="002F1103" w:rsidRDefault="002F1103" w:rsidP="006357B3">
            <w:pPr>
              <w:spacing w:after="0" w:line="240" w:lineRule="auto"/>
              <w:ind w:firstLine="0"/>
              <w:jc w:val="left"/>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KOPĀ</w:t>
            </w:r>
          </w:p>
        </w:tc>
        <w:tc>
          <w:tcPr>
            <w:tcW w:w="1080" w:type="dxa"/>
            <w:tcBorders>
              <w:top w:val="nil"/>
              <w:left w:val="nil"/>
              <w:bottom w:val="nil"/>
              <w:right w:val="nil"/>
            </w:tcBorders>
            <w:shd w:val="clear" w:color="000000" w:fill="BDD6EE"/>
            <w:vAlign w:val="center"/>
            <w:hideMark/>
          </w:tcPr>
          <w:p w14:paraId="7FC439FE"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BDD6EE"/>
            <w:noWrap/>
            <w:vAlign w:val="center"/>
            <w:hideMark/>
          </w:tcPr>
          <w:p w14:paraId="25F1C76D" w14:textId="77777777" w:rsidR="002F1103" w:rsidRPr="002F1103" w:rsidRDefault="002F1103" w:rsidP="006357B3">
            <w:pPr>
              <w:spacing w:after="0" w:line="240" w:lineRule="auto"/>
              <w:ind w:firstLine="0"/>
              <w:jc w:val="center"/>
              <w:rPr>
                <w:rFonts w:eastAsia="Times New Roman" w:cs="Times New Roman"/>
                <w:b/>
                <w:bCs/>
                <w:color w:val="31869B"/>
                <w:sz w:val="18"/>
                <w:szCs w:val="18"/>
                <w:lang w:eastAsia="lv-LV"/>
              </w:rPr>
            </w:pPr>
            <w:r w:rsidRPr="002F1103">
              <w:rPr>
                <w:rFonts w:eastAsia="Times New Roman" w:cs="Times New Roman"/>
                <w:b/>
                <w:bCs/>
                <w:color w:val="31869B"/>
                <w:sz w:val="18"/>
                <w:szCs w:val="18"/>
                <w:lang w:eastAsia="lv-LV"/>
              </w:rPr>
              <w:t> </w:t>
            </w:r>
          </w:p>
        </w:tc>
        <w:tc>
          <w:tcPr>
            <w:tcW w:w="1080" w:type="dxa"/>
            <w:tcBorders>
              <w:top w:val="nil"/>
              <w:left w:val="nil"/>
              <w:bottom w:val="nil"/>
              <w:right w:val="nil"/>
            </w:tcBorders>
            <w:shd w:val="clear" w:color="000000" w:fill="BDD6EE"/>
            <w:noWrap/>
            <w:vAlign w:val="center"/>
            <w:hideMark/>
          </w:tcPr>
          <w:p w14:paraId="477C67B4"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BDD6EE"/>
            <w:noWrap/>
            <w:vAlign w:val="center"/>
            <w:hideMark/>
          </w:tcPr>
          <w:p w14:paraId="0AA34CB2"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sz w:val="18"/>
                <w:szCs w:val="16"/>
                <w:lang w:eastAsia="lv-LV"/>
              </w:rPr>
              <w:t>0,46</w:t>
            </w:r>
          </w:p>
        </w:tc>
        <w:tc>
          <w:tcPr>
            <w:tcW w:w="1080" w:type="dxa"/>
            <w:tcBorders>
              <w:top w:val="nil"/>
              <w:left w:val="nil"/>
              <w:bottom w:val="nil"/>
              <w:right w:val="nil"/>
            </w:tcBorders>
            <w:shd w:val="clear" w:color="000000" w:fill="BDD6EE"/>
            <w:noWrap/>
            <w:vAlign w:val="center"/>
            <w:hideMark/>
          </w:tcPr>
          <w:p w14:paraId="35C1F626"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sz w:val="18"/>
                <w:szCs w:val="16"/>
                <w:lang w:eastAsia="lv-LV"/>
              </w:rPr>
              <w:t>-0,33</w:t>
            </w:r>
          </w:p>
        </w:tc>
        <w:tc>
          <w:tcPr>
            <w:tcW w:w="1080" w:type="dxa"/>
            <w:tcBorders>
              <w:top w:val="nil"/>
              <w:left w:val="nil"/>
              <w:bottom w:val="nil"/>
              <w:right w:val="nil"/>
            </w:tcBorders>
            <w:shd w:val="clear" w:color="000000" w:fill="BDD6EE"/>
            <w:noWrap/>
            <w:vAlign w:val="center"/>
            <w:hideMark/>
          </w:tcPr>
          <w:p w14:paraId="6D0CCD18"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sz w:val="18"/>
                <w:szCs w:val="16"/>
                <w:lang w:eastAsia="lv-LV"/>
              </w:rPr>
              <w:t>-0,09</w:t>
            </w:r>
          </w:p>
        </w:tc>
        <w:tc>
          <w:tcPr>
            <w:tcW w:w="1080" w:type="dxa"/>
            <w:tcBorders>
              <w:top w:val="nil"/>
              <w:left w:val="nil"/>
              <w:bottom w:val="nil"/>
              <w:right w:val="nil"/>
            </w:tcBorders>
            <w:shd w:val="clear" w:color="000000" w:fill="BDD6EE"/>
            <w:noWrap/>
            <w:vAlign w:val="center"/>
            <w:hideMark/>
          </w:tcPr>
          <w:p w14:paraId="1F2501E4" w14:textId="77777777" w:rsidR="002F1103" w:rsidRPr="002F1103" w:rsidRDefault="002F1103" w:rsidP="006357B3">
            <w:pPr>
              <w:spacing w:after="0" w:line="240" w:lineRule="auto"/>
              <w:ind w:firstLine="0"/>
              <w:jc w:val="center"/>
              <w:rPr>
                <w:rFonts w:eastAsia="Times New Roman" w:cs="Times New Roman"/>
                <w:b/>
                <w:bCs/>
                <w:color w:val="000000"/>
                <w:sz w:val="18"/>
                <w:szCs w:val="18"/>
                <w:lang w:eastAsia="lv-LV"/>
              </w:rPr>
            </w:pPr>
            <w:r w:rsidRPr="002F1103">
              <w:rPr>
                <w:rFonts w:eastAsia="Times New Roman" w:cs="Times New Roman"/>
                <w:b/>
                <w:bCs/>
                <w:sz w:val="18"/>
                <w:szCs w:val="16"/>
                <w:lang w:eastAsia="lv-LV"/>
              </w:rPr>
              <w:t>-0,19</w:t>
            </w:r>
          </w:p>
        </w:tc>
      </w:tr>
    </w:tbl>
    <w:p w14:paraId="128D8793" w14:textId="77777777" w:rsidR="000C5CF0" w:rsidRDefault="000C5CF0" w:rsidP="000C5CF0"/>
    <w:p w14:paraId="37E309B8" w14:textId="4A46A0A4" w:rsidR="005A4348" w:rsidRPr="002869EC" w:rsidRDefault="001E75E4" w:rsidP="000C5CF0">
      <w:pPr>
        <w:pStyle w:val="Heading3"/>
        <w:numPr>
          <w:ilvl w:val="0"/>
          <w:numId w:val="0"/>
        </w:numPr>
        <w:spacing w:before="0" w:line="240" w:lineRule="auto"/>
        <w:ind w:left="720" w:hanging="720"/>
        <w:jc w:val="center"/>
        <w:rPr>
          <w:rFonts w:eastAsia="Aptos"/>
          <w:kern w:val="2"/>
          <w:szCs w:val="28"/>
          <w14:ligatures w14:val="standardContextual"/>
        </w:rPr>
      </w:pPr>
      <w:bookmarkStart w:id="45" w:name="_Toc179540639"/>
      <w:r>
        <w:t>7</w:t>
      </w:r>
      <w:r w:rsidR="005A4348" w:rsidRPr="002869EC">
        <w:t xml:space="preserve">.2.2. Jaunie </w:t>
      </w:r>
      <w:proofErr w:type="spellStart"/>
      <w:r w:rsidR="005A4348" w:rsidRPr="002869EC">
        <w:t>nediskrecionārie</w:t>
      </w:r>
      <w:proofErr w:type="spellEnd"/>
      <w:r w:rsidR="005A4348" w:rsidRPr="002869EC">
        <w:t xml:space="preserve"> ieņēmumu pasākumi</w:t>
      </w:r>
      <w:bookmarkEnd w:id="45"/>
    </w:p>
    <w:p w14:paraId="450296C8" w14:textId="591B0C73" w:rsidR="00AD1255" w:rsidRPr="00BB31A6" w:rsidRDefault="000C5CF0" w:rsidP="006357B3">
      <w:pPr>
        <w:spacing w:line="240" w:lineRule="auto"/>
        <w:jc w:val="right"/>
        <w:rPr>
          <w:rFonts w:cs="Times New Roman"/>
          <w:b/>
          <w:bCs/>
          <w:szCs w:val="20"/>
        </w:rPr>
      </w:pPr>
      <w:r>
        <w:rPr>
          <w:rFonts w:cs="Times New Roman"/>
          <w:b/>
          <w:bCs/>
          <w:szCs w:val="20"/>
        </w:rPr>
        <w:t>L</w:t>
      </w:r>
      <w:r w:rsidR="003D3AF7" w:rsidRPr="00BB31A6">
        <w:rPr>
          <w:rFonts w:cs="Times New Roman"/>
          <w:b/>
          <w:bCs/>
          <w:szCs w:val="20"/>
        </w:rPr>
        <w:t xml:space="preserve">. </w:t>
      </w:r>
      <w:r w:rsidR="00FA1949" w:rsidRPr="00BB31A6">
        <w:rPr>
          <w:rFonts w:cs="Times New Roman"/>
          <w:b/>
          <w:bCs/>
          <w:szCs w:val="20"/>
        </w:rPr>
        <w:t>Tabula</w:t>
      </w:r>
      <w:r w:rsidR="00AD1255" w:rsidRPr="00BB31A6">
        <w:rPr>
          <w:rFonts w:cs="Times New Roman"/>
          <w:b/>
          <w:bCs/>
          <w:szCs w:val="20"/>
        </w:rPr>
        <w:t>.</w:t>
      </w:r>
      <w:r w:rsidR="003D3AF7" w:rsidRPr="00BB31A6">
        <w:rPr>
          <w:rFonts w:cs="Times New Roman"/>
          <w:b/>
          <w:bCs/>
          <w:szCs w:val="20"/>
        </w:rPr>
        <w:t xml:space="preserve"> Jauno </w:t>
      </w:r>
      <w:proofErr w:type="spellStart"/>
      <w:r w:rsidR="003D3AF7" w:rsidRPr="00BB31A6">
        <w:rPr>
          <w:rFonts w:cs="Times New Roman"/>
          <w:b/>
          <w:bCs/>
          <w:szCs w:val="20"/>
        </w:rPr>
        <w:t>nediskrecionāro</w:t>
      </w:r>
      <w:proofErr w:type="spellEnd"/>
      <w:r w:rsidR="003D3AF7" w:rsidRPr="00BB31A6">
        <w:rPr>
          <w:rFonts w:cs="Times New Roman"/>
          <w:b/>
          <w:bCs/>
          <w:szCs w:val="20"/>
        </w:rPr>
        <w:t xml:space="preserve"> ieņēmumu paredzamā ietekme</w:t>
      </w:r>
    </w:p>
    <w:tbl>
      <w:tblPr>
        <w:tblW w:w="13080" w:type="dxa"/>
        <w:jc w:val="center"/>
        <w:tblLook w:val="04A0" w:firstRow="1" w:lastRow="0" w:firstColumn="1" w:lastColumn="0" w:noHBand="0" w:noVBand="1"/>
      </w:tblPr>
      <w:tblGrid>
        <w:gridCol w:w="480"/>
        <w:gridCol w:w="5040"/>
        <w:gridCol w:w="1080"/>
        <w:gridCol w:w="1080"/>
        <w:gridCol w:w="1080"/>
        <w:gridCol w:w="1080"/>
        <w:gridCol w:w="1080"/>
        <w:gridCol w:w="1080"/>
        <w:gridCol w:w="1080"/>
      </w:tblGrid>
      <w:tr w:rsidR="003D3AF7" w:rsidRPr="003D3AF7" w14:paraId="61F7287B" w14:textId="77777777" w:rsidTr="00E544E1">
        <w:trPr>
          <w:trHeight w:val="480"/>
          <w:jc w:val="center"/>
        </w:trPr>
        <w:tc>
          <w:tcPr>
            <w:tcW w:w="480" w:type="dxa"/>
            <w:tcBorders>
              <w:top w:val="nil"/>
              <w:left w:val="nil"/>
              <w:bottom w:val="nil"/>
              <w:right w:val="nil"/>
            </w:tcBorders>
            <w:shd w:val="clear" w:color="auto" w:fill="D9E2F3" w:themeFill="accent5" w:themeFillTint="33"/>
            <w:noWrap/>
            <w:vAlign w:val="bottom"/>
            <w:hideMark/>
          </w:tcPr>
          <w:p w14:paraId="3B4CF0EB" w14:textId="77777777" w:rsidR="003D3AF7" w:rsidRPr="003D3AF7" w:rsidRDefault="003D3AF7" w:rsidP="006357B3">
            <w:pPr>
              <w:spacing w:after="0" w:line="240" w:lineRule="auto"/>
              <w:ind w:firstLine="0"/>
              <w:jc w:val="left"/>
              <w:rPr>
                <w:rFonts w:eastAsia="Times New Roman" w:cs="Times New Roman"/>
                <w:sz w:val="20"/>
                <w:szCs w:val="24"/>
                <w:lang w:eastAsia="lv-LV"/>
              </w:rPr>
            </w:pPr>
          </w:p>
        </w:tc>
        <w:tc>
          <w:tcPr>
            <w:tcW w:w="5040" w:type="dxa"/>
            <w:tcBorders>
              <w:top w:val="nil"/>
              <w:left w:val="nil"/>
              <w:bottom w:val="nil"/>
              <w:right w:val="nil"/>
            </w:tcBorders>
            <w:shd w:val="clear" w:color="auto" w:fill="D9E2F3" w:themeFill="accent5" w:themeFillTint="33"/>
            <w:noWrap/>
            <w:vAlign w:val="bottom"/>
            <w:hideMark/>
          </w:tcPr>
          <w:p w14:paraId="11C33DEB" w14:textId="77777777" w:rsidR="003D3AF7" w:rsidRPr="003D3AF7" w:rsidRDefault="003D3AF7" w:rsidP="006357B3">
            <w:pPr>
              <w:spacing w:after="0" w:line="240" w:lineRule="auto"/>
              <w:ind w:firstLine="0"/>
              <w:jc w:val="left"/>
              <w:rPr>
                <w:rFonts w:eastAsia="Times New Roman" w:cs="Times New Roman"/>
                <w:sz w:val="20"/>
                <w:szCs w:val="20"/>
                <w:lang w:eastAsia="lv-LV"/>
              </w:rPr>
            </w:pPr>
          </w:p>
        </w:tc>
        <w:tc>
          <w:tcPr>
            <w:tcW w:w="1080" w:type="dxa"/>
            <w:tcBorders>
              <w:top w:val="nil"/>
              <w:left w:val="nil"/>
              <w:bottom w:val="nil"/>
              <w:right w:val="nil"/>
            </w:tcBorders>
            <w:shd w:val="clear" w:color="auto" w:fill="D9E2F3" w:themeFill="accent5" w:themeFillTint="33"/>
            <w:noWrap/>
            <w:vAlign w:val="center"/>
            <w:hideMark/>
          </w:tcPr>
          <w:p w14:paraId="0A2B0BFC"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Vienreizējs</w:t>
            </w:r>
          </w:p>
        </w:tc>
        <w:tc>
          <w:tcPr>
            <w:tcW w:w="1080" w:type="dxa"/>
            <w:tcBorders>
              <w:top w:val="nil"/>
              <w:left w:val="nil"/>
              <w:bottom w:val="nil"/>
              <w:right w:val="nil"/>
            </w:tcBorders>
            <w:shd w:val="clear" w:color="auto" w:fill="D9E2F3" w:themeFill="accent5" w:themeFillTint="33"/>
            <w:vAlign w:val="center"/>
            <w:hideMark/>
          </w:tcPr>
          <w:p w14:paraId="30776B1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Izdevumi/ ieņēmumi</w:t>
            </w:r>
          </w:p>
        </w:tc>
        <w:tc>
          <w:tcPr>
            <w:tcW w:w="1080" w:type="dxa"/>
            <w:tcBorders>
              <w:top w:val="nil"/>
              <w:left w:val="nil"/>
              <w:bottom w:val="nil"/>
              <w:right w:val="nil"/>
            </w:tcBorders>
            <w:shd w:val="clear" w:color="auto" w:fill="D9E2F3" w:themeFill="accent5" w:themeFillTint="33"/>
            <w:vAlign w:val="center"/>
            <w:hideMark/>
          </w:tcPr>
          <w:p w14:paraId="7053E8BB"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EKS kods</w:t>
            </w:r>
          </w:p>
        </w:tc>
        <w:tc>
          <w:tcPr>
            <w:tcW w:w="1080" w:type="dxa"/>
            <w:tcBorders>
              <w:top w:val="nil"/>
              <w:left w:val="nil"/>
              <w:bottom w:val="nil"/>
              <w:right w:val="nil"/>
            </w:tcBorders>
            <w:shd w:val="clear" w:color="000000" w:fill="95B3D7"/>
            <w:noWrap/>
            <w:vAlign w:val="center"/>
            <w:hideMark/>
          </w:tcPr>
          <w:p w14:paraId="5E14418C"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2025</w:t>
            </w:r>
          </w:p>
        </w:tc>
        <w:tc>
          <w:tcPr>
            <w:tcW w:w="1080" w:type="dxa"/>
            <w:tcBorders>
              <w:top w:val="nil"/>
              <w:left w:val="nil"/>
              <w:bottom w:val="nil"/>
              <w:right w:val="nil"/>
            </w:tcBorders>
            <w:shd w:val="clear" w:color="000000" w:fill="95B3D7"/>
            <w:noWrap/>
            <w:vAlign w:val="center"/>
            <w:hideMark/>
          </w:tcPr>
          <w:p w14:paraId="4A237C30"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2026</w:t>
            </w:r>
          </w:p>
        </w:tc>
        <w:tc>
          <w:tcPr>
            <w:tcW w:w="1080" w:type="dxa"/>
            <w:tcBorders>
              <w:top w:val="nil"/>
              <w:left w:val="nil"/>
              <w:bottom w:val="nil"/>
              <w:right w:val="nil"/>
            </w:tcBorders>
            <w:shd w:val="clear" w:color="000000" w:fill="95B3D7"/>
            <w:noWrap/>
            <w:vAlign w:val="center"/>
            <w:hideMark/>
          </w:tcPr>
          <w:p w14:paraId="4E601F98"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2027</w:t>
            </w:r>
          </w:p>
        </w:tc>
        <w:tc>
          <w:tcPr>
            <w:tcW w:w="1080" w:type="dxa"/>
            <w:tcBorders>
              <w:top w:val="nil"/>
              <w:left w:val="nil"/>
              <w:bottom w:val="nil"/>
              <w:right w:val="nil"/>
            </w:tcBorders>
            <w:shd w:val="clear" w:color="000000" w:fill="95B3D7"/>
            <w:noWrap/>
            <w:vAlign w:val="center"/>
            <w:hideMark/>
          </w:tcPr>
          <w:p w14:paraId="58A8E21C"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2028</w:t>
            </w:r>
          </w:p>
        </w:tc>
      </w:tr>
      <w:tr w:rsidR="003D3AF7" w:rsidRPr="003D3AF7" w14:paraId="726A5BD7" w14:textId="77777777" w:rsidTr="003D3AF7">
        <w:trPr>
          <w:trHeight w:val="315"/>
          <w:jc w:val="center"/>
        </w:trPr>
        <w:tc>
          <w:tcPr>
            <w:tcW w:w="480" w:type="dxa"/>
            <w:tcBorders>
              <w:top w:val="nil"/>
              <w:left w:val="nil"/>
              <w:bottom w:val="nil"/>
              <w:right w:val="nil"/>
            </w:tcBorders>
            <w:shd w:val="clear" w:color="000000" w:fill="95B3D7"/>
            <w:noWrap/>
            <w:vAlign w:val="center"/>
            <w:hideMark/>
          </w:tcPr>
          <w:p w14:paraId="61D8EE7E"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 </w:t>
            </w:r>
          </w:p>
        </w:tc>
        <w:tc>
          <w:tcPr>
            <w:tcW w:w="5040" w:type="dxa"/>
            <w:tcBorders>
              <w:top w:val="nil"/>
              <w:left w:val="nil"/>
              <w:bottom w:val="nil"/>
              <w:right w:val="nil"/>
            </w:tcBorders>
            <w:shd w:val="clear" w:color="000000" w:fill="95B3D7"/>
            <w:vAlign w:val="center"/>
            <w:hideMark/>
          </w:tcPr>
          <w:p w14:paraId="5A42429F" w14:textId="77777777" w:rsidR="003D3AF7" w:rsidRPr="003D3AF7" w:rsidRDefault="003D3AF7" w:rsidP="006357B3">
            <w:pPr>
              <w:spacing w:after="0" w:line="240" w:lineRule="auto"/>
              <w:ind w:firstLine="0"/>
              <w:jc w:val="left"/>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Nosaukums/pasākuma apraksts</w:t>
            </w:r>
          </w:p>
        </w:tc>
        <w:tc>
          <w:tcPr>
            <w:tcW w:w="1080" w:type="dxa"/>
            <w:tcBorders>
              <w:top w:val="nil"/>
              <w:left w:val="nil"/>
              <w:bottom w:val="nil"/>
              <w:right w:val="nil"/>
            </w:tcBorders>
            <w:shd w:val="clear" w:color="000000" w:fill="95B3D7"/>
            <w:vAlign w:val="center"/>
            <w:hideMark/>
          </w:tcPr>
          <w:p w14:paraId="3B02A85A" w14:textId="77777777" w:rsidR="003D3AF7" w:rsidRPr="003D3AF7" w:rsidRDefault="003D3AF7" w:rsidP="006357B3">
            <w:pPr>
              <w:spacing w:after="0" w:line="240" w:lineRule="auto"/>
              <w:ind w:firstLine="0"/>
              <w:jc w:val="left"/>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95B3D7"/>
            <w:vAlign w:val="center"/>
            <w:hideMark/>
          </w:tcPr>
          <w:p w14:paraId="70014F52" w14:textId="77777777" w:rsidR="003D3AF7" w:rsidRPr="003D3AF7" w:rsidRDefault="003D3AF7" w:rsidP="006357B3">
            <w:pPr>
              <w:spacing w:after="0" w:line="240" w:lineRule="auto"/>
              <w:ind w:firstLine="0"/>
              <w:jc w:val="left"/>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95B3D7"/>
            <w:vAlign w:val="center"/>
            <w:hideMark/>
          </w:tcPr>
          <w:p w14:paraId="7D4CF9B1"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 </w:t>
            </w:r>
          </w:p>
        </w:tc>
        <w:tc>
          <w:tcPr>
            <w:tcW w:w="1080" w:type="dxa"/>
            <w:tcBorders>
              <w:top w:val="nil"/>
              <w:left w:val="nil"/>
              <w:bottom w:val="nil"/>
              <w:right w:val="nil"/>
            </w:tcBorders>
            <w:shd w:val="clear" w:color="000000" w:fill="95B3D7"/>
            <w:noWrap/>
            <w:vAlign w:val="center"/>
            <w:hideMark/>
          </w:tcPr>
          <w:p w14:paraId="0D13F3B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5179630F"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38DA1D6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22A6C1E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 no IKP</w:t>
            </w:r>
          </w:p>
        </w:tc>
      </w:tr>
      <w:tr w:rsidR="003D3AF7" w:rsidRPr="003D3AF7" w14:paraId="74723D65"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75523087"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1</w:t>
            </w:r>
          </w:p>
        </w:tc>
        <w:tc>
          <w:tcPr>
            <w:tcW w:w="5040" w:type="dxa"/>
            <w:tcBorders>
              <w:top w:val="nil"/>
              <w:left w:val="nil"/>
              <w:bottom w:val="nil"/>
              <w:right w:val="nil"/>
            </w:tcBorders>
            <w:shd w:val="clear" w:color="auto" w:fill="auto"/>
            <w:vAlign w:val="center"/>
            <w:hideMark/>
          </w:tcPr>
          <w:p w14:paraId="6D1C9AC2"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Minimālās algas palielināšana</w:t>
            </w:r>
          </w:p>
        </w:tc>
        <w:tc>
          <w:tcPr>
            <w:tcW w:w="1080" w:type="dxa"/>
            <w:tcBorders>
              <w:top w:val="nil"/>
              <w:left w:val="nil"/>
              <w:bottom w:val="nil"/>
              <w:right w:val="nil"/>
            </w:tcBorders>
            <w:shd w:val="clear" w:color="auto" w:fill="auto"/>
            <w:noWrap/>
            <w:vAlign w:val="center"/>
            <w:hideMark/>
          </w:tcPr>
          <w:p w14:paraId="7D69FE1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645645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0F27291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6C5EFAEA"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2CCD46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6FC39F8"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548C9CB"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5CCFBEBE"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5DAA44ED"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2</w:t>
            </w:r>
          </w:p>
        </w:tc>
        <w:tc>
          <w:tcPr>
            <w:tcW w:w="5040" w:type="dxa"/>
            <w:tcBorders>
              <w:top w:val="nil"/>
              <w:left w:val="nil"/>
              <w:bottom w:val="nil"/>
              <w:right w:val="nil"/>
            </w:tcBorders>
            <w:shd w:val="clear" w:color="auto" w:fill="auto"/>
            <w:vAlign w:val="center"/>
            <w:hideMark/>
          </w:tcPr>
          <w:p w14:paraId="68230E0A"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IIN EKS korekcija</w:t>
            </w:r>
          </w:p>
        </w:tc>
        <w:tc>
          <w:tcPr>
            <w:tcW w:w="1080" w:type="dxa"/>
            <w:tcBorders>
              <w:top w:val="nil"/>
              <w:left w:val="nil"/>
              <w:bottom w:val="nil"/>
              <w:right w:val="nil"/>
            </w:tcBorders>
            <w:shd w:val="clear" w:color="auto" w:fill="auto"/>
            <w:noWrap/>
            <w:vAlign w:val="center"/>
            <w:hideMark/>
          </w:tcPr>
          <w:p w14:paraId="23DE7C9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95E500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22FCABF"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1E81C473"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-0,06</w:t>
            </w:r>
          </w:p>
        </w:tc>
        <w:tc>
          <w:tcPr>
            <w:tcW w:w="1080" w:type="dxa"/>
            <w:tcBorders>
              <w:top w:val="nil"/>
              <w:left w:val="nil"/>
              <w:bottom w:val="nil"/>
              <w:right w:val="nil"/>
            </w:tcBorders>
            <w:shd w:val="clear" w:color="auto" w:fill="auto"/>
            <w:noWrap/>
            <w:vAlign w:val="center"/>
            <w:hideMark/>
          </w:tcPr>
          <w:p w14:paraId="735A390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674BC0A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02A962A"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3E310292"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28D57809"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3</w:t>
            </w:r>
          </w:p>
        </w:tc>
        <w:tc>
          <w:tcPr>
            <w:tcW w:w="5040" w:type="dxa"/>
            <w:tcBorders>
              <w:top w:val="nil"/>
              <w:left w:val="nil"/>
              <w:bottom w:val="nil"/>
              <w:right w:val="nil"/>
            </w:tcBorders>
            <w:shd w:val="clear" w:color="auto" w:fill="auto"/>
            <w:vAlign w:val="center"/>
            <w:hideMark/>
          </w:tcPr>
          <w:p w14:paraId="206AB229"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Minimālās algas palielināšana</w:t>
            </w:r>
          </w:p>
        </w:tc>
        <w:tc>
          <w:tcPr>
            <w:tcW w:w="1080" w:type="dxa"/>
            <w:tcBorders>
              <w:top w:val="nil"/>
              <w:left w:val="nil"/>
              <w:bottom w:val="nil"/>
              <w:right w:val="nil"/>
            </w:tcBorders>
            <w:shd w:val="clear" w:color="auto" w:fill="auto"/>
            <w:noWrap/>
            <w:vAlign w:val="center"/>
            <w:hideMark/>
          </w:tcPr>
          <w:p w14:paraId="38418DE9"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5EDF444"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54C0BFA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D.61</w:t>
            </w:r>
          </w:p>
        </w:tc>
        <w:tc>
          <w:tcPr>
            <w:tcW w:w="1080" w:type="dxa"/>
            <w:tcBorders>
              <w:top w:val="nil"/>
              <w:left w:val="nil"/>
              <w:bottom w:val="nil"/>
              <w:right w:val="nil"/>
            </w:tcBorders>
            <w:shd w:val="clear" w:color="auto" w:fill="auto"/>
            <w:noWrap/>
            <w:vAlign w:val="center"/>
            <w:hideMark/>
          </w:tcPr>
          <w:p w14:paraId="01843EB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4965861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6D5AA8C"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DFC96C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r>
      <w:tr w:rsidR="003D3AF7" w:rsidRPr="003D3AF7" w14:paraId="53BC92DE"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793C704E"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4</w:t>
            </w:r>
          </w:p>
        </w:tc>
        <w:tc>
          <w:tcPr>
            <w:tcW w:w="5040" w:type="dxa"/>
            <w:tcBorders>
              <w:top w:val="nil"/>
              <w:left w:val="nil"/>
              <w:bottom w:val="nil"/>
              <w:right w:val="nil"/>
            </w:tcBorders>
            <w:shd w:val="clear" w:color="auto" w:fill="auto"/>
            <w:vAlign w:val="center"/>
            <w:hideMark/>
          </w:tcPr>
          <w:p w14:paraId="1EAD554D"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Minimālās algas palielināšana</w:t>
            </w:r>
          </w:p>
        </w:tc>
        <w:tc>
          <w:tcPr>
            <w:tcW w:w="1080" w:type="dxa"/>
            <w:tcBorders>
              <w:top w:val="nil"/>
              <w:left w:val="nil"/>
              <w:bottom w:val="nil"/>
              <w:right w:val="nil"/>
            </w:tcBorders>
            <w:shd w:val="clear" w:color="auto" w:fill="auto"/>
            <w:noWrap/>
            <w:vAlign w:val="center"/>
            <w:hideMark/>
          </w:tcPr>
          <w:p w14:paraId="7AAE334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7F20F8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6C4959C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5505C43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945505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3270133"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A65F033"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55BD7023"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045B2D49"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5</w:t>
            </w:r>
          </w:p>
        </w:tc>
        <w:tc>
          <w:tcPr>
            <w:tcW w:w="5040" w:type="dxa"/>
            <w:tcBorders>
              <w:top w:val="nil"/>
              <w:left w:val="nil"/>
              <w:bottom w:val="nil"/>
              <w:right w:val="nil"/>
            </w:tcBorders>
            <w:shd w:val="clear" w:color="auto" w:fill="auto"/>
            <w:vAlign w:val="center"/>
            <w:hideMark/>
          </w:tcPr>
          <w:p w14:paraId="38E50CCE"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Atgriezeniskais efekts no nodokļu politikas pārskatīšanas</w:t>
            </w:r>
          </w:p>
        </w:tc>
        <w:tc>
          <w:tcPr>
            <w:tcW w:w="1080" w:type="dxa"/>
            <w:tcBorders>
              <w:top w:val="nil"/>
              <w:left w:val="nil"/>
              <w:bottom w:val="nil"/>
              <w:right w:val="nil"/>
            </w:tcBorders>
            <w:shd w:val="clear" w:color="auto" w:fill="auto"/>
            <w:noWrap/>
            <w:vAlign w:val="center"/>
            <w:hideMark/>
          </w:tcPr>
          <w:p w14:paraId="4629190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1B1BB0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0A607F5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3302F6B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0,06</w:t>
            </w:r>
          </w:p>
        </w:tc>
        <w:tc>
          <w:tcPr>
            <w:tcW w:w="1080" w:type="dxa"/>
            <w:tcBorders>
              <w:top w:val="nil"/>
              <w:left w:val="nil"/>
              <w:bottom w:val="nil"/>
              <w:right w:val="nil"/>
            </w:tcBorders>
            <w:shd w:val="clear" w:color="auto" w:fill="auto"/>
            <w:noWrap/>
            <w:vAlign w:val="center"/>
            <w:hideMark/>
          </w:tcPr>
          <w:p w14:paraId="13C0965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E544DB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3372619"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1089F6C7"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5F83CD7F"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6</w:t>
            </w:r>
          </w:p>
        </w:tc>
        <w:tc>
          <w:tcPr>
            <w:tcW w:w="5040" w:type="dxa"/>
            <w:tcBorders>
              <w:top w:val="nil"/>
              <w:left w:val="nil"/>
              <w:bottom w:val="nil"/>
              <w:right w:val="nil"/>
            </w:tcBorders>
            <w:shd w:val="clear" w:color="auto" w:fill="auto"/>
            <w:vAlign w:val="center"/>
            <w:hideMark/>
          </w:tcPr>
          <w:p w14:paraId="5E6F78B9"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 no konfiscēto noziedzīgi iegūto līdzekļu realizācijas</w:t>
            </w:r>
          </w:p>
        </w:tc>
        <w:tc>
          <w:tcPr>
            <w:tcW w:w="1080" w:type="dxa"/>
            <w:tcBorders>
              <w:top w:val="nil"/>
              <w:left w:val="nil"/>
              <w:bottom w:val="nil"/>
              <w:right w:val="nil"/>
            </w:tcBorders>
            <w:shd w:val="clear" w:color="auto" w:fill="auto"/>
            <w:noWrap/>
            <w:vAlign w:val="center"/>
            <w:hideMark/>
          </w:tcPr>
          <w:p w14:paraId="7577272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725C3C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7ED3B32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P.11, P.12, P.13</w:t>
            </w:r>
          </w:p>
        </w:tc>
        <w:tc>
          <w:tcPr>
            <w:tcW w:w="1080" w:type="dxa"/>
            <w:tcBorders>
              <w:top w:val="nil"/>
              <w:left w:val="nil"/>
              <w:bottom w:val="nil"/>
              <w:right w:val="nil"/>
            </w:tcBorders>
            <w:shd w:val="clear" w:color="auto" w:fill="auto"/>
            <w:noWrap/>
            <w:vAlign w:val="center"/>
            <w:hideMark/>
          </w:tcPr>
          <w:p w14:paraId="1A8BE81C"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0,07</w:t>
            </w:r>
          </w:p>
        </w:tc>
        <w:tc>
          <w:tcPr>
            <w:tcW w:w="1080" w:type="dxa"/>
            <w:tcBorders>
              <w:top w:val="nil"/>
              <w:left w:val="nil"/>
              <w:bottom w:val="nil"/>
              <w:right w:val="nil"/>
            </w:tcBorders>
            <w:shd w:val="clear" w:color="auto" w:fill="auto"/>
            <w:noWrap/>
            <w:vAlign w:val="center"/>
            <w:hideMark/>
          </w:tcPr>
          <w:p w14:paraId="04543C0A"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E8FF22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3495D3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04A5562E"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17CCE412"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7</w:t>
            </w:r>
          </w:p>
        </w:tc>
        <w:tc>
          <w:tcPr>
            <w:tcW w:w="5040" w:type="dxa"/>
            <w:tcBorders>
              <w:top w:val="nil"/>
              <w:left w:val="nil"/>
              <w:bottom w:val="nil"/>
              <w:right w:val="nil"/>
            </w:tcBorders>
            <w:shd w:val="clear" w:color="auto" w:fill="auto"/>
            <w:vAlign w:val="center"/>
            <w:hideMark/>
          </w:tcPr>
          <w:p w14:paraId="2A564DB9" w14:textId="453704F8"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Atgriezeniskais efekts no atlīdzības politi</w:t>
            </w:r>
            <w:r w:rsidR="00BB31A6">
              <w:rPr>
                <w:rFonts w:eastAsia="Times New Roman" w:cs="Times New Roman"/>
                <w:color w:val="000000"/>
                <w:sz w:val="18"/>
                <w:szCs w:val="18"/>
                <w:lang w:eastAsia="lv-LV"/>
              </w:rPr>
              <w:t>k</w:t>
            </w:r>
            <w:r w:rsidRPr="003D3AF7">
              <w:rPr>
                <w:rFonts w:eastAsia="Times New Roman" w:cs="Times New Roman"/>
                <w:color w:val="000000"/>
                <w:sz w:val="18"/>
                <w:szCs w:val="18"/>
                <w:lang w:eastAsia="lv-LV"/>
              </w:rPr>
              <w:t>as izmaiņām</w:t>
            </w:r>
          </w:p>
        </w:tc>
        <w:tc>
          <w:tcPr>
            <w:tcW w:w="1080" w:type="dxa"/>
            <w:tcBorders>
              <w:top w:val="nil"/>
              <w:left w:val="nil"/>
              <w:bottom w:val="nil"/>
              <w:right w:val="nil"/>
            </w:tcBorders>
            <w:shd w:val="clear" w:color="auto" w:fill="auto"/>
            <w:noWrap/>
            <w:vAlign w:val="center"/>
            <w:hideMark/>
          </w:tcPr>
          <w:p w14:paraId="4BF07B1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3AFD742"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6BE1E30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D.61</w:t>
            </w:r>
          </w:p>
        </w:tc>
        <w:tc>
          <w:tcPr>
            <w:tcW w:w="1080" w:type="dxa"/>
            <w:tcBorders>
              <w:top w:val="nil"/>
              <w:left w:val="nil"/>
              <w:bottom w:val="nil"/>
              <w:right w:val="nil"/>
            </w:tcBorders>
            <w:shd w:val="clear" w:color="auto" w:fill="auto"/>
            <w:noWrap/>
            <w:vAlign w:val="center"/>
            <w:hideMark/>
          </w:tcPr>
          <w:p w14:paraId="53CE8A02"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3591574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3CD1B0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E91A64B"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099372A4"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55E7C866"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8</w:t>
            </w:r>
          </w:p>
        </w:tc>
        <w:tc>
          <w:tcPr>
            <w:tcW w:w="5040" w:type="dxa"/>
            <w:tcBorders>
              <w:top w:val="nil"/>
              <w:left w:val="nil"/>
              <w:bottom w:val="nil"/>
              <w:right w:val="nil"/>
            </w:tcBorders>
            <w:shd w:val="clear" w:color="auto" w:fill="auto"/>
            <w:vAlign w:val="center"/>
            <w:hideMark/>
          </w:tcPr>
          <w:p w14:paraId="37FFD8E8" w14:textId="45A0D774"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Atgriezeniskais efekts no atlīdzības politi</w:t>
            </w:r>
            <w:r w:rsidR="00BB31A6">
              <w:rPr>
                <w:rFonts w:eastAsia="Times New Roman" w:cs="Times New Roman"/>
                <w:color w:val="000000"/>
                <w:sz w:val="18"/>
                <w:szCs w:val="18"/>
                <w:lang w:eastAsia="lv-LV"/>
              </w:rPr>
              <w:t>k</w:t>
            </w:r>
            <w:r w:rsidRPr="003D3AF7">
              <w:rPr>
                <w:rFonts w:eastAsia="Times New Roman" w:cs="Times New Roman"/>
                <w:color w:val="000000"/>
                <w:sz w:val="18"/>
                <w:szCs w:val="18"/>
                <w:lang w:eastAsia="lv-LV"/>
              </w:rPr>
              <w:t>as izmaiņām</w:t>
            </w:r>
          </w:p>
        </w:tc>
        <w:tc>
          <w:tcPr>
            <w:tcW w:w="1080" w:type="dxa"/>
            <w:tcBorders>
              <w:top w:val="nil"/>
              <w:left w:val="nil"/>
              <w:bottom w:val="nil"/>
              <w:right w:val="nil"/>
            </w:tcBorders>
            <w:shd w:val="clear" w:color="auto" w:fill="auto"/>
            <w:noWrap/>
            <w:vAlign w:val="center"/>
            <w:hideMark/>
          </w:tcPr>
          <w:p w14:paraId="6D310CA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DC0453B"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42CAFF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616868A8"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7D83D682"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5C9457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57BCDCF"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69DD1245"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78A1BB64"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9</w:t>
            </w:r>
          </w:p>
        </w:tc>
        <w:tc>
          <w:tcPr>
            <w:tcW w:w="5040" w:type="dxa"/>
            <w:tcBorders>
              <w:top w:val="nil"/>
              <w:left w:val="nil"/>
              <w:bottom w:val="nil"/>
              <w:right w:val="nil"/>
            </w:tcBorders>
            <w:shd w:val="clear" w:color="auto" w:fill="auto"/>
            <w:vAlign w:val="center"/>
            <w:hideMark/>
          </w:tcPr>
          <w:p w14:paraId="6F9EE5E9"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Dividendes</w:t>
            </w:r>
          </w:p>
        </w:tc>
        <w:tc>
          <w:tcPr>
            <w:tcW w:w="1080" w:type="dxa"/>
            <w:tcBorders>
              <w:top w:val="nil"/>
              <w:left w:val="nil"/>
              <w:bottom w:val="nil"/>
              <w:right w:val="nil"/>
            </w:tcBorders>
            <w:shd w:val="clear" w:color="auto" w:fill="auto"/>
            <w:noWrap/>
            <w:vAlign w:val="center"/>
            <w:hideMark/>
          </w:tcPr>
          <w:p w14:paraId="3DE6FBC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155DCE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60975EC"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23FDA1F2"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43A982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6EB144F"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377113C"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37FA31D0"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6112DB59"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10</w:t>
            </w:r>
          </w:p>
        </w:tc>
        <w:tc>
          <w:tcPr>
            <w:tcW w:w="5040" w:type="dxa"/>
            <w:tcBorders>
              <w:top w:val="nil"/>
              <w:left w:val="nil"/>
              <w:bottom w:val="nil"/>
              <w:right w:val="nil"/>
            </w:tcBorders>
            <w:shd w:val="clear" w:color="auto" w:fill="auto"/>
            <w:vAlign w:val="center"/>
            <w:hideMark/>
          </w:tcPr>
          <w:p w14:paraId="2B75CFF5"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Ēnu ekonomikas apkarošana</w:t>
            </w:r>
          </w:p>
        </w:tc>
        <w:tc>
          <w:tcPr>
            <w:tcW w:w="1080" w:type="dxa"/>
            <w:tcBorders>
              <w:top w:val="nil"/>
              <w:left w:val="nil"/>
              <w:bottom w:val="nil"/>
              <w:right w:val="nil"/>
            </w:tcBorders>
            <w:shd w:val="clear" w:color="auto" w:fill="auto"/>
            <w:noWrap/>
            <w:vAlign w:val="center"/>
            <w:hideMark/>
          </w:tcPr>
          <w:p w14:paraId="61B7AFAF"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EDBC9E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0DE84E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D.5</w:t>
            </w:r>
          </w:p>
        </w:tc>
        <w:tc>
          <w:tcPr>
            <w:tcW w:w="1080" w:type="dxa"/>
            <w:tcBorders>
              <w:top w:val="nil"/>
              <w:left w:val="nil"/>
              <w:bottom w:val="nil"/>
              <w:right w:val="nil"/>
            </w:tcBorders>
            <w:shd w:val="clear" w:color="auto" w:fill="auto"/>
            <w:noWrap/>
            <w:vAlign w:val="center"/>
            <w:hideMark/>
          </w:tcPr>
          <w:p w14:paraId="639C884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724CBC9"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29AA9624"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04EBECB"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635DC1FC"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1455B7A8"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11</w:t>
            </w:r>
          </w:p>
        </w:tc>
        <w:tc>
          <w:tcPr>
            <w:tcW w:w="5040" w:type="dxa"/>
            <w:tcBorders>
              <w:top w:val="nil"/>
              <w:left w:val="nil"/>
              <w:bottom w:val="nil"/>
              <w:right w:val="nil"/>
            </w:tcBorders>
            <w:shd w:val="clear" w:color="auto" w:fill="auto"/>
            <w:vAlign w:val="center"/>
            <w:hideMark/>
          </w:tcPr>
          <w:p w14:paraId="37735943"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Ēnu ekonomikas apkarošana</w:t>
            </w:r>
          </w:p>
        </w:tc>
        <w:tc>
          <w:tcPr>
            <w:tcW w:w="1080" w:type="dxa"/>
            <w:tcBorders>
              <w:top w:val="nil"/>
              <w:left w:val="nil"/>
              <w:bottom w:val="nil"/>
              <w:right w:val="nil"/>
            </w:tcBorders>
            <w:shd w:val="clear" w:color="auto" w:fill="auto"/>
            <w:noWrap/>
            <w:vAlign w:val="center"/>
            <w:hideMark/>
          </w:tcPr>
          <w:p w14:paraId="5F341FC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DB3F739"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2C202F0F"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D.61</w:t>
            </w:r>
          </w:p>
        </w:tc>
        <w:tc>
          <w:tcPr>
            <w:tcW w:w="1080" w:type="dxa"/>
            <w:tcBorders>
              <w:top w:val="nil"/>
              <w:left w:val="nil"/>
              <w:bottom w:val="nil"/>
              <w:right w:val="nil"/>
            </w:tcBorders>
            <w:shd w:val="clear" w:color="auto" w:fill="auto"/>
            <w:noWrap/>
            <w:vAlign w:val="center"/>
            <w:hideMark/>
          </w:tcPr>
          <w:p w14:paraId="69BA14E9"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2C10CE8"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318E716"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D6629C8"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08240AB3"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1EE7C2B5"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12</w:t>
            </w:r>
          </w:p>
        </w:tc>
        <w:tc>
          <w:tcPr>
            <w:tcW w:w="5040" w:type="dxa"/>
            <w:tcBorders>
              <w:top w:val="nil"/>
              <w:left w:val="nil"/>
              <w:bottom w:val="nil"/>
              <w:right w:val="nil"/>
            </w:tcBorders>
            <w:shd w:val="clear" w:color="auto" w:fill="auto"/>
            <w:vAlign w:val="center"/>
            <w:hideMark/>
          </w:tcPr>
          <w:p w14:paraId="3C254B48"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Ēnu ekonomikas apkarošana</w:t>
            </w:r>
          </w:p>
        </w:tc>
        <w:tc>
          <w:tcPr>
            <w:tcW w:w="1080" w:type="dxa"/>
            <w:tcBorders>
              <w:top w:val="nil"/>
              <w:left w:val="nil"/>
              <w:bottom w:val="nil"/>
              <w:right w:val="nil"/>
            </w:tcBorders>
            <w:shd w:val="clear" w:color="auto" w:fill="auto"/>
            <w:noWrap/>
            <w:vAlign w:val="center"/>
            <w:hideMark/>
          </w:tcPr>
          <w:p w14:paraId="7DC5E57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C00FE0B"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3D1EB08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5D681924"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7D9966F2"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010F4F33"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35DFF9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22388856"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69BB19BD"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13</w:t>
            </w:r>
          </w:p>
        </w:tc>
        <w:tc>
          <w:tcPr>
            <w:tcW w:w="5040" w:type="dxa"/>
            <w:tcBorders>
              <w:top w:val="nil"/>
              <w:left w:val="nil"/>
              <w:bottom w:val="nil"/>
              <w:right w:val="nil"/>
            </w:tcBorders>
            <w:shd w:val="clear" w:color="auto" w:fill="auto"/>
            <w:vAlign w:val="center"/>
            <w:hideMark/>
          </w:tcPr>
          <w:p w14:paraId="49D76803"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Ēnu ekonomikas apkarošana</w:t>
            </w:r>
          </w:p>
        </w:tc>
        <w:tc>
          <w:tcPr>
            <w:tcW w:w="1080" w:type="dxa"/>
            <w:tcBorders>
              <w:top w:val="nil"/>
              <w:left w:val="nil"/>
              <w:bottom w:val="nil"/>
              <w:right w:val="nil"/>
            </w:tcBorders>
            <w:shd w:val="clear" w:color="auto" w:fill="auto"/>
            <w:noWrap/>
            <w:vAlign w:val="center"/>
            <w:hideMark/>
          </w:tcPr>
          <w:p w14:paraId="67BE1AB2"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313162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0E468B53"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D.2</w:t>
            </w:r>
          </w:p>
        </w:tc>
        <w:tc>
          <w:tcPr>
            <w:tcW w:w="1080" w:type="dxa"/>
            <w:tcBorders>
              <w:top w:val="nil"/>
              <w:left w:val="nil"/>
              <w:bottom w:val="nil"/>
              <w:right w:val="nil"/>
            </w:tcBorders>
            <w:shd w:val="clear" w:color="auto" w:fill="auto"/>
            <w:noWrap/>
            <w:vAlign w:val="center"/>
            <w:hideMark/>
          </w:tcPr>
          <w:p w14:paraId="435BB3D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010056B"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1ACB56E"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9B93BD1"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40DAF6A4" w14:textId="77777777" w:rsidTr="00BB31A6">
        <w:trPr>
          <w:trHeight w:val="720"/>
          <w:jc w:val="center"/>
        </w:trPr>
        <w:tc>
          <w:tcPr>
            <w:tcW w:w="480" w:type="dxa"/>
            <w:tcBorders>
              <w:top w:val="nil"/>
              <w:left w:val="nil"/>
              <w:bottom w:val="nil"/>
              <w:right w:val="nil"/>
            </w:tcBorders>
            <w:shd w:val="clear" w:color="000000" w:fill="95B3D7"/>
            <w:noWrap/>
            <w:vAlign w:val="center"/>
            <w:hideMark/>
          </w:tcPr>
          <w:p w14:paraId="6DD302B0" w14:textId="77777777" w:rsidR="003D3AF7" w:rsidRPr="003D3AF7" w:rsidRDefault="003D3AF7" w:rsidP="006357B3">
            <w:pPr>
              <w:spacing w:after="0" w:line="240" w:lineRule="auto"/>
              <w:ind w:firstLine="0"/>
              <w:jc w:val="right"/>
              <w:rPr>
                <w:rFonts w:eastAsia="Times New Roman" w:cs="Times New Roman"/>
                <w:color w:val="000000"/>
                <w:sz w:val="18"/>
                <w:szCs w:val="18"/>
                <w:lang w:eastAsia="lv-LV"/>
              </w:rPr>
            </w:pPr>
            <w:r w:rsidRPr="003D3AF7">
              <w:rPr>
                <w:rFonts w:eastAsia="Times New Roman" w:cs="Times New Roman"/>
                <w:color w:val="000000"/>
                <w:sz w:val="18"/>
                <w:szCs w:val="18"/>
                <w:lang w:eastAsia="lv-LV"/>
              </w:rPr>
              <w:t>14</w:t>
            </w:r>
          </w:p>
        </w:tc>
        <w:tc>
          <w:tcPr>
            <w:tcW w:w="5040" w:type="dxa"/>
            <w:tcBorders>
              <w:top w:val="nil"/>
              <w:left w:val="nil"/>
              <w:bottom w:val="nil"/>
              <w:right w:val="nil"/>
            </w:tcBorders>
            <w:shd w:val="clear" w:color="auto" w:fill="auto"/>
            <w:vAlign w:val="center"/>
            <w:hideMark/>
          </w:tcPr>
          <w:p w14:paraId="531B03A9"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Citi pasākumi</w:t>
            </w:r>
          </w:p>
        </w:tc>
        <w:tc>
          <w:tcPr>
            <w:tcW w:w="1080" w:type="dxa"/>
            <w:tcBorders>
              <w:top w:val="nil"/>
              <w:left w:val="nil"/>
              <w:bottom w:val="nil"/>
              <w:right w:val="nil"/>
            </w:tcBorders>
            <w:shd w:val="clear" w:color="auto" w:fill="auto"/>
            <w:noWrap/>
            <w:vAlign w:val="center"/>
            <w:hideMark/>
          </w:tcPr>
          <w:p w14:paraId="4E684F9F"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2C36FD0"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Ieņēmumi</w:t>
            </w:r>
          </w:p>
        </w:tc>
        <w:tc>
          <w:tcPr>
            <w:tcW w:w="1080" w:type="dxa"/>
            <w:tcBorders>
              <w:top w:val="nil"/>
              <w:left w:val="nil"/>
              <w:bottom w:val="nil"/>
              <w:right w:val="nil"/>
            </w:tcBorders>
            <w:shd w:val="clear" w:color="auto" w:fill="auto"/>
            <w:vAlign w:val="center"/>
            <w:hideMark/>
          </w:tcPr>
          <w:p w14:paraId="6EA54B5D"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D.2, D5, D.61, P.11, P.12, P.13</w:t>
            </w:r>
          </w:p>
        </w:tc>
        <w:tc>
          <w:tcPr>
            <w:tcW w:w="1080" w:type="dxa"/>
            <w:tcBorders>
              <w:top w:val="nil"/>
              <w:left w:val="nil"/>
              <w:bottom w:val="nil"/>
              <w:right w:val="nil"/>
            </w:tcBorders>
            <w:shd w:val="clear" w:color="auto" w:fill="auto"/>
            <w:noWrap/>
            <w:vAlign w:val="center"/>
            <w:hideMark/>
          </w:tcPr>
          <w:p w14:paraId="56490F97"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4BE807C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1F7EEA5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2F08995" w14:textId="77777777" w:rsidR="003D3AF7" w:rsidRPr="003D3AF7" w:rsidRDefault="003D3AF7" w:rsidP="006357B3">
            <w:pPr>
              <w:spacing w:after="0" w:line="240" w:lineRule="auto"/>
              <w:ind w:firstLine="0"/>
              <w:jc w:val="center"/>
              <w:rPr>
                <w:rFonts w:eastAsia="Times New Roman" w:cs="Times New Roman"/>
                <w:color w:val="000000"/>
                <w:sz w:val="18"/>
                <w:szCs w:val="18"/>
                <w:lang w:eastAsia="lv-LV"/>
              </w:rPr>
            </w:pPr>
            <w:r w:rsidRPr="003D3AF7">
              <w:rPr>
                <w:rFonts w:eastAsia="Times New Roman" w:cs="Times New Roman"/>
                <w:color w:val="000000"/>
                <w:sz w:val="18"/>
                <w:szCs w:val="18"/>
                <w:lang w:eastAsia="lv-LV"/>
              </w:rPr>
              <w:t>0,00</w:t>
            </w:r>
          </w:p>
        </w:tc>
      </w:tr>
      <w:tr w:rsidR="003D3AF7" w:rsidRPr="003D3AF7" w14:paraId="572663DB" w14:textId="77777777" w:rsidTr="003D3AF7">
        <w:trPr>
          <w:trHeight w:val="315"/>
          <w:jc w:val="center"/>
        </w:trPr>
        <w:tc>
          <w:tcPr>
            <w:tcW w:w="480" w:type="dxa"/>
            <w:tcBorders>
              <w:top w:val="nil"/>
              <w:left w:val="nil"/>
              <w:bottom w:val="nil"/>
              <w:right w:val="nil"/>
            </w:tcBorders>
            <w:shd w:val="clear" w:color="000000" w:fill="95B3D7"/>
            <w:noWrap/>
            <w:vAlign w:val="center"/>
            <w:hideMark/>
          </w:tcPr>
          <w:p w14:paraId="2B34BF6E" w14:textId="77777777" w:rsidR="003D3AF7" w:rsidRPr="003D3AF7" w:rsidRDefault="003D3AF7" w:rsidP="006357B3">
            <w:pPr>
              <w:spacing w:after="0" w:line="240" w:lineRule="auto"/>
              <w:ind w:firstLine="0"/>
              <w:jc w:val="left"/>
              <w:rPr>
                <w:rFonts w:eastAsia="Times New Roman" w:cs="Times New Roman"/>
                <w:color w:val="000000"/>
                <w:sz w:val="18"/>
                <w:szCs w:val="18"/>
                <w:lang w:eastAsia="lv-LV"/>
              </w:rPr>
            </w:pPr>
            <w:r w:rsidRPr="003D3AF7">
              <w:rPr>
                <w:rFonts w:eastAsia="Times New Roman" w:cs="Times New Roman"/>
                <w:color w:val="000000"/>
                <w:sz w:val="18"/>
                <w:szCs w:val="18"/>
                <w:lang w:eastAsia="lv-LV"/>
              </w:rPr>
              <w:t> </w:t>
            </w:r>
          </w:p>
        </w:tc>
        <w:tc>
          <w:tcPr>
            <w:tcW w:w="5040" w:type="dxa"/>
            <w:tcBorders>
              <w:top w:val="nil"/>
              <w:left w:val="nil"/>
              <w:bottom w:val="nil"/>
              <w:right w:val="nil"/>
            </w:tcBorders>
            <w:shd w:val="clear" w:color="000000" w:fill="BDD6EE"/>
            <w:vAlign w:val="center"/>
            <w:hideMark/>
          </w:tcPr>
          <w:p w14:paraId="21A0AE3D" w14:textId="77777777" w:rsidR="003D3AF7" w:rsidRPr="003D3AF7" w:rsidRDefault="003D3AF7" w:rsidP="006357B3">
            <w:pPr>
              <w:spacing w:after="0" w:line="240" w:lineRule="auto"/>
              <w:ind w:firstLine="0"/>
              <w:jc w:val="left"/>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KOPĀ</w:t>
            </w:r>
          </w:p>
        </w:tc>
        <w:tc>
          <w:tcPr>
            <w:tcW w:w="1080" w:type="dxa"/>
            <w:tcBorders>
              <w:top w:val="nil"/>
              <w:left w:val="nil"/>
              <w:bottom w:val="nil"/>
              <w:right w:val="nil"/>
            </w:tcBorders>
            <w:shd w:val="clear" w:color="000000" w:fill="BDD6EE"/>
            <w:vAlign w:val="center"/>
            <w:hideMark/>
          </w:tcPr>
          <w:p w14:paraId="2C491462"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BDD6EE"/>
            <w:noWrap/>
            <w:vAlign w:val="center"/>
            <w:hideMark/>
          </w:tcPr>
          <w:p w14:paraId="0A9FAC40" w14:textId="77777777" w:rsidR="003D3AF7" w:rsidRPr="003D3AF7" w:rsidRDefault="003D3AF7" w:rsidP="006357B3">
            <w:pPr>
              <w:spacing w:after="0" w:line="240" w:lineRule="auto"/>
              <w:ind w:firstLine="0"/>
              <w:jc w:val="center"/>
              <w:rPr>
                <w:rFonts w:eastAsia="Times New Roman" w:cs="Times New Roman"/>
                <w:b/>
                <w:bCs/>
                <w:color w:val="31869B"/>
                <w:sz w:val="18"/>
                <w:szCs w:val="18"/>
                <w:lang w:eastAsia="lv-LV"/>
              </w:rPr>
            </w:pPr>
            <w:r w:rsidRPr="003D3AF7">
              <w:rPr>
                <w:rFonts w:eastAsia="Times New Roman" w:cs="Times New Roman"/>
                <w:b/>
                <w:bCs/>
                <w:color w:val="31869B"/>
                <w:sz w:val="18"/>
                <w:szCs w:val="18"/>
                <w:lang w:eastAsia="lv-LV"/>
              </w:rPr>
              <w:t> </w:t>
            </w:r>
          </w:p>
        </w:tc>
        <w:tc>
          <w:tcPr>
            <w:tcW w:w="1080" w:type="dxa"/>
            <w:tcBorders>
              <w:top w:val="nil"/>
              <w:left w:val="nil"/>
              <w:bottom w:val="nil"/>
              <w:right w:val="nil"/>
            </w:tcBorders>
            <w:shd w:val="clear" w:color="000000" w:fill="BDD6EE"/>
            <w:noWrap/>
            <w:vAlign w:val="center"/>
            <w:hideMark/>
          </w:tcPr>
          <w:p w14:paraId="2A9FD304"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BDD6EE"/>
            <w:noWrap/>
            <w:vAlign w:val="center"/>
            <w:hideMark/>
          </w:tcPr>
          <w:p w14:paraId="506F0A08"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0,21</w:t>
            </w:r>
          </w:p>
        </w:tc>
        <w:tc>
          <w:tcPr>
            <w:tcW w:w="1080" w:type="dxa"/>
            <w:tcBorders>
              <w:top w:val="nil"/>
              <w:left w:val="nil"/>
              <w:bottom w:val="nil"/>
              <w:right w:val="nil"/>
            </w:tcBorders>
            <w:shd w:val="clear" w:color="000000" w:fill="BDD6EE"/>
            <w:noWrap/>
            <w:vAlign w:val="center"/>
            <w:hideMark/>
          </w:tcPr>
          <w:p w14:paraId="4EE0BCFB"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0,08</w:t>
            </w:r>
          </w:p>
        </w:tc>
        <w:tc>
          <w:tcPr>
            <w:tcW w:w="1080" w:type="dxa"/>
            <w:tcBorders>
              <w:top w:val="nil"/>
              <w:left w:val="nil"/>
              <w:bottom w:val="nil"/>
              <w:right w:val="nil"/>
            </w:tcBorders>
            <w:shd w:val="clear" w:color="000000" w:fill="BDD6EE"/>
            <w:noWrap/>
            <w:vAlign w:val="center"/>
            <w:hideMark/>
          </w:tcPr>
          <w:p w14:paraId="1EBECE7D"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0,03</w:t>
            </w:r>
          </w:p>
        </w:tc>
        <w:tc>
          <w:tcPr>
            <w:tcW w:w="1080" w:type="dxa"/>
            <w:tcBorders>
              <w:top w:val="nil"/>
              <w:left w:val="nil"/>
              <w:bottom w:val="nil"/>
              <w:right w:val="nil"/>
            </w:tcBorders>
            <w:shd w:val="clear" w:color="000000" w:fill="BDD6EE"/>
            <w:noWrap/>
            <w:vAlign w:val="center"/>
            <w:hideMark/>
          </w:tcPr>
          <w:p w14:paraId="19045B11" w14:textId="77777777" w:rsidR="003D3AF7" w:rsidRPr="003D3AF7" w:rsidRDefault="003D3AF7" w:rsidP="006357B3">
            <w:pPr>
              <w:spacing w:after="0" w:line="240" w:lineRule="auto"/>
              <w:ind w:firstLine="0"/>
              <w:jc w:val="center"/>
              <w:rPr>
                <w:rFonts w:eastAsia="Times New Roman" w:cs="Times New Roman"/>
                <w:b/>
                <w:bCs/>
                <w:color w:val="000000"/>
                <w:sz w:val="18"/>
                <w:szCs w:val="18"/>
                <w:lang w:eastAsia="lv-LV"/>
              </w:rPr>
            </w:pPr>
            <w:r w:rsidRPr="003D3AF7">
              <w:rPr>
                <w:rFonts w:eastAsia="Times New Roman" w:cs="Times New Roman"/>
                <w:b/>
                <w:bCs/>
                <w:color w:val="000000"/>
                <w:sz w:val="18"/>
                <w:szCs w:val="18"/>
                <w:lang w:eastAsia="lv-LV"/>
              </w:rPr>
              <w:t>0,01</w:t>
            </w:r>
          </w:p>
        </w:tc>
      </w:tr>
    </w:tbl>
    <w:p w14:paraId="170DA4D7" w14:textId="77777777" w:rsidR="005A4348" w:rsidRPr="002869EC" w:rsidRDefault="005A4348" w:rsidP="006357B3">
      <w:pPr>
        <w:spacing w:after="160" w:line="240" w:lineRule="auto"/>
        <w:ind w:firstLine="0"/>
        <w:contextualSpacing/>
        <w:jc w:val="left"/>
        <w:rPr>
          <w:rFonts w:eastAsia="Aptos" w:cs="Times New Roman"/>
          <w:kern w:val="2"/>
          <w:szCs w:val="28"/>
          <w14:ligatures w14:val="standardContextual"/>
        </w:rPr>
      </w:pPr>
    </w:p>
    <w:p w14:paraId="2B8C5D5D" w14:textId="7C7F6538" w:rsidR="005A4348" w:rsidRPr="002869EC" w:rsidRDefault="001E75E4" w:rsidP="006357B3">
      <w:pPr>
        <w:pStyle w:val="Heading3"/>
        <w:numPr>
          <w:ilvl w:val="0"/>
          <w:numId w:val="0"/>
        </w:numPr>
        <w:spacing w:line="240" w:lineRule="auto"/>
        <w:ind w:left="720" w:hanging="720"/>
        <w:jc w:val="center"/>
      </w:pPr>
      <w:bookmarkStart w:id="46" w:name="_Toc179540640"/>
      <w:r>
        <w:lastRenderedPageBreak/>
        <w:t>7</w:t>
      </w:r>
      <w:r w:rsidR="005A4348" w:rsidRPr="002869EC">
        <w:t>.2.3. Jaunie izdevumu pasākumi</w:t>
      </w:r>
      <w:bookmarkEnd w:id="46"/>
    </w:p>
    <w:p w14:paraId="70FDCB7F" w14:textId="4E0C2EC9" w:rsidR="00035FC2" w:rsidRPr="00BB31A6" w:rsidRDefault="000C5CF0" w:rsidP="006357B3">
      <w:pPr>
        <w:spacing w:line="240" w:lineRule="auto"/>
        <w:ind w:firstLine="0"/>
        <w:jc w:val="right"/>
        <w:rPr>
          <w:rFonts w:eastAsia="Aptos" w:cs="Times New Roman"/>
          <w:b/>
          <w:bCs/>
          <w:kern w:val="2"/>
          <w:szCs w:val="28"/>
          <w14:ligatures w14:val="standardContextual"/>
        </w:rPr>
      </w:pPr>
      <w:r>
        <w:rPr>
          <w:rFonts w:cs="Times New Roman"/>
          <w:b/>
          <w:bCs/>
          <w:szCs w:val="20"/>
        </w:rPr>
        <w:t>M</w:t>
      </w:r>
      <w:r w:rsidR="00035FC2" w:rsidRPr="00BB31A6">
        <w:rPr>
          <w:rFonts w:cs="Times New Roman"/>
          <w:b/>
          <w:bCs/>
          <w:szCs w:val="20"/>
        </w:rPr>
        <w:t xml:space="preserve">. </w:t>
      </w:r>
      <w:r w:rsidR="00FA1949" w:rsidRPr="00BB31A6">
        <w:rPr>
          <w:rFonts w:cs="Times New Roman"/>
          <w:b/>
          <w:bCs/>
          <w:szCs w:val="20"/>
        </w:rPr>
        <w:t>Tabula</w:t>
      </w:r>
      <w:r w:rsidR="00035FC2" w:rsidRPr="00BB31A6">
        <w:rPr>
          <w:rFonts w:cs="Times New Roman"/>
          <w:b/>
          <w:bCs/>
          <w:szCs w:val="20"/>
        </w:rPr>
        <w:t>. Jauno izdevumu pasākumu paredzamā ietekme</w:t>
      </w:r>
    </w:p>
    <w:tbl>
      <w:tblPr>
        <w:tblW w:w="13080" w:type="dxa"/>
        <w:jc w:val="center"/>
        <w:tblLook w:val="04A0" w:firstRow="1" w:lastRow="0" w:firstColumn="1" w:lastColumn="0" w:noHBand="0" w:noVBand="1"/>
      </w:tblPr>
      <w:tblGrid>
        <w:gridCol w:w="480"/>
        <w:gridCol w:w="5040"/>
        <w:gridCol w:w="1080"/>
        <w:gridCol w:w="1080"/>
        <w:gridCol w:w="1080"/>
        <w:gridCol w:w="1080"/>
        <w:gridCol w:w="1080"/>
        <w:gridCol w:w="1080"/>
        <w:gridCol w:w="1080"/>
      </w:tblGrid>
      <w:tr w:rsidR="00035FC2" w:rsidRPr="00035FC2" w14:paraId="385D3C7D" w14:textId="77777777" w:rsidTr="000C5CF0">
        <w:trPr>
          <w:trHeight w:val="480"/>
          <w:tblHeader/>
          <w:jc w:val="center"/>
        </w:trPr>
        <w:tc>
          <w:tcPr>
            <w:tcW w:w="480" w:type="dxa"/>
            <w:tcBorders>
              <w:top w:val="nil"/>
              <w:left w:val="nil"/>
              <w:bottom w:val="nil"/>
              <w:right w:val="nil"/>
            </w:tcBorders>
            <w:shd w:val="clear" w:color="auto" w:fill="D9E2F3" w:themeFill="accent5" w:themeFillTint="33"/>
            <w:noWrap/>
            <w:vAlign w:val="bottom"/>
            <w:hideMark/>
          </w:tcPr>
          <w:p w14:paraId="4D8C3B31" w14:textId="77777777" w:rsidR="00035FC2" w:rsidRPr="00035FC2" w:rsidRDefault="00035FC2" w:rsidP="006357B3">
            <w:pPr>
              <w:spacing w:after="0" w:line="240" w:lineRule="auto"/>
              <w:ind w:firstLine="0"/>
              <w:jc w:val="left"/>
              <w:rPr>
                <w:rFonts w:eastAsia="Times New Roman" w:cs="Times New Roman"/>
                <w:sz w:val="20"/>
                <w:szCs w:val="24"/>
                <w:lang w:eastAsia="lv-LV"/>
              </w:rPr>
            </w:pPr>
          </w:p>
        </w:tc>
        <w:tc>
          <w:tcPr>
            <w:tcW w:w="5040" w:type="dxa"/>
            <w:tcBorders>
              <w:top w:val="nil"/>
              <w:left w:val="nil"/>
              <w:bottom w:val="nil"/>
              <w:right w:val="nil"/>
            </w:tcBorders>
            <w:shd w:val="clear" w:color="auto" w:fill="D9E2F3" w:themeFill="accent5" w:themeFillTint="33"/>
            <w:noWrap/>
            <w:vAlign w:val="bottom"/>
            <w:hideMark/>
          </w:tcPr>
          <w:p w14:paraId="17C7B805" w14:textId="77777777" w:rsidR="00035FC2" w:rsidRPr="00035FC2" w:rsidRDefault="00035FC2" w:rsidP="006357B3">
            <w:pPr>
              <w:spacing w:after="0" w:line="240" w:lineRule="auto"/>
              <w:ind w:firstLine="0"/>
              <w:jc w:val="left"/>
              <w:rPr>
                <w:rFonts w:eastAsia="Times New Roman" w:cs="Times New Roman"/>
                <w:sz w:val="20"/>
                <w:szCs w:val="20"/>
                <w:lang w:eastAsia="lv-LV"/>
              </w:rPr>
            </w:pPr>
          </w:p>
        </w:tc>
        <w:tc>
          <w:tcPr>
            <w:tcW w:w="1080" w:type="dxa"/>
            <w:tcBorders>
              <w:top w:val="nil"/>
              <w:left w:val="nil"/>
              <w:bottom w:val="nil"/>
              <w:right w:val="nil"/>
            </w:tcBorders>
            <w:shd w:val="clear" w:color="auto" w:fill="D9E2F3" w:themeFill="accent5" w:themeFillTint="33"/>
            <w:noWrap/>
            <w:vAlign w:val="center"/>
            <w:hideMark/>
          </w:tcPr>
          <w:p w14:paraId="63EB5CE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Vienreizējs</w:t>
            </w:r>
          </w:p>
        </w:tc>
        <w:tc>
          <w:tcPr>
            <w:tcW w:w="1080" w:type="dxa"/>
            <w:tcBorders>
              <w:top w:val="nil"/>
              <w:left w:val="nil"/>
              <w:bottom w:val="nil"/>
              <w:right w:val="nil"/>
            </w:tcBorders>
            <w:shd w:val="clear" w:color="auto" w:fill="D9E2F3" w:themeFill="accent5" w:themeFillTint="33"/>
            <w:vAlign w:val="center"/>
            <w:hideMark/>
          </w:tcPr>
          <w:p w14:paraId="5757CF8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 ieņēmumi</w:t>
            </w:r>
          </w:p>
        </w:tc>
        <w:tc>
          <w:tcPr>
            <w:tcW w:w="1080" w:type="dxa"/>
            <w:tcBorders>
              <w:top w:val="nil"/>
              <w:left w:val="nil"/>
              <w:bottom w:val="nil"/>
              <w:right w:val="nil"/>
            </w:tcBorders>
            <w:shd w:val="clear" w:color="auto" w:fill="D9E2F3" w:themeFill="accent5" w:themeFillTint="33"/>
            <w:vAlign w:val="center"/>
            <w:hideMark/>
          </w:tcPr>
          <w:p w14:paraId="5EC13E11"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EKS kods</w:t>
            </w:r>
          </w:p>
        </w:tc>
        <w:tc>
          <w:tcPr>
            <w:tcW w:w="1080" w:type="dxa"/>
            <w:tcBorders>
              <w:top w:val="nil"/>
              <w:left w:val="nil"/>
              <w:bottom w:val="nil"/>
              <w:right w:val="nil"/>
            </w:tcBorders>
            <w:shd w:val="clear" w:color="000000" w:fill="95B3D7"/>
            <w:noWrap/>
            <w:vAlign w:val="center"/>
            <w:hideMark/>
          </w:tcPr>
          <w:p w14:paraId="3676EBB7"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2025</w:t>
            </w:r>
          </w:p>
        </w:tc>
        <w:tc>
          <w:tcPr>
            <w:tcW w:w="1080" w:type="dxa"/>
            <w:tcBorders>
              <w:top w:val="nil"/>
              <w:left w:val="nil"/>
              <w:bottom w:val="nil"/>
              <w:right w:val="nil"/>
            </w:tcBorders>
            <w:shd w:val="clear" w:color="000000" w:fill="95B3D7"/>
            <w:noWrap/>
            <w:vAlign w:val="center"/>
            <w:hideMark/>
          </w:tcPr>
          <w:p w14:paraId="0B3DA7A5"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2026</w:t>
            </w:r>
          </w:p>
        </w:tc>
        <w:tc>
          <w:tcPr>
            <w:tcW w:w="1080" w:type="dxa"/>
            <w:tcBorders>
              <w:top w:val="nil"/>
              <w:left w:val="nil"/>
              <w:bottom w:val="nil"/>
              <w:right w:val="nil"/>
            </w:tcBorders>
            <w:shd w:val="clear" w:color="000000" w:fill="95B3D7"/>
            <w:noWrap/>
            <w:vAlign w:val="center"/>
            <w:hideMark/>
          </w:tcPr>
          <w:p w14:paraId="57552873"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2027</w:t>
            </w:r>
          </w:p>
        </w:tc>
        <w:tc>
          <w:tcPr>
            <w:tcW w:w="1080" w:type="dxa"/>
            <w:tcBorders>
              <w:top w:val="nil"/>
              <w:left w:val="nil"/>
              <w:bottom w:val="nil"/>
              <w:right w:val="nil"/>
            </w:tcBorders>
            <w:shd w:val="clear" w:color="000000" w:fill="95B3D7"/>
            <w:noWrap/>
            <w:vAlign w:val="center"/>
            <w:hideMark/>
          </w:tcPr>
          <w:p w14:paraId="78FDB6D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2028</w:t>
            </w:r>
          </w:p>
        </w:tc>
      </w:tr>
      <w:tr w:rsidR="00035FC2" w:rsidRPr="00035FC2" w14:paraId="3DF9EA7D" w14:textId="77777777" w:rsidTr="000C5CF0">
        <w:trPr>
          <w:trHeight w:val="315"/>
          <w:tblHeader/>
          <w:jc w:val="center"/>
        </w:trPr>
        <w:tc>
          <w:tcPr>
            <w:tcW w:w="480" w:type="dxa"/>
            <w:tcBorders>
              <w:top w:val="nil"/>
              <w:left w:val="nil"/>
              <w:bottom w:val="nil"/>
              <w:right w:val="nil"/>
            </w:tcBorders>
            <w:shd w:val="clear" w:color="000000" w:fill="95B3D7"/>
            <w:noWrap/>
            <w:vAlign w:val="center"/>
            <w:hideMark/>
          </w:tcPr>
          <w:p w14:paraId="6BE65928"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w:t>
            </w:r>
          </w:p>
        </w:tc>
        <w:tc>
          <w:tcPr>
            <w:tcW w:w="5040" w:type="dxa"/>
            <w:tcBorders>
              <w:top w:val="nil"/>
              <w:left w:val="nil"/>
              <w:bottom w:val="nil"/>
              <w:right w:val="nil"/>
            </w:tcBorders>
            <w:shd w:val="clear" w:color="000000" w:fill="95B3D7"/>
            <w:vAlign w:val="center"/>
            <w:hideMark/>
          </w:tcPr>
          <w:p w14:paraId="7EF733E3"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Nosaukums/pasākuma apraksts</w:t>
            </w:r>
          </w:p>
        </w:tc>
        <w:tc>
          <w:tcPr>
            <w:tcW w:w="1080" w:type="dxa"/>
            <w:tcBorders>
              <w:top w:val="nil"/>
              <w:left w:val="nil"/>
              <w:bottom w:val="nil"/>
              <w:right w:val="nil"/>
            </w:tcBorders>
            <w:shd w:val="clear" w:color="000000" w:fill="95B3D7"/>
            <w:vAlign w:val="center"/>
            <w:hideMark/>
          </w:tcPr>
          <w:p w14:paraId="6C8E7C14"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95B3D7"/>
            <w:vAlign w:val="center"/>
            <w:hideMark/>
          </w:tcPr>
          <w:p w14:paraId="313B0BC5"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95B3D7"/>
            <w:vAlign w:val="center"/>
            <w:hideMark/>
          </w:tcPr>
          <w:p w14:paraId="413F4BD3"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w:t>
            </w:r>
          </w:p>
        </w:tc>
        <w:tc>
          <w:tcPr>
            <w:tcW w:w="1080" w:type="dxa"/>
            <w:tcBorders>
              <w:top w:val="nil"/>
              <w:left w:val="nil"/>
              <w:bottom w:val="nil"/>
              <w:right w:val="nil"/>
            </w:tcBorders>
            <w:shd w:val="clear" w:color="000000" w:fill="95B3D7"/>
            <w:noWrap/>
            <w:vAlign w:val="center"/>
            <w:hideMark/>
          </w:tcPr>
          <w:p w14:paraId="344CAD8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7CA9DFA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1BF5A15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 no IKP</w:t>
            </w:r>
          </w:p>
        </w:tc>
        <w:tc>
          <w:tcPr>
            <w:tcW w:w="1080" w:type="dxa"/>
            <w:tcBorders>
              <w:top w:val="nil"/>
              <w:left w:val="nil"/>
              <w:bottom w:val="nil"/>
              <w:right w:val="nil"/>
            </w:tcBorders>
            <w:shd w:val="clear" w:color="000000" w:fill="95B3D7"/>
            <w:noWrap/>
            <w:vAlign w:val="center"/>
            <w:hideMark/>
          </w:tcPr>
          <w:p w14:paraId="393B961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 no IKP</w:t>
            </w:r>
          </w:p>
        </w:tc>
      </w:tr>
      <w:tr w:rsidR="00035FC2" w:rsidRPr="00035FC2" w14:paraId="34CB404F" w14:textId="77777777" w:rsidTr="00035FC2">
        <w:trPr>
          <w:trHeight w:val="315"/>
          <w:jc w:val="center"/>
        </w:trPr>
        <w:tc>
          <w:tcPr>
            <w:tcW w:w="480" w:type="dxa"/>
            <w:tcBorders>
              <w:top w:val="nil"/>
              <w:left w:val="nil"/>
              <w:bottom w:val="nil"/>
              <w:right w:val="nil"/>
            </w:tcBorders>
            <w:shd w:val="clear" w:color="000000" w:fill="95B3D7"/>
            <w:noWrap/>
            <w:vAlign w:val="center"/>
            <w:hideMark/>
          </w:tcPr>
          <w:p w14:paraId="37A59A19"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w:t>
            </w:r>
          </w:p>
        </w:tc>
        <w:tc>
          <w:tcPr>
            <w:tcW w:w="5040" w:type="dxa"/>
            <w:tcBorders>
              <w:top w:val="nil"/>
              <w:left w:val="nil"/>
              <w:bottom w:val="nil"/>
              <w:right w:val="nil"/>
            </w:tcBorders>
            <w:shd w:val="clear" w:color="000000" w:fill="A6C9EC"/>
            <w:vAlign w:val="center"/>
            <w:hideMark/>
          </w:tcPr>
          <w:p w14:paraId="67157F01"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Ar valsts drošību saistītie prioritārie pasākumi, kopā</w:t>
            </w:r>
          </w:p>
        </w:tc>
        <w:tc>
          <w:tcPr>
            <w:tcW w:w="1080" w:type="dxa"/>
            <w:tcBorders>
              <w:top w:val="nil"/>
              <w:left w:val="nil"/>
              <w:bottom w:val="nil"/>
              <w:right w:val="nil"/>
            </w:tcBorders>
            <w:shd w:val="clear" w:color="000000" w:fill="A6C9EC"/>
            <w:noWrap/>
            <w:vAlign w:val="center"/>
            <w:hideMark/>
          </w:tcPr>
          <w:p w14:paraId="3EB645F8"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71A7178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323F81F9"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A6C9EC"/>
            <w:noWrap/>
            <w:vAlign w:val="center"/>
            <w:hideMark/>
          </w:tcPr>
          <w:p w14:paraId="4969E9C6"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0,61</w:t>
            </w:r>
          </w:p>
        </w:tc>
        <w:tc>
          <w:tcPr>
            <w:tcW w:w="1080" w:type="dxa"/>
            <w:tcBorders>
              <w:top w:val="nil"/>
              <w:left w:val="nil"/>
              <w:bottom w:val="nil"/>
              <w:right w:val="nil"/>
            </w:tcBorders>
            <w:shd w:val="clear" w:color="000000" w:fill="A6C9EC"/>
            <w:noWrap/>
            <w:vAlign w:val="center"/>
            <w:hideMark/>
          </w:tcPr>
          <w:p w14:paraId="7F3A333B"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-0,17</w:t>
            </w:r>
          </w:p>
        </w:tc>
        <w:tc>
          <w:tcPr>
            <w:tcW w:w="1080" w:type="dxa"/>
            <w:tcBorders>
              <w:top w:val="nil"/>
              <w:left w:val="nil"/>
              <w:bottom w:val="nil"/>
              <w:right w:val="nil"/>
            </w:tcBorders>
            <w:shd w:val="clear" w:color="000000" w:fill="A6C9EC"/>
            <w:noWrap/>
            <w:vAlign w:val="center"/>
            <w:hideMark/>
          </w:tcPr>
          <w:p w14:paraId="76CC6A9F"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0,05</w:t>
            </w:r>
          </w:p>
        </w:tc>
        <w:tc>
          <w:tcPr>
            <w:tcW w:w="1080" w:type="dxa"/>
            <w:tcBorders>
              <w:top w:val="nil"/>
              <w:left w:val="nil"/>
              <w:bottom w:val="nil"/>
              <w:right w:val="nil"/>
            </w:tcBorders>
            <w:shd w:val="clear" w:color="000000" w:fill="A6C9EC"/>
            <w:noWrap/>
            <w:vAlign w:val="center"/>
            <w:hideMark/>
          </w:tcPr>
          <w:p w14:paraId="1B235046"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-0,20</w:t>
            </w:r>
          </w:p>
        </w:tc>
      </w:tr>
      <w:tr w:rsidR="00035FC2" w:rsidRPr="00035FC2" w14:paraId="65D206DD"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746ED6FC"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w:t>
            </w:r>
          </w:p>
        </w:tc>
        <w:tc>
          <w:tcPr>
            <w:tcW w:w="5040" w:type="dxa"/>
            <w:tcBorders>
              <w:top w:val="nil"/>
              <w:left w:val="nil"/>
              <w:bottom w:val="nil"/>
              <w:right w:val="nil"/>
            </w:tcBorders>
            <w:shd w:val="clear" w:color="auto" w:fill="auto"/>
            <w:vAlign w:val="center"/>
            <w:hideMark/>
          </w:tcPr>
          <w:p w14:paraId="5B3A7BE7"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Valsts drošības dienesta darbības prioritāro jomu stiprināšana</w:t>
            </w:r>
          </w:p>
        </w:tc>
        <w:tc>
          <w:tcPr>
            <w:tcW w:w="1080" w:type="dxa"/>
            <w:tcBorders>
              <w:top w:val="nil"/>
              <w:left w:val="nil"/>
              <w:bottom w:val="nil"/>
              <w:right w:val="nil"/>
            </w:tcBorders>
            <w:shd w:val="clear" w:color="auto" w:fill="auto"/>
            <w:noWrap/>
            <w:vAlign w:val="center"/>
            <w:hideMark/>
          </w:tcPr>
          <w:p w14:paraId="6DB03E9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D5DC90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31F5BE6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w:t>
            </w:r>
          </w:p>
        </w:tc>
        <w:tc>
          <w:tcPr>
            <w:tcW w:w="1080" w:type="dxa"/>
            <w:tcBorders>
              <w:top w:val="nil"/>
              <w:left w:val="nil"/>
              <w:bottom w:val="nil"/>
              <w:right w:val="nil"/>
            </w:tcBorders>
            <w:shd w:val="clear" w:color="auto" w:fill="auto"/>
            <w:noWrap/>
            <w:vAlign w:val="center"/>
            <w:hideMark/>
          </w:tcPr>
          <w:p w14:paraId="3B972DD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1C7886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4EC96AD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015224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77B31806"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455E4824"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w:t>
            </w:r>
          </w:p>
        </w:tc>
        <w:tc>
          <w:tcPr>
            <w:tcW w:w="5040" w:type="dxa"/>
            <w:tcBorders>
              <w:top w:val="nil"/>
              <w:left w:val="nil"/>
              <w:bottom w:val="nil"/>
              <w:right w:val="nil"/>
            </w:tcBorders>
            <w:shd w:val="clear" w:color="auto" w:fill="auto"/>
            <w:vAlign w:val="center"/>
            <w:hideMark/>
          </w:tcPr>
          <w:p w14:paraId="4D027095"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Satversmes aizsardzības biroja darbības nodrošināšana </w:t>
            </w:r>
          </w:p>
        </w:tc>
        <w:tc>
          <w:tcPr>
            <w:tcW w:w="1080" w:type="dxa"/>
            <w:tcBorders>
              <w:top w:val="nil"/>
              <w:left w:val="nil"/>
              <w:bottom w:val="nil"/>
              <w:right w:val="nil"/>
            </w:tcBorders>
            <w:shd w:val="clear" w:color="auto" w:fill="auto"/>
            <w:noWrap/>
            <w:vAlign w:val="center"/>
            <w:hideMark/>
          </w:tcPr>
          <w:p w14:paraId="71A5E65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483364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38C6407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 D.62</w:t>
            </w:r>
          </w:p>
        </w:tc>
        <w:tc>
          <w:tcPr>
            <w:tcW w:w="1080" w:type="dxa"/>
            <w:tcBorders>
              <w:top w:val="nil"/>
              <w:left w:val="nil"/>
              <w:bottom w:val="nil"/>
              <w:right w:val="nil"/>
            </w:tcBorders>
            <w:shd w:val="clear" w:color="auto" w:fill="auto"/>
            <w:noWrap/>
            <w:vAlign w:val="center"/>
            <w:hideMark/>
          </w:tcPr>
          <w:p w14:paraId="28A527E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2F85B4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CD2798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18CF58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57A1A552"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2CAD86EE"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w:t>
            </w:r>
          </w:p>
        </w:tc>
        <w:tc>
          <w:tcPr>
            <w:tcW w:w="5040" w:type="dxa"/>
            <w:tcBorders>
              <w:top w:val="nil"/>
              <w:left w:val="nil"/>
              <w:bottom w:val="nil"/>
              <w:right w:val="nil"/>
            </w:tcBorders>
            <w:shd w:val="clear" w:color="auto" w:fill="auto"/>
            <w:vAlign w:val="center"/>
            <w:hideMark/>
          </w:tcPr>
          <w:p w14:paraId="181E2FE8"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Krīzes vadības centra kapacitātes nodrošināšana (Valsts kanceleja)</w:t>
            </w:r>
          </w:p>
        </w:tc>
        <w:tc>
          <w:tcPr>
            <w:tcW w:w="1080" w:type="dxa"/>
            <w:tcBorders>
              <w:top w:val="nil"/>
              <w:left w:val="nil"/>
              <w:bottom w:val="nil"/>
              <w:right w:val="nil"/>
            </w:tcBorders>
            <w:shd w:val="clear" w:color="auto" w:fill="auto"/>
            <w:noWrap/>
            <w:vAlign w:val="center"/>
            <w:hideMark/>
          </w:tcPr>
          <w:p w14:paraId="592089C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052A7D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0DFD589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w:t>
            </w:r>
          </w:p>
        </w:tc>
        <w:tc>
          <w:tcPr>
            <w:tcW w:w="1080" w:type="dxa"/>
            <w:tcBorders>
              <w:top w:val="nil"/>
              <w:left w:val="nil"/>
              <w:bottom w:val="nil"/>
              <w:right w:val="nil"/>
            </w:tcBorders>
            <w:shd w:val="clear" w:color="auto" w:fill="auto"/>
            <w:noWrap/>
            <w:vAlign w:val="center"/>
            <w:hideMark/>
          </w:tcPr>
          <w:p w14:paraId="4B3D6EC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ECEB54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B0D7CD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F7A732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6B48FC89"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6F500D0F"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5</w:t>
            </w:r>
          </w:p>
        </w:tc>
        <w:tc>
          <w:tcPr>
            <w:tcW w:w="5040" w:type="dxa"/>
            <w:tcBorders>
              <w:top w:val="nil"/>
              <w:left w:val="nil"/>
              <w:bottom w:val="nil"/>
              <w:right w:val="nil"/>
            </w:tcBorders>
            <w:shd w:val="clear" w:color="auto" w:fill="auto"/>
            <w:vAlign w:val="center"/>
            <w:hideMark/>
          </w:tcPr>
          <w:p w14:paraId="6D11E338"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Neatliekamās medicīniskās palīdzības dienesta pamatfunkciju stiprināšana, tai skaitā gatavībai ārkārtas gadījumos</w:t>
            </w:r>
          </w:p>
        </w:tc>
        <w:tc>
          <w:tcPr>
            <w:tcW w:w="1080" w:type="dxa"/>
            <w:tcBorders>
              <w:top w:val="nil"/>
              <w:left w:val="nil"/>
              <w:bottom w:val="nil"/>
              <w:right w:val="nil"/>
            </w:tcBorders>
            <w:shd w:val="clear" w:color="auto" w:fill="auto"/>
            <w:noWrap/>
            <w:vAlign w:val="center"/>
            <w:hideMark/>
          </w:tcPr>
          <w:p w14:paraId="6246D56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275A63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06763EA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w:t>
            </w:r>
          </w:p>
        </w:tc>
        <w:tc>
          <w:tcPr>
            <w:tcW w:w="1080" w:type="dxa"/>
            <w:tcBorders>
              <w:top w:val="nil"/>
              <w:left w:val="nil"/>
              <w:bottom w:val="nil"/>
              <w:right w:val="nil"/>
            </w:tcBorders>
            <w:shd w:val="clear" w:color="auto" w:fill="auto"/>
            <w:noWrap/>
            <w:vAlign w:val="center"/>
            <w:hideMark/>
          </w:tcPr>
          <w:p w14:paraId="014D9E9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9CA33F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D376EA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29CFAA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44FB35D2"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6A0CF71F"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6</w:t>
            </w:r>
          </w:p>
        </w:tc>
        <w:tc>
          <w:tcPr>
            <w:tcW w:w="5040" w:type="dxa"/>
            <w:tcBorders>
              <w:top w:val="nil"/>
              <w:left w:val="nil"/>
              <w:bottom w:val="nil"/>
              <w:right w:val="nil"/>
            </w:tcBorders>
            <w:shd w:val="clear" w:color="auto" w:fill="auto"/>
            <w:vAlign w:val="center"/>
            <w:hideMark/>
          </w:tcPr>
          <w:p w14:paraId="0E715B13"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Latvijas Republikas pastāvīgās pārstāvniecības ANO, Ņujorkā darbības nepārtrauktības nodrošināšana</w:t>
            </w:r>
          </w:p>
        </w:tc>
        <w:tc>
          <w:tcPr>
            <w:tcW w:w="1080" w:type="dxa"/>
            <w:tcBorders>
              <w:top w:val="nil"/>
              <w:left w:val="nil"/>
              <w:bottom w:val="nil"/>
              <w:right w:val="nil"/>
            </w:tcBorders>
            <w:shd w:val="clear" w:color="auto" w:fill="auto"/>
            <w:noWrap/>
            <w:vAlign w:val="center"/>
            <w:hideMark/>
          </w:tcPr>
          <w:p w14:paraId="2DBF903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90C5D2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5A5F875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w:t>
            </w:r>
          </w:p>
        </w:tc>
        <w:tc>
          <w:tcPr>
            <w:tcW w:w="1080" w:type="dxa"/>
            <w:tcBorders>
              <w:top w:val="nil"/>
              <w:left w:val="nil"/>
              <w:bottom w:val="nil"/>
              <w:right w:val="nil"/>
            </w:tcBorders>
            <w:shd w:val="clear" w:color="auto" w:fill="auto"/>
            <w:noWrap/>
            <w:vAlign w:val="center"/>
            <w:hideMark/>
          </w:tcPr>
          <w:p w14:paraId="1DD75E4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A48D5E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74318C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4192DB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6E09751D"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744C948D"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7</w:t>
            </w:r>
          </w:p>
        </w:tc>
        <w:tc>
          <w:tcPr>
            <w:tcW w:w="5040" w:type="dxa"/>
            <w:tcBorders>
              <w:top w:val="nil"/>
              <w:left w:val="nil"/>
              <w:bottom w:val="nil"/>
              <w:right w:val="nil"/>
            </w:tcBorders>
            <w:shd w:val="clear" w:color="auto" w:fill="auto"/>
            <w:vAlign w:val="center"/>
            <w:hideMark/>
          </w:tcPr>
          <w:p w14:paraId="38EBC834" w14:textId="10AF8589" w:rsidR="00035FC2" w:rsidRPr="00035FC2" w:rsidRDefault="00035FC2" w:rsidP="006357B3">
            <w:pPr>
              <w:spacing w:after="0" w:line="240" w:lineRule="auto"/>
              <w:ind w:firstLine="0"/>
              <w:jc w:val="left"/>
              <w:rPr>
                <w:rFonts w:eastAsia="Times New Roman" w:cs="Times New Roman"/>
                <w:color w:val="000000"/>
                <w:sz w:val="18"/>
                <w:szCs w:val="18"/>
                <w:lang w:eastAsia="lv-LV"/>
              </w:rPr>
            </w:pPr>
            <w:proofErr w:type="spellStart"/>
            <w:r w:rsidRPr="00035FC2">
              <w:rPr>
                <w:rFonts w:eastAsia="Times New Roman" w:cs="Times New Roman"/>
                <w:color w:val="000000"/>
                <w:sz w:val="18"/>
                <w:szCs w:val="18"/>
                <w:lang w:eastAsia="lv-LV"/>
              </w:rPr>
              <w:t>Kiberdrošības</w:t>
            </w:r>
            <w:proofErr w:type="spellEnd"/>
            <w:r w:rsidRPr="00035FC2">
              <w:rPr>
                <w:rFonts w:eastAsia="Times New Roman" w:cs="Times New Roman"/>
                <w:color w:val="000000"/>
                <w:sz w:val="18"/>
                <w:szCs w:val="18"/>
                <w:lang w:eastAsia="lv-LV"/>
              </w:rPr>
              <w:t xml:space="preserve"> stiprināšana (horizontāli) (no ES fondiem)</w:t>
            </w:r>
          </w:p>
        </w:tc>
        <w:tc>
          <w:tcPr>
            <w:tcW w:w="1080" w:type="dxa"/>
            <w:tcBorders>
              <w:top w:val="nil"/>
              <w:left w:val="nil"/>
              <w:bottom w:val="nil"/>
              <w:right w:val="nil"/>
            </w:tcBorders>
            <w:shd w:val="clear" w:color="auto" w:fill="auto"/>
            <w:noWrap/>
            <w:vAlign w:val="center"/>
            <w:hideMark/>
          </w:tcPr>
          <w:p w14:paraId="486C4AC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D7DB6F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5AE1198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P.51g</w:t>
            </w:r>
          </w:p>
        </w:tc>
        <w:tc>
          <w:tcPr>
            <w:tcW w:w="1080" w:type="dxa"/>
            <w:tcBorders>
              <w:top w:val="nil"/>
              <w:left w:val="nil"/>
              <w:bottom w:val="nil"/>
              <w:right w:val="nil"/>
            </w:tcBorders>
            <w:shd w:val="clear" w:color="auto" w:fill="auto"/>
            <w:noWrap/>
            <w:vAlign w:val="center"/>
            <w:hideMark/>
          </w:tcPr>
          <w:p w14:paraId="089DAE0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242B30A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7F5F07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211642B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3C681255"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7BDEBA30"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8</w:t>
            </w:r>
          </w:p>
        </w:tc>
        <w:tc>
          <w:tcPr>
            <w:tcW w:w="5040" w:type="dxa"/>
            <w:tcBorders>
              <w:top w:val="nil"/>
              <w:left w:val="nil"/>
              <w:bottom w:val="nil"/>
              <w:right w:val="nil"/>
            </w:tcBorders>
            <w:shd w:val="clear" w:color="auto" w:fill="auto"/>
            <w:vAlign w:val="center"/>
            <w:hideMark/>
          </w:tcPr>
          <w:p w14:paraId="2A99CFEE"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Atbalsts Ukrainai (atbilstoši noslēgtajam līgumam par militāro atbalstu)</w:t>
            </w:r>
          </w:p>
        </w:tc>
        <w:tc>
          <w:tcPr>
            <w:tcW w:w="1080" w:type="dxa"/>
            <w:tcBorders>
              <w:top w:val="nil"/>
              <w:left w:val="nil"/>
              <w:bottom w:val="nil"/>
              <w:right w:val="nil"/>
            </w:tcBorders>
            <w:shd w:val="clear" w:color="auto" w:fill="auto"/>
            <w:noWrap/>
            <w:vAlign w:val="center"/>
            <w:hideMark/>
          </w:tcPr>
          <w:p w14:paraId="69CAA71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E79F29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475BF8F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D.7</w:t>
            </w:r>
          </w:p>
        </w:tc>
        <w:tc>
          <w:tcPr>
            <w:tcW w:w="1080" w:type="dxa"/>
            <w:tcBorders>
              <w:top w:val="nil"/>
              <w:left w:val="nil"/>
              <w:bottom w:val="nil"/>
              <w:right w:val="nil"/>
            </w:tcBorders>
            <w:shd w:val="clear" w:color="auto" w:fill="auto"/>
            <w:noWrap/>
            <w:vAlign w:val="center"/>
            <w:hideMark/>
          </w:tcPr>
          <w:p w14:paraId="2E6A4C4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0,11</w:t>
            </w:r>
          </w:p>
        </w:tc>
        <w:tc>
          <w:tcPr>
            <w:tcW w:w="1080" w:type="dxa"/>
            <w:tcBorders>
              <w:top w:val="nil"/>
              <w:left w:val="nil"/>
              <w:bottom w:val="nil"/>
              <w:right w:val="nil"/>
            </w:tcBorders>
            <w:shd w:val="clear" w:color="auto" w:fill="auto"/>
            <w:noWrap/>
            <w:vAlign w:val="center"/>
            <w:hideMark/>
          </w:tcPr>
          <w:p w14:paraId="3EFE37D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-0,11</w:t>
            </w:r>
          </w:p>
        </w:tc>
        <w:tc>
          <w:tcPr>
            <w:tcW w:w="1080" w:type="dxa"/>
            <w:tcBorders>
              <w:top w:val="nil"/>
              <w:left w:val="nil"/>
              <w:bottom w:val="nil"/>
              <w:right w:val="nil"/>
            </w:tcBorders>
            <w:shd w:val="clear" w:color="auto" w:fill="auto"/>
            <w:noWrap/>
            <w:vAlign w:val="center"/>
            <w:hideMark/>
          </w:tcPr>
          <w:p w14:paraId="39B1BF8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30C5D6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7945FB30"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7F941F84"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9</w:t>
            </w:r>
          </w:p>
        </w:tc>
        <w:tc>
          <w:tcPr>
            <w:tcW w:w="5040" w:type="dxa"/>
            <w:tcBorders>
              <w:top w:val="nil"/>
              <w:left w:val="nil"/>
              <w:bottom w:val="nil"/>
              <w:right w:val="nil"/>
            </w:tcBorders>
            <w:shd w:val="clear" w:color="auto" w:fill="auto"/>
            <w:vAlign w:val="center"/>
            <w:hideMark/>
          </w:tcPr>
          <w:p w14:paraId="708A0695"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Militārā poligona “Sēlija” piekļuves ceļa uzlabošana un vienības tilta Daugavpilī pārbūve mobilitātes uzlabošanai (no ES fondiem)</w:t>
            </w:r>
          </w:p>
        </w:tc>
        <w:tc>
          <w:tcPr>
            <w:tcW w:w="1080" w:type="dxa"/>
            <w:tcBorders>
              <w:top w:val="nil"/>
              <w:left w:val="nil"/>
              <w:bottom w:val="nil"/>
              <w:right w:val="nil"/>
            </w:tcBorders>
            <w:shd w:val="clear" w:color="auto" w:fill="auto"/>
            <w:noWrap/>
            <w:vAlign w:val="center"/>
            <w:hideMark/>
          </w:tcPr>
          <w:p w14:paraId="7A2B773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08A5BC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06EF4AB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P.51g</w:t>
            </w:r>
          </w:p>
        </w:tc>
        <w:tc>
          <w:tcPr>
            <w:tcW w:w="1080" w:type="dxa"/>
            <w:tcBorders>
              <w:top w:val="nil"/>
              <w:left w:val="nil"/>
              <w:bottom w:val="nil"/>
              <w:right w:val="nil"/>
            </w:tcBorders>
            <w:shd w:val="clear" w:color="auto" w:fill="auto"/>
            <w:noWrap/>
            <w:vAlign w:val="center"/>
            <w:hideMark/>
          </w:tcPr>
          <w:p w14:paraId="25131B1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903007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334ED0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075262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-0,02</w:t>
            </w:r>
          </w:p>
        </w:tc>
      </w:tr>
      <w:tr w:rsidR="00035FC2" w:rsidRPr="00035FC2" w14:paraId="70501359"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0CC249CA"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10</w:t>
            </w:r>
          </w:p>
        </w:tc>
        <w:tc>
          <w:tcPr>
            <w:tcW w:w="5040" w:type="dxa"/>
            <w:tcBorders>
              <w:top w:val="nil"/>
              <w:left w:val="nil"/>
              <w:bottom w:val="nil"/>
              <w:right w:val="nil"/>
            </w:tcBorders>
            <w:shd w:val="clear" w:color="auto" w:fill="auto"/>
            <w:vAlign w:val="center"/>
            <w:hideMark/>
          </w:tcPr>
          <w:p w14:paraId="14958CD9"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Munīcijas krājumu papildināšana un individuālā ekipējuma nodrošināšana </w:t>
            </w:r>
          </w:p>
        </w:tc>
        <w:tc>
          <w:tcPr>
            <w:tcW w:w="1080" w:type="dxa"/>
            <w:tcBorders>
              <w:top w:val="nil"/>
              <w:left w:val="nil"/>
              <w:bottom w:val="nil"/>
              <w:right w:val="nil"/>
            </w:tcBorders>
            <w:shd w:val="clear" w:color="auto" w:fill="auto"/>
            <w:noWrap/>
            <w:vAlign w:val="center"/>
            <w:hideMark/>
          </w:tcPr>
          <w:p w14:paraId="484918B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74684B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275F397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w:t>
            </w:r>
          </w:p>
        </w:tc>
        <w:tc>
          <w:tcPr>
            <w:tcW w:w="1080" w:type="dxa"/>
            <w:tcBorders>
              <w:top w:val="nil"/>
              <w:left w:val="nil"/>
              <w:bottom w:val="nil"/>
              <w:right w:val="nil"/>
            </w:tcBorders>
            <w:shd w:val="clear" w:color="auto" w:fill="auto"/>
            <w:noWrap/>
            <w:vAlign w:val="center"/>
            <w:hideMark/>
          </w:tcPr>
          <w:p w14:paraId="0B2BD51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2B9B4EF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0,10</w:t>
            </w:r>
          </w:p>
        </w:tc>
        <w:tc>
          <w:tcPr>
            <w:tcW w:w="1080" w:type="dxa"/>
            <w:tcBorders>
              <w:top w:val="nil"/>
              <w:left w:val="nil"/>
              <w:bottom w:val="nil"/>
              <w:right w:val="nil"/>
            </w:tcBorders>
            <w:shd w:val="clear" w:color="auto" w:fill="auto"/>
            <w:noWrap/>
            <w:vAlign w:val="center"/>
            <w:hideMark/>
          </w:tcPr>
          <w:p w14:paraId="003131A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7A497D1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-0,07</w:t>
            </w:r>
          </w:p>
        </w:tc>
      </w:tr>
      <w:tr w:rsidR="00035FC2" w:rsidRPr="00035FC2" w14:paraId="3D3F22A2"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4B0336A4"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11</w:t>
            </w:r>
          </w:p>
        </w:tc>
        <w:tc>
          <w:tcPr>
            <w:tcW w:w="5040" w:type="dxa"/>
            <w:tcBorders>
              <w:top w:val="nil"/>
              <w:left w:val="nil"/>
              <w:bottom w:val="nil"/>
              <w:right w:val="nil"/>
            </w:tcBorders>
            <w:shd w:val="clear" w:color="auto" w:fill="auto"/>
            <w:vAlign w:val="center"/>
            <w:hideMark/>
          </w:tcPr>
          <w:p w14:paraId="55540E6A"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Papildu radaru iegāde vēja parku attīstībai </w:t>
            </w:r>
          </w:p>
        </w:tc>
        <w:tc>
          <w:tcPr>
            <w:tcW w:w="1080" w:type="dxa"/>
            <w:tcBorders>
              <w:top w:val="nil"/>
              <w:left w:val="nil"/>
              <w:bottom w:val="nil"/>
              <w:right w:val="nil"/>
            </w:tcBorders>
            <w:shd w:val="clear" w:color="auto" w:fill="auto"/>
            <w:noWrap/>
            <w:vAlign w:val="center"/>
            <w:hideMark/>
          </w:tcPr>
          <w:p w14:paraId="14B9D45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8150E8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1ADA94C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P.51g</w:t>
            </w:r>
          </w:p>
        </w:tc>
        <w:tc>
          <w:tcPr>
            <w:tcW w:w="1080" w:type="dxa"/>
            <w:tcBorders>
              <w:top w:val="nil"/>
              <w:left w:val="nil"/>
              <w:bottom w:val="nil"/>
              <w:right w:val="nil"/>
            </w:tcBorders>
            <w:shd w:val="clear" w:color="auto" w:fill="auto"/>
            <w:noWrap/>
            <w:vAlign w:val="center"/>
            <w:hideMark/>
          </w:tcPr>
          <w:p w14:paraId="4E8B54D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52418F5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8241BE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C4E271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-0,04</w:t>
            </w:r>
          </w:p>
        </w:tc>
      </w:tr>
      <w:tr w:rsidR="00035FC2" w:rsidRPr="00035FC2" w14:paraId="25022266" w14:textId="77777777" w:rsidTr="00BB31A6">
        <w:trPr>
          <w:trHeight w:val="315"/>
          <w:jc w:val="center"/>
        </w:trPr>
        <w:tc>
          <w:tcPr>
            <w:tcW w:w="480" w:type="dxa"/>
            <w:tcBorders>
              <w:top w:val="nil"/>
              <w:left w:val="nil"/>
              <w:bottom w:val="nil"/>
              <w:right w:val="nil"/>
            </w:tcBorders>
            <w:shd w:val="clear" w:color="000000" w:fill="95B3D7"/>
            <w:noWrap/>
            <w:vAlign w:val="center"/>
            <w:hideMark/>
          </w:tcPr>
          <w:p w14:paraId="3A2062F0"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12</w:t>
            </w:r>
          </w:p>
        </w:tc>
        <w:tc>
          <w:tcPr>
            <w:tcW w:w="5040" w:type="dxa"/>
            <w:tcBorders>
              <w:top w:val="nil"/>
              <w:left w:val="nil"/>
              <w:bottom w:val="nil"/>
              <w:right w:val="nil"/>
            </w:tcBorders>
            <w:shd w:val="clear" w:color="auto" w:fill="auto"/>
            <w:vAlign w:val="center"/>
            <w:hideMark/>
          </w:tcPr>
          <w:p w14:paraId="078072F9"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Papildu radaru iegāde vēja parku attīstībai </w:t>
            </w:r>
          </w:p>
        </w:tc>
        <w:tc>
          <w:tcPr>
            <w:tcW w:w="1080" w:type="dxa"/>
            <w:tcBorders>
              <w:top w:val="nil"/>
              <w:left w:val="nil"/>
              <w:bottom w:val="nil"/>
              <w:right w:val="nil"/>
            </w:tcBorders>
            <w:shd w:val="clear" w:color="auto" w:fill="auto"/>
            <w:noWrap/>
            <w:vAlign w:val="center"/>
            <w:hideMark/>
          </w:tcPr>
          <w:p w14:paraId="65C76F8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2F0D98C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37AB003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P.51g</w:t>
            </w:r>
          </w:p>
        </w:tc>
        <w:tc>
          <w:tcPr>
            <w:tcW w:w="1080" w:type="dxa"/>
            <w:tcBorders>
              <w:top w:val="nil"/>
              <w:left w:val="nil"/>
              <w:bottom w:val="nil"/>
              <w:right w:val="nil"/>
            </w:tcBorders>
            <w:shd w:val="clear" w:color="auto" w:fill="auto"/>
            <w:noWrap/>
            <w:vAlign w:val="center"/>
            <w:hideMark/>
          </w:tcPr>
          <w:p w14:paraId="3634AD8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1DF1E29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38DBC4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0,09</w:t>
            </w:r>
          </w:p>
        </w:tc>
        <w:tc>
          <w:tcPr>
            <w:tcW w:w="1080" w:type="dxa"/>
            <w:tcBorders>
              <w:top w:val="nil"/>
              <w:left w:val="nil"/>
              <w:bottom w:val="nil"/>
              <w:right w:val="nil"/>
            </w:tcBorders>
            <w:shd w:val="clear" w:color="auto" w:fill="auto"/>
            <w:noWrap/>
            <w:vAlign w:val="center"/>
            <w:hideMark/>
          </w:tcPr>
          <w:p w14:paraId="4F7DB7D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-0,06</w:t>
            </w:r>
          </w:p>
        </w:tc>
      </w:tr>
      <w:tr w:rsidR="00035FC2" w:rsidRPr="00035FC2" w14:paraId="64F3493B" w14:textId="77777777" w:rsidTr="00BB31A6">
        <w:trPr>
          <w:trHeight w:val="1200"/>
          <w:jc w:val="center"/>
        </w:trPr>
        <w:tc>
          <w:tcPr>
            <w:tcW w:w="480" w:type="dxa"/>
            <w:tcBorders>
              <w:top w:val="nil"/>
              <w:left w:val="nil"/>
              <w:bottom w:val="nil"/>
              <w:right w:val="nil"/>
            </w:tcBorders>
            <w:shd w:val="clear" w:color="000000" w:fill="95B3D7"/>
            <w:noWrap/>
            <w:vAlign w:val="center"/>
            <w:hideMark/>
          </w:tcPr>
          <w:p w14:paraId="5DEE697C"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13</w:t>
            </w:r>
          </w:p>
        </w:tc>
        <w:tc>
          <w:tcPr>
            <w:tcW w:w="5040" w:type="dxa"/>
            <w:tcBorders>
              <w:top w:val="nil"/>
              <w:left w:val="nil"/>
              <w:bottom w:val="nil"/>
              <w:right w:val="nil"/>
            </w:tcBorders>
            <w:shd w:val="clear" w:color="auto" w:fill="auto"/>
            <w:vAlign w:val="center"/>
            <w:hideMark/>
          </w:tcPr>
          <w:p w14:paraId="1E51B05C" w14:textId="4A355C29" w:rsidR="00035FC2" w:rsidRPr="00035FC2" w:rsidRDefault="00035FC2" w:rsidP="006357B3">
            <w:pPr>
              <w:spacing w:after="0" w:line="240" w:lineRule="auto"/>
              <w:ind w:firstLine="0"/>
              <w:jc w:val="left"/>
              <w:rPr>
                <w:rFonts w:eastAsia="Times New Roman" w:cs="Times New Roman"/>
                <w:color w:val="000000"/>
                <w:sz w:val="18"/>
                <w:szCs w:val="18"/>
                <w:lang w:eastAsia="lv-LV"/>
              </w:rPr>
            </w:pPr>
            <w:proofErr w:type="spellStart"/>
            <w:r w:rsidRPr="00035FC2">
              <w:rPr>
                <w:rFonts w:eastAsia="Times New Roman" w:cs="Times New Roman"/>
                <w:color w:val="000000"/>
                <w:sz w:val="18"/>
                <w:szCs w:val="18"/>
                <w:lang w:eastAsia="lv-LV"/>
              </w:rPr>
              <w:t>Iekšlietu</w:t>
            </w:r>
            <w:proofErr w:type="spellEnd"/>
            <w:r w:rsidRPr="00035FC2">
              <w:rPr>
                <w:rFonts w:eastAsia="Times New Roman" w:cs="Times New Roman"/>
                <w:color w:val="000000"/>
                <w:sz w:val="18"/>
                <w:szCs w:val="18"/>
                <w:lang w:eastAsia="lv-LV"/>
              </w:rPr>
              <w:t xml:space="preserve"> dienestu un Ieslodzījuma vietu pārvaldes amatpersonu ar speciālajām dienesta pakāpēm, kā arī Valsts ieņēmumu dienesta Nodokļu un muitas policijas pārvaldes atalgojuma palielināšana par 10% un jaunās piemaksas ieviešana par darbu dienestā (IeM, TM un VID)</w:t>
            </w:r>
          </w:p>
        </w:tc>
        <w:tc>
          <w:tcPr>
            <w:tcW w:w="1080" w:type="dxa"/>
            <w:tcBorders>
              <w:top w:val="nil"/>
              <w:left w:val="nil"/>
              <w:bottom w:val="nil"/>
              <w:right w:val="nil"/>
            </w:tcBorders>
            <w:shd w:val="clear" w:color="auto" w:fill="auto"/>
            <w:noWrap/>
            <w:vAlign w:val="center"/>
            <w:hideMark/>
          </w:tcPr>
          <w:p w14:paraId="3EE78BF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3F26F8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16AE841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w:t>
            </w:r>
          </w:p>
        </w:tc>
        <w:tc>
          <w:tcPr>
            <w:tcW w:w="1080" w:type="dxa"/>
            <w:tcBorders>
              <w:top w:val="nil"/>
              <w:left w:val="nil"/>
              <w:bottom w:val="nil"/>
              <w:right w:val="nil"/>
            </w:tcBorders>
            <w:shd w:val="clear" w:color="auto" w:fill="auto"/>
            <w:noWrap/>
            <w:vAlign w:val="center"/>
            <w:hideMark/>
          </w:tcPr>
          <w:p w14:paraId="400E103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0,20</w:t>
            </w:r>
          </w:p>
        </w:tc>
        <w:tc>
          <w:tcPr>
            <w:tcW w:w="1080" w:type="dxa"/>
            <w:tcBorders>
              <w:top w:val="nil"/>
              <w:left w:val="nil"/>
              <w:bottom w:val="nil"/>
              <w:right w:val="nil"/>
            </w:tcBorders>
            <w:shd w:val="clear" w:color="auto" w:fill="auto"/>
            <w:noWrap/>
            <w:vAlign w:val="center"/>
            <w:hideMark/>
          </w:tcPr>
          <w:p w14:paraId="7691E29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5AF241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B090AE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r>
      <w:tr w:rsidR="00035FC2" w:rsidRPr="00035FC2" w14:paraId="6CD9BFDD"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644D410F"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14</w:t>
            </w:r>
          </w:p>
        </w:tc>
        <w:tc>
          <w:tcPr>
            <w:tcW w:w="5040" w:type="dxa"/>
            <w:tcBorders>
              <w:top w:val="nil"/>
              <w:left w:val="nil"/>
              <w:bottom w:val="nil"/>
              <w:right w:val="nil"/>
            </w:tcBorders>
            <w:shd w:val="clear" w:color="auto" w:fill="auto"/>
            <w:vAlign w:val="center"/>
            <w:hideMark/>
          </w:tcPr>
          <w:p w14:paraId="02C5DA7C"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Pastiprināta robežapsardzības sistēmas darbības režīma pagarināšana (74.resors)</w:t>
            </w:r>
          </w:p>
        </w:tc>
        <w:tc>
          <w:tcPr>
            <w:tcW w:w="1080" w:type="dxa"/>
            <w:tcBorders>
              <w:top w:val="nil"/>
              <w:left w:val="nil"/>
              <w:bottom w:val="nil"/>
              <w:right w:val="nil"/>
            </w:tcBorders>
            <w:shd w:val="clear" w:color="auto" w:fill="auto"/>
            <w:noWrap/>
            <w:vAlign w:val="center"/>
            <w:hideMark/>
          </w:tcPr>
          <w:p w14:paraId="7B5B681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CB5182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4A6D040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w:t>
            </w:r>
          </w:p>
        </w:tc>
        <w:tc>
          <w:tcPr>
            <w:tcW w:w="1080" w:type="dxa"/>
            <w:tcBorders>
              <w:top w:val="nil"/>
              <w:left w:val="nil"/>
              <w:bottom w:val="nil"/>
              <w:right w:val="nil"/>
            </w:tcBorders>
            <w:shd w:val="clear" w:color="auto" w:fill="auto"/>
            <w:noWrap/>
            <w:vAlign w:val="center"/>
            <w:hideMark/>
          </w:tcPr>
          <w:p w14:paraId="5341969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63A918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FED686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1CBA73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3A926C57" w14:textId="77777777" w:rsidTr="00BB31A6">
        <w:trPr>
          <w:trHeight w:val="480"/>
          <w:jc w:val="center"/>
        </w:trPr>
        <w:tc>
          <w:tcPr>
            <w:tcW w:w="480" w:type="dxa"/>
            <w:tcBorders>
              <w:top w:val="nil"/>
              <w:left w:val="nil"/>
              <w:bottom w:val="nil"/>
              <w:right w:val="nil"/>
            </w:tcBorders>
            <w:shd w:val="clear" w:color="000000" w:fill="95B3D7"/>
            <w:noWrap/>
            <w:vAlign w:val="center"/>
            <w:hideMark/>
          </w:tcPr>
          <w:p w14:paraId="78A282E8"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15</w:t>
            </w:r>
          </w:p>
        </w:tc>
        <w:tc>
          <w:tcPr>
            <w:tcW w:w="5040" w:type="dxa"/>
            <w:tcBorders>
              <w:top w:val="nil"/>
              <w:left w:val="nil"/>
              <w:bottom w:val="nil"/>
              <w:right w:val="nil"/>
            </w:tcBorders>
            <w:shd w:val="clear" w:color="auto" w:fill="auto"/>
            <w:vAlign w:val="center"/>
            <w:hideMark/>
          </w:tcPr>
          <w:p w14:paraId="0D8507C7"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Valsts materiālo rezervju iegāde, atjaunināšana un uzturēšana (horizontāli IeM, FM, SM, LM, TM, VM)</w:t>
            </w:r>
          </w:p>
        </w:tc>
        <w:tc>
          <w:tcPr>
            <w:tcW w:w="1080" w:type="dxa"/>
            <w:tcBorders>
              <w:top w:val="nil"/>
              <w:left w:val="nil"/>
              <w:bottom w:val="nil"/>
              <w:right w:val="nil"/>
            </w:tcBorders>
            <w:shd w:val="clear" w:color="auto" w:fill="auto"/>
            <w:noWrap/>
            <w:vAlign w:val="center"/>
            <w:hideMark/>
          </w:tcPr>
          <w:p w14:paraId="43881CC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7C4128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1808570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w:t>
            </w:r>
          </w:p>
        </w:tc>
        <w:tc>
          <w:tcPr>
            <w:tcW w:w="1080" w:type="dxa"/>
            <w:tcBorders>
              <w:top w:val="nil"/>
              <w:left w:val="nil"/>
              <w:bottom w:val="nil"/>
              <w:right w:val="nil"/>
            </w:tcBorders>
            <w:shd w:val="clear" w:color="auto" w:fill="auto"/>
            <w:noWrap/>
            <w:vAlign w:val="center"/>
            <w:hideMark/>
          </w:tcPr>
          <w:p w14:paraId="130097E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8CFDD9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973F86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10DD43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5EEEFF03"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1E5307EB"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16</w:t>
            </w:r>
          </w:p>
        </w:tc>
        <w:tc>
          <w:tcPr>
            <w:tcW w:w="5040" w:type="dxa"/>
            <w:tcBorders>
              <w:top w:val="nil"/>
              <w:left w:val="nil"/>
              <w:bottom w:val="nil"/>
              <w:right w:val="nil"/>
            </w:tcBorders>
            <w:shd w:val="clear" w:color="auto" w:fill="auto"/>
            <w:vAlign w:val="center"/>
            <w:hideMark/>
          </w:tcPr>
          <w:p w14:paraId="726392B1"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Pasākumu plāna atbalsta sniegšanai Ukrainas civiliedzīvotājiem Latvijas Republikā 2025. gadam īstenošana (74.resors)</w:t>
            </w:r>
          </w:p>
        </w:tc>
        <w:tc>
          <w:tcPr>
            <w:tcW w:w="1080" w:type="dxa"/>
            <w:tcBorders>
              <w:top w:val="nil"/>
              <w:left w:val="nil"/>
              <w:bottom w:val="nil"/>
              <w:right w:val="nil"/>
            </w:tcBorders>
            <w:shd w:val="clear" w:color="auto" w:fill="auto"/>
            <w:noWrap/>
            <w:vAlign w:val="center"/>
            <w:hideMark/>
          </w:tcPr>
          <w:p w14:paraId="70FF85B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5B9893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09D28ED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D.7</w:t>
            </w:r>
          </w:p>
        </w:tc>
        <w:tc>
          <w:tcPr>
            <w:tcW w:w="1080" w:type="dxa"/>
            <w:tcBorders>
              <w:top w:val="nil"/>
              <w:left w:val="nil"/>
              <w:bottom w:val="nil"/>
              <w:right w:val="nil"/>
            </w:tcBorders>
            <w:shd w:val="clear" w:color="auto" w:fill="auto"/>
            <w:noWrap/>
            <w:vAlign w:val="center"/>
            <w:hideMark/>
          </w:tcPr>
          <w:p w14:paraId="6DBF02A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0,15</w:t>
            </w:r>
          </w:p>
        </w:tc>
        <w:tc>
          <w:tcPr>
            <w:tcW w:w="1080" w:type="dxa"/>
            <w:tcBorders>
              <w:top w:val="nil"/>
              <w:left w:val="nil"/>
              <w:bottom w:val="nil"/>
              <w:right w:val="nil"/>
            </w:tcBorders>
            <w:shd w:val="clear" w:color="auto" w:fill="auto"/>
            <w:noWrap/>
            <w:vAlign w:val="center"/>
            <w:hideMark/>
          </w:tcPr>
          <w:p w14:paraId="53D6C3F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-0,15</w:t>
            </w:r>
          </w:p>
        </w:tc>
        <w:tc>
          <w:tcPr>
            <w:tcW w:w="1080" w:type="dxa"/>
            <w:tcBorders>
              <w:top w:val="nil"/>
              <w:left w:val="nil"/>
              <w:bottom w:val="nil"/>
              <w:right w:val="nil"/>
            </w:tcBorders>
            <w:shd w:val="clear" w:color="auto" w:fill="auto"/>
            <w:noWrap/>
            <w:vAlign w:val="center"/>
            <w:hideMark/>
          </w:tcPr>
          <w:p w14:paraId="7128FD8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C93D8B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7C4292F4"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11B9F7F3"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lastRenderedPageBreak/>
              <w:t>17</w:t>
            </w:r>
          </w:p>
        </w:tc>
        <w:tc>
          <w:tcPr>
            <w:tcW w:w="5040" w:type="dxa"/>
            <w:tcBorders>
              <w:top w:val="nil"/>
              <w:left w:val="nil"/>
              <w:bottom w:val="nil"/>
              <w:right w:val="nil"/>
            </w:tcBorders>
            <w:shd w:val="clear" w:color="auto" w:fill="auto"/>
            <w:vAlign w:val="center"/>
            <w:hideMark/>
          </w:tcPr>
          <w:p w14:paraId="2669E14C"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Apcietināto un notiesāto personu konvojēšanas funkcijas pārņemšana no Valsts policijas uz TM</w:t>
            </w:r>
          </w:p>
        </w:tc>
        <w:tc>
          <w:tcPr>
            <w:tcW w:w="1080" w:type="dxa"/>
            <w:tcBorders>
              <w:top w:val="nil"/>
              <w:left w:val="nil"/>
              <w:bottom w:val="nil"/>
              <w:right w:val="nil"/>
            </w:tcBorders>
            <w:shd w:val="clear" w:color="auto" w:fill="auto"/>
            <w:noWrap/>
            <w:vAlign w:val="center"/>
            <w:hideMark/>
          </w:tcPr>
          <w:p w14:paraId="46F4E70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C5060F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72A3F67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w:t>
            </w:r>
          </w:p>
        </w:tc>
        <w:tc>
          <w:tcPr>
            <w:tcW w:w="1080" w:type="dxa"/>
            <w:tcBorders>
              <w:top w:val="nil"/>
              <w:left w:val="nil"/>
              <w:bottom w:val="nil"/>
              <w:right w:val="nil"/>
            </w:tcBorders>
            <w:shd w:val="clear" w:color="auto" w:fill="auto"/>
            <w:noWrap/>
            <w:vAlign w:val="center"/>
            <w:hideMark/>
          </w:tcPr>
          <w:p w14:paraId="1733D35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A3F271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3CB749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F43EF5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486AC4AB" w14:textId="77777777" w:rsidTr="00035FC2">
        <w:trPr>
          <w:trHeight w:val="315"/>
          <w:jc w:val="center"/>
        </w:trPr>
        <w:tc>
          <w:tcPr>
            <w:tcW w:w="480" w:type="dxa"/>
            <w:tcBorders>
              <w:top w:val="nil"/>
              <w:left w:val="nil"/>
              <w:bottom w:val="nil"/>
              <w:right w:val="nil"/>
            </w:tcBorders>
            <w:shd w:val="clear" w:color="000000" w:fill="95B3D7"/>
            <w:noWrap/>
            <w:vAlign w:val="center"/>
            <w:hideMark/>
          </w:tcPr>
          <w:p w14:paraId="210CA87B"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18</w:t>
            </w:r>
          </w:p>
        </w:tc>
        <w:tc>
          <w:tcPr>
            <w:tcW w:w="5040" w:type="dxa"/>
            <w:tcBorders>
              <w:top w:val="nil"/>
              <w:left w:val="nil"/>
              <w:bottom w:val="nil"/>
              <w:right w:val="nil"/>
            </w:tcBorders>
            <w:shd w:val="clear" w:color="000000" w:fill="A6C9EC"/>
            <w:vAlign w:val="center"/>
            <w:hideMark/>
          </w:tcPr>
          <w:p w14:paraId="7DA84AAD" w14:textId="27B8F451"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Fiskāli neitrāl</w:t>
            </w:r>
            <w:r w:rsidR="0071249F">
              <w:rPr>
                <w:rFonts w:eastAsia="Times New Roman" w:cs="Times New Roman"/>
                <w:b/>
                <w:bCs/>
                <w:color w:val="000000"/>
                <w:sz w:val="18"/>
                <w:szCs w:val="18"/>
                <w:lang w:eastAsia="lv-LV"/>
              </w:rPr>
              <w:t>ie</w:t>
            </w:r>
            <w:r w:rsidRPr="00035FC2">
              <w:rPr>
                <w:rFonts w:eastAsia="Times New Roman" w:cs="Times New Roman"/>
                <w:b/>
                <w:bCs/>
                <w:color w:val="000000"/>
                <w:sz w:val="18"/>
                <w:szCs w:val="18"/>
                <w:lang w:eastAsia="lv-LV"/>
              </w:rPr>
              <w:t xml:space="preserve"> </w:t>
            </w:r>
            <w:r w:rsidR="0071249F">
              <w:rPr>
                <w:rFonts w:eastAsia="Times New Roman" w:cs="Times New Roman"/>
                <w:b/>
                <w:bCs/>
                <w:color w:val="000000"/>
                <w:sz w:val="18"/>
                <w:szCs w:val="18"/>
                <w:lang w:eastAsia="lv-LV"/>
              </w:rPr>
              <w:t>pasākumi</w:t>
            </w:r>
            <w:r w:rsidRPr="00035FC2">
              <w:rPr>
                <w:rFonts w:eastAsia="Times New Roman" w:cs="Times New Roman"/>
                <w:b/>
                <w:bCs/>
                <w:color w:val="000000"/>
                <w:sz w:val="18"/>
                <w:szCs w:val="18"/>
                <w:lang w:eastAsia="lv-LV"/>
              </w:rPr>
              <w:t>, kopā</w:t>
            </w:r>
          </w:p>
        </w:tc>
        <w:tc>
          <w:tcPr>
            <w:tcW w:w="1080" w:type="dxa"/>
            <w:tcBorders>
              <w:top w:val="nil"/>
              <w:left w:val="nil"/>
              <w:bottom w:val="nil"/>
              <w:right w:val="nil"/>
            </w:tcBorders>
            <w:shd w:val="clear" w:color="000000" w:fill="A6C9EC"/>
            <w:noWrap/>
            <w:vAlign w:val="center"/>
            <w:hideMark/>
          </w:tcPr>
          <w:p w14:paraId="3C45C071"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5AF4709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6E910E66"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A6C9EC"/>
            <w:noWrap/>
            <w:vAlign w:val="center"/>
            <w:hideMark/>
          </w:tcPr>
          <w:p w14:paraId="4DE25750"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0,10</w:t>
            </w:r>
          </w:p>
        </w:tc>
        <w:tc>
          <w:tcPr>
            <w:tcW w:w="1080" w:type="dxa"/>
            <w:tcBorders>
              <w:top w:val="nil"/>
              <w:left w:val="nil"/>
              <w:bottom w:val="nil"/>
              <w:right w:val="nil"/>
            </w:tcBorders>
            <w:shd w:val="clear" w:color="000000" w:fill="A6C9EC"/>
            <w:noWrap/>
            <w:vAlign w:val="center"/>
            <w:hideMark/>
          </w:tcPr>
          <w:p w14:paraId="7F3C866E"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-0,05</w:t>
            </w:r>
          </w:p>
        </w:tc>
        <w:tc>
          <w:tcPr>
            <w:tcW w:w="1080" w:type="dxa"/>
            <w:tcBorders>
              <w:top w:val="nil"/>
              <w:left w:val="nil"/>
              <w:bottom w:val="nil"/>
              <w:right w:val="nil"/>
            </w:tcBorders>
            <w:shd w:val="clear" w:color="000000" w:fill="A6C9EC"/>
            <w:noWrap/>
            <w:vAlign w:val="center"/>
            <w:hideMark/>
          </w:tcPr>
          <w:p w14:paraId="4FFE1927"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c>
          <w:tcPr>
            <w:tcW w:w="1080" w:type="dxa"/>
            <w:tcBorders>
              <w:top w:val="nil"/>
              <w:left w:val="nil"/>
              <w:bottom w:val="nil"/>
              <w:right w:val="nil"/>
            </w:tcBorders>
            <w:shd w:val="clear" w:color="000000" w:fill="A6C9EC"/>
            <w:noWrap/>
            <w:vAlign w:val="center"/>
            <w:hideMark/>
          </w:tcPr>
          <w:p w14:paraId="6217DC49"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r>
      <w:tr w:rsidR="00035FC2" w:rsidRPr="00035FC2" w14:paraId="2570D2BF"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4307C065"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19</w:t>
            </w:r>
          </w:p>
        </w:tc>
        <w:tc>
          <w:tcPr>
            <w:tcW w:w="5040" w:type="dxa"/>
            <w:tcBorders>
              <w:top w:val="nil"/>
              <w:left w:val="nil"/>
              <w:bottom w:val="nil"/>
              <w:right w:val="nil"/>
            </w:tcBorders>
            <w:shd w:val="clear" w:color="auto" w:fill="auto"/>
            <w:vAlign w:val="center"/>
            <w:hideMark/>
          </w:tcPr>
          <w:p w14:paraId="1B6CA83A"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SM izdevumi, finansēti no autoceļu lietošanas nodevas</w:t>
            </w:r>
          </w:p>
        </w:tc>
        <w:tc>
          <w:tcPr>
            <w:tcW w:w="1080" w:type="dxa"/>
            <w:tcBorders>
              <w:top w:val="nil"/>
              <w:left w:val="nil"/>
              <w:bottom w:val="nil"/>
              <w:right w:val="nil"/>
            </w:tcBorders>
            <w:shd w:val="clear" w:color="auto" w:fill="auto"/>
            <w:noWrap/>
            <w:vAlign w:val="center"/>
            <w:hideMark/>
          </w:tcPr>
          <w:p w14:paraId="327E822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A52E34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18E6434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P.51g</w:t>
            </w:r>
          </w:p>
        </w:tc>
        <w:tc>
          <w:tcPr>
            <w:tcW w:w="1080" w:type="dxa"/>
            <w:tcBorders>
              <w:top w:val="nil"/>
              <w:left w:val="nil"/>
              <w:bottom w:val="nil"/>
              <w:right w:val="nil"/>
            </w:tcBorders>
            <w:shd w:val="clear" w:color="auto" w:fill="auto"/>
            <w:noWrap/>
            <w:vAlign w:val="center"/>
            <w:hideMark/>
          </w:tcPr>
          <w:p w14:paraId="54B0F4B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23A98B4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A5087A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E718E6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1ADE6F10"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7451AE3E"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20</w:t>
            </w:r>
          </w:p>
        </w:tc>
        <w:tc>
          <w:tcPr>
            <w:tcW w:w="5040" w:type="dxa"/>
            <w:tcBorders>
              <w:top w:val="nil"/>
              <w:left w:val="nil"/>
              <w:bottom w:val="nil"/>
              <w:right w:val="nil"/>
            </w:tcBorders>
            <w:shd w:val="clear" w:color="auto" w:fill="auto"/>
            <w:vAlign w:val="center"/>
            <w:hideMark/>
          </w:tcPr>
          <w:p w14:paraId="7C967DF3"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Ekonomikas un Zemkopības ministrijas pasākumu (finansēti no AS "Latvenergo" dividendēm)</w:t>
            </w:r>
          </w:p>
        </w:tc>
        <w:tc>
          <w:tcPr>
            <w:tcW w:w="1080" w:type="dxa"/>
            <w:tcBorders>
              <w:top w:val="nil"/>
              <w:left w:val="nil"/>
              <w:bottom w:val="nil"/>
              <w:right w:val="nil"/>
            </w:tcBorders>
            <w:shd w:val="clear" w:color="auto" w:fill="auto"/>
            <w:noWrap/>
            <w:vAlign w:val="center"/>
            <w:hideMark/>
          </w:tcPr>
          <w:p w14:paraId="346AD62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1A762C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0D852B6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D.62</w:t>
            </w:r>
          </w:p>
        </w:tc>
        <w:tc>
          <w:tcPr>
            <w:tcW w:w="1080" w:type="dxa"/>
            <w:tcBorders>
              <w:top w:val="nil"/>
              <w:left w:val="nil"/>
              <w:bottom w:val="nil"/>
              <w:right w:val="nil"/>
            </w:tcBorders>
            <w:shd w:val="clear" w:color="auto" w:fill="auto"/>
            <w:noWrap/>
            <w:vAlign w:val="center"/>
            <w:hideMark/>
          </w:tcPr>
          <w:p w14:paraId="48DE263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0D6C181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06E58DF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F84F60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0444848D"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62578576"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21</w:t>
            </w:r>
          </w:p>
        </w:tc>
        <w:tc>
          <w:tcPr>
            <w:tcW w:w="5040" w:type="dxa"/>
            <w:tcBorders>
              <w:top w:val="nil"/>
              <w:left w:val="nil"/>
              <w:bottom w:val="nil"/>
              <w:right w:val="nil"/>
            </w:tcBorders>
            <w:shd w:val="clear" w:color="auto" w:fill="auto"/>
            <w:vAlign w:val="center"/>
            <w:hideMark/>
          </w:tcPr>
          <w:p w14:paraId="52A7F91A"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Pabalstu pārskatīšana</w:t>
            </w:r>
          </w:p>
        </w:tc>
        <w:tc>
          <w:tcPr>
            <w:tcW w:w="1080" w:type="dxa"/>
            <w:tcBorders>
              <w:top w:val="nil"/>
              <w:left w:val="nil"/>
              <w:bottom w:val="nil"/>
              <w:right w:val="nil"/>
            </w:tcBorders>
            <w:shd w:val="clear" w:color="auto" w:fill="auto"/>
            <w:noWrap/>
            <w:vAlign w:val="center"/>
            <w:hideMark/>
          </w:tcPr>
          <w:p w14:paraId="110C303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BA36D2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67A0291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D.62</w:t>
            </w:r>
          </w:p>
        </w:tc>
        <w:tc>
          <w:tcPr>
            <w:tcW w:w="1080" w:type="dxa"/>
            <w:tcBorders>
              <w:top w:val="nil"/>
              <w:left w:val="nil"/>
              <w:bottom w:val="nil"/>
              <w:right w:val="nil"/>
            </w:tcBorders>
            <w:shd w:val="clear" w:color="auto" w:fill="auto"/>
            <w:noWrap/>
            <w:vAlign w:val="center"/>
            <w:hideMark/>
          </w:tcPr>
          <w:p w14:paraId="06555E1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1406EF5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6919DBA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200BEB0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r>
      <w:tr w:rsidR="00035FC2" w:rsidRPr="00035FC2" w14:paraId="498E9CBF"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539DC540"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22</w:t>
            </w:r>
          </w:p>
        </w:tc>
        <w:tc>
          <w:tcPr>
            <w:tcW w:w="5040" w:type="dxa"/>
            <w:tcBorders>
              <w:top w:val="nil"/>
              <w:left w:val="nil"/>
              <w:bottom w:val="nil"/>
              <w:right w:val="nil"/>
            </w:tcBorders>
            <w:shd w:val="clear" w:color="auto" w:fill="auto"/>
            <w:vAlign w:val="center"/>
            <w:hideMark/>
          </w:tcPr>
          <w:p w14:paraId="66A512A5"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74. resora korekcija</w:t>
            </w:r>
          </w:p>
        </w:tc>
        <w:tc>
          <w:tcPr>
            <w:tcW w:w="1080" w:type="dxa"/>
            <w:tcBorders>
              <w:top w:val="nil"/>
              <w:left w:val="nil"/>
              <w:bottom w:val="nil"/>
              <w:right w:val="nil"/>
            </w:tcBorders>
            <w:shd w:val="clear" w:color="auto" w:fill="auto"/>
            <w:noWrap/>
            <w:vAlign w:val="center"/>
            <w:hideMark/>
          </w:tcPr>
          <w:p w14:paraId="65C9417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4E095C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66DE7AD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 P.51g, D.7</w:t>
            </w:r>
          </w:p>
        </w:tc>
        <w:tc>
          <w:tcPr>
            <w:tcW w:w="1080" w:type="dxa"/>
            <w:tcBorders>
              <w:top w:val="nil"/>
              <w:left w:val="nil"/>
              <w:bottom w:val="nil"/>
              <w:right w:val="nil"/>
            </w:tcBorders>
            <w:shd w:val="clear" w:color="auto" w:fill="auto"/>
            <w:noWrap/>
            <w:vAlign w:val="center"/>
            <w:hideMark/>
          </w:tcPr>
          <w:p w14:paraId="001C311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4946A7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CC6388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3B7318E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-0,02</w:t>
            </w:r>
          </w:p>
        </w:tc>
      </w:tr>
      <w:tr w:rsidR="00035FC2" w:rsidRPr="00035FC2" w14:paraId="576A8E47"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7F2034E2"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23</w:t>
            </w:r>
          </w:p>
        </w:tc>
        <w:tc>
          <w:tcPr>
            <w:tcW w:w="5040" w:type="dxa"/>
            <w:tcBorders>
              <w:top w:val="nil"/>
              <w:left w:val="nil"/>
              <w:bottom w:val="nil"/>
              <w:right w:val="nil"/>
            </w:tcBorders>
            <w:shd w:val="clear" w:color="auto" w:fill="auto"/>
            <w:vAlign w:val="center"/>
            <w:hideMark/>
          </w:tcPr>
          <w:p w14:paraId="1199B8B7"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Pensiju indeksācija, sociālā rehabilitācija un citi</w:t>
            </w:r>
          </w:p>
        </w:tc>
        <w:tc>
          <w:tcPr>
            <w:tcW w:w="1080" w:type="dxa"/>
            <w:tcBorders>
              <w:top w:val="nil"/>
              <w:left w:val="nil"/>
              <w:bottom w:val="nil"/>
              <w:right w:val="nil"/>
            </w:tcBorders>
            <w:shd w:val="clear" w:color="auto" w:fill="auto"/>
            <w:noWrap/>
            <w:vAlign w:val="center"/>
            <w:hideMark/>
          </w:tcPr>
          <w:p w14:paraId="51500CA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07019FF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6463470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D.62</w:t>
            </w:r>
          </w:p>
        </w:tc>
        <w:tc>
          <w:tcPr>
            <w:tcW w:w="1080" w:type="dxa"/>
            <w:tcBorders>
              <w:top w:val="nil"/>
              <w:left w:val="nil"/>
              <w:bottom w:val="nil"/>
              <w:right w:val="nil"/>
            </w:tcBorders>
            <w:shd w:val="clear" w:color="auto" w:fill="auto"/>
            <w:noWrap/>
            <w:vAlign w:val="center"/>
            <w:hideMark/>
          </w:tcPr>
          <w:p w14:paraId="4FA9F35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45E9828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2A42910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56C179C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r>
      <w:tr w:rsidR="00035FC2" w:rsidRPr="00035FC2" w14:paraId="1AED1039"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2DE12DB5"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24</w:t>
            </w:r>
          </w:p>
        </w:tc>
        <w:tc>
          <w:tcPr>
            <w:tcW w:w="5040" w:type="dxa"/>
            <w:tcBorders>
              <w:top w:val="nil"/>
              <w:left w:val="nil"/>
              <w:bottom w:val="nil"/>
              <w:right w:val="nil"/>
            </w:tcBorders>
            <w:shd w:val="clear" w:color="auto" w:fill="auto"/>
            <w:vAlign w:val="center"/>
            <w:hideMark/>
          </w:tcPr>
          <w:p w14:paraId="32A35285"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Kopbudžeta izdevumu pārskatīšana</w:t>
            </w:r>
          </w:p>
        </w:tc>
        <w:tc>
          <w:tcPr>
            <w:tcW w:w="1080" w:type="dxa"/>
            <w:tcBorders>
              <w:top w:val="nil"/>
              <w:left w:val="nil"/>
              <w:bottom w:val="nil"/>
              <w:right w:val="nil"/>
            </w:tcBorders>
            <w:shd w:val="clear" w:color="auto" w:fill="auto"/>
            <w:noWrap/>
            <w:vAlign w:val="center"/>
            <w:hideMark/>
          </w:tcPr>
          <w:p w14:paraId="3EA1830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52C345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1BE0485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 D.7</w:t>
            </w:r>
          </w:p>
        </w:tc>
        <w:tc>
          <w:tcPr>
            <w:tcW w:w="1080" w:type="dxa"/>
            <w:tcBorders>
              <w:top w:val="nil"/>
              <w:left w:val="nil"/>
              <w:bottom w:val="nil"/>
              <w:right w:val="nil"/>
            </w:tcBorders>
            <w:shd w:val="clear" w:color="auto" w:fill="auto"/>
            <w:noWrap/>
            <w:vAlign w:val="center"/>
            <w:hideMark/>
          </w:tcPr>
          <w:p w14:paraId="06450D6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2220C8D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EC4D8E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0C32EF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793BEC06"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13941C6C"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25</w:t>
            </w:r>
          </w:p>
        </w:tc>
        <w:tc>
          <w:tcPr>
            <w:tcW w:w="5040" w:type="dxa"/>
            <w:tcBorders>
              <w:top w:val="nil"/>
              <w:left w:val="nil"/>
              <w:bottom w:val="nil"/>
              <w:right w:val="nil"/>
            </w:tcBorders>
            <w:shd w:val="clear" w:color="auto" w:fill="auto"/>
            <w:vAlign w:val="center"/>
            <w:hideMark/>
          </w:tcPr>
          <w:p w14:paraId="34131A2D"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74. resora 20. programma "Veselības aprūpes pasākumu īstenošana"</w:t>
            </w:r>
          </w:p>
        </w:tc>
        <w:tc>
          <w:tcPr>
            <w:tcW w:w="1080" w:type="dxa"/>
            <w:tcBorders>
              <w:top w:val="nil"/>
              <w:left w:val="nil"/>
              <w:bottom w:val="nil"/>
              <w:right w:val="nil"/>
            </w:tcBorders>
            <w:shd w:val="clear" w:color="auto" w:fill="auto"/>
            <w:noWrap/>
            <w:vAlign w:val="center"/>
            <w:hideMark/>
          </w:tcPr>
          <w:p w14:paraId="5BDFFA0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A86C10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5EA8A42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w:t>
            </w:r>
          </w:p>
        </w:tc>
        <w:tc>
          <w:tcPr>
            <w:tcW w:w="1080" w:type="dxa"/>
            <w:tcBorders>
              <w:top w:val="nil"/>
              <w:left w:val="nil"/>
              <w:bottom w:val="nil"/>
              <w:right w:val="nil"/>
            </w:tcBorders>
            <w:shd w:val="clear" w:color="auto" w:fill="auto"/>
            <w:noWrap/>
            <w:vAlign w:val="center"/>
            <w:hideMark/>
          </w:tcPr>
          <w:p w14:paraId="06AF42B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CA0383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9982FA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E68E59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2750EAD8"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0ADAA828"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26</w:t>
            </w:r>
          </w:p>
        </w:tc>
        <w:tc>
          <w:tcPr>
            <w:tcW w:w="5040" w:type="dxa"/>
            <w:tcBorders>
              <w:top w:val="nil"/>
              <w:left w:val="nil"/>
              <w:bottom w:val="nil"/>
              <w:right w:val="nil"/>
            </w:tcBorders>
            <w:shd w:val="clear" w:color="auto" w:fill="auto"/>
            <w:vAlign w:val="center"/>
            <w:hideMark/>
          </w:tcPr>
          <w:p w14:paraId="0171B152"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Kompensējamie medikamenti un laboratoriskā pieredze onkoloģijas jomā</w:t>
            </w:r>
          </w:p>
        </w:tc>
        <w:tc>
          <w:tcPr>
            <w:tcW w:w="1080" w:type="dxa"/>
            <w:tcBorders>
              <w:top w:val="nil"/>
              <w:left w:val="nil"/>
              <w:bottom w:val="nil"/>
              <w:right w:val="nil"/>
            </w:tcBorders>
            <w:shd w:val="clear" w:color="auto" w:fill="auto"/>
            <w:noWrap/>
            <w:vAlign w:val="center"/>
            <w:hideMark/>
          </w:tcPr>
          <w:p w14:paraId="01AC3F6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809172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1FC9219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D.7</w:t>
            </w:r>
          </w:p>
        </w:tc>
        <w:tc>
          <w:tcPr>
            <w:tcW w:w="1080" w:type="dxa"/>
            <w:tcBorders>
              <w:top w:val="nil"/>
              <w:left w:val="nil"/>
              <w:bottom w:val="nil"/>
              <w:right w:val="nil"/>
            </w:tcBorders>
            <w:shd w:val="clear" w:color="auto" w:fill="auto"/>
            <w:noWrap/>
            <w:vAlign w:val="center"/>
            <w:hideMark/>
          </w:tcPr>
          <w:p w14:paraId="021B86B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750BC59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5FA7102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723E69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15066B6B"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664E33B6"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27</w:t>
            </w:r>
          </w:p>
        </w:tc>
        <w:tc>
          <w:tcPr>
            <w:tcW w:w="5040" w:type="dxa"/>
            <w:tcBorders>
              <w:top w:val="nil"/>
              <w:left w:val="nil"/>
              <w:bottom w:val="nil"/>
              <w:right w:val="nil"/>
            </w:tcBorders>
            <w:shd w:val="clear" w:color="auto" w:fill="auto"/>
            <w:vAlign w:val="center"/>
            <w:hideMark/>
          </w:tcPr>
          <w:p w14:paraId="6122C5C0"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Atbalsts kultūras </w:t>
            </w:r>
            <w:proofErr w:type="spellStart"/>
            <w:r w:rsidRPr="00035FC2">
              <w:rPr>
                <w:rFonts w:eastAsia="Times New Roman" w:cs="Times New Roman"/>
                <w:color w:val="000000"/>
                <w:sz w:val="18"/>
                <w:szCs w:val="18"/>
                <w:lang w:eastAsia="lv-LV"/>
              </w:rPr>
              <w:t>piemeinekļu</w:t>
            </w:r>
            <w:proofErr w:type="spellEnd"/>
            <w:r w:rsidRPr="00035FC2">
              <w:rPr>
                <w:rFonts w:eastAsia="Times New Roman" w:cs="Times New Roman"/>
                <w:color w:val="000000"/>
                <w:sz w:val="18"/>
                <w:szCs w:val="18"/>
                <w:lang w:eastAsia="lv-LV"/>
              </w:rPr>
              <w:t xml:space="preserve"> atjaunošanas darbiem (AS “Latvijas Loto” dividendes)</w:t>
            </w:r>
          </w:p>
        </w:tc>
        <w:tc>
          <w:tcPr>
            <w:tcW w:w="1080" w:type="dxa"/>
            <w:tcBorders>
              <w:top w:val="nil"/>
              <w:left w:val="nil"/>
              <w:bottom w:val="nil"/>
              <w:right w:val="nil"/>
            </w:tcBorders>
            <w:shd w:val="clear" w:color="auto" w:fill="auto"/>
            <w:noWrap/>
            <w:vAlign w:val="center"/>
            <w:hideMark/>
          </w:tcPr>
          <w:p w14:paraId="0E09418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423854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31BDA9B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P.51g</w:t>
            </w:r>
          </w:p>
        </w:tc>
        <w:tc>
          <w:tcPr>
            <w:tcW w:w="1080" w:type="dxa"/>
            <w:tcBorders>
              <w:top w:val="nil"/>
              <w:left w:val="nil"/>
              <w:bottom w:val="nil"/>
              <w:right w:val="nil"/>
            </w:tcBorders>
            <w:shd w:val="clear" w:color="auto" w:fill="auto"/>
            <w:noWrap/>
            <w:vAlign w:val="center"/>
            <w:hideMark/>
          </w:tcPr>
          <w:p w14:paraId="5424F46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28BFDC5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375E5A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CF819E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50DD74AC"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325399B3"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28</w:t>
            </w:r>
          </w:p>
        </w:tc>
        <w:tc>
          <w:tcPr>
            <w:tcW w:w="5040" w:type="dxa"/>
            <w:tcBorders>
              <w:top w:val="nil"/>
              <w:left w:val="nil"/>
              <w:bottom w:val="nil"/>
              <w:right w:val="nil"/>
            </w:tcBorders>
            <w:shd w:val="clear" w:color="auto" w:fill="auto"/>
            <w:vAlign w:val="center"/>
            <w:hideMark/>
          </w:tcPr>
          <w:p w14:paraId="4C3C39D9"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74. resora korekcija</w:t>
            </w:r>
          </w:p>
        </w:tc>
        <w:tc>
          <w:tcPr>
            <w:tcW w:w="1080" w:type="dxa"/>
            <w:tcBorders>
              <w:top w:val="nil"/>
              <w:left w:val="nil"/>
              <w:bottom w:val="nil"/>
              <w:right w:val="nil"/>
            </w:tcBorders>
            <w:shd w:val="clear" w:color="auto" w:fill="auto"/>
            <w:noWrap/>
            <w:vAlign w:val="center"/>
            <w:hideMark/>
          </w:tcPr>
          <w:p w14:paraId="3D84212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0F8E7E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37E46F3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 P.51g, D.7</w:t>
            </w:r>
          </w:p>
        </w:tc>
        <w:tc>
          <w:tcPr>
            <w:tcW w:w="1080" w:type="dxa"/>
            <w:tcBorders>
              <w:top w:val="nil"/>
              <w:left w:val="nil"/>
              <w:bottom w:val="nil"/>
              <w:right w:val="nil"/>
            </w:tcBorders>
            <w:shd w:val="clear" w:color="auto" w:fill="auto"/>
            <w:noWrap/>
            <w:vAlign w:val="center"/>
            <w:hideMark/>
          </w:tcPr>
          <w:p w14:paraId="518C627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1AA008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1E3866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0A7CFD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0EEB9861"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5AD1D734"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29</w:t>
            </w:r>
          </w:p>
        </w:tc>
        <w:tc>
          <w:tcPr>
            <w:tcW w:w="5040" w:type="dxa"/>
            <w:tcBorders>
              <w:top w:val="nil"/>
              <w:left w:val="nil"/>
              <w:bottom w:val="nil"/>
              <w:right w:val="nil"/>
            </w:tcBorders>
            <w:shd w:val="clear" w:color="auto" w:fill="auto"/>
            <w:vAlign w:val="center"/>
            <w:hideMark/>
          </w:tcPr>
          <w:p w14:paraId="3F39D53C"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Profesionālās izglītības bāzes finansējuma pārskatīšana</w:t>
            </w:r>
          </w:p>
        </w:tc>
        <w:tc>
          <w:tcPr>
            <w:tcW w:w="1080" w:type="dxa"/>
            <w:tcBorders>
              <w:top w:val="nil"/>
              <w:left w:val="nil"/>
              <w:bottom w:val="nil"/>
              <w:right w:val="nil"/>
            </w:tcBorders>
            <w:shd w:val="clear" w:color="auto" w:fill="auto"/>
            <w:noWrap/>
            <w:vAlign w:val="center"/>
            <w:hideMark/>
          </w:tcPr>
          <w:p w14:paraId="28B6357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12EDC5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2DC6FC7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w:t>
            </w:r>
          </w:p>
        </w:tc>
        <w:tc>
          <w:tcPr>
            <w:tcW w:w="1080" w:type="dxa"/>
            <w:tcBorders>
              <w:top w:val="nil"/>
              <w:left w:val="nil"/>
              <w:bottom w:val="nil"/>
              <w:right w:val="nil"/>
            </w:tcBorders>
            <w:shd w:val="clear" w:color="auto" w:fill="auto"/>
            <w:noWrap/>
            <w:vAlign w:val="center"/>
            <w:hideMark/>
          </w:tcPr>
          <w:p w14:paraId="45CF865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4561AB2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4EEF87B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636C9E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46F28EAF" w14:textId="77777777" w:rsidTr="00035FC2">
        <w:trPr>
          <w:trHeight w:val="315"/>
          <w:jc w:val="center"/>
        </w:trPr>
        <w:tc>
          <w:tcPr>
            <w:tcW w:w="480" w:type="dxa"/>
            <w:tcBorders>
              <w:top w:val="nil"/>
              <w:left w:val="nil"/>
              <w:bottom w:val="nil"/>
              <w:right w:val="nil"/>
            </w:tcBorders>
            <w:shd w:val="clear" w:color="000000" w:fill="95B3D7"/>
            <w:noWrap/>
            <w:vAlign w:val="center"/>
            <w:hideMark/>
          </w:tcPr>
          <w:p w14:paraId="7F417A55"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30</w:t>
            </w:r>
          </w:p>
        </w:tc>
        <w:tc>
          <w:tcPr>
            <w:tcW w:w="5040" w:type="dxa"/>
            <w:tcBorders>
              <w:top w:val="nil"/>
              <w:left w:val="nil"/>
              <w:bottom w:val="nil"/>
              <w:right w:val="nil"/>
            </w:tcBorders>
            <w:shd w:val="clear" w:color="000000" w:fill="A6C9EC"/>
            <w:vAlign w:val="center"/>
            <w:hideMark/>
          </w:tcPr>
          <w:p w14:paraId="0DFEF875"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Finansējums neatkarīgajām iestādēm</w:t>
            </w:r>
          </w:p>
        </w:tc>
        <w:tc>
          <w:tcPr>
            <w:tcW w:w="1080" w:type="dxa"/>
            <w:tcBorders>
              <w:top w:val="nil"/>
              <w:left w:val="nil"/>
              <w:bottom w:val="nil"/>
              <w:right w:val="nil"/>
            </w:tcBorders>
            <w:shd w:val="clear" w:color="000000" w:fill="A6C9EC"/>
            <w:noWrap/>
            <w:vAlign w:val="center"/>
            <w:hideMark/>
          </w:tcPr>
          <w:p w14:paraId="098E5170"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33D6DA41"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547FBBAA"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D.1, P.2</w:t>
            </w:r>
          </w:p>
        </w:tc>
        <w:tc>
          <w:tcPr>
            <w:tcW w:w="1080" w:type="dxa"/>
            <w:tcBorders>
              <w:top w:val="nil"/>
              <w:left w:val="nil"/>
              <w:bottom w:val="nil"/>
              <w:right w:val="nil"/>
            </w:tcBorders>
            <w:shd w:val="clear" w:color="000000" w:fill="A6C9EC"/>
            <w:noWrap/>
            <w:vAlign w:val="center"/>
            <w:hideMark/>
          </w:tcPr>
          <w:p w14:paraId="434F509C"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0,01</w:t>
            </w:r>
          </w:p>
        </w:tc>
        <w:tc>
          <w:tcPr>
            <w:tcW w:w="1080" w:type="dxa"/>
            <w:tcBorders>
              <w:top w:val="nil"/>
              <w:left w:val="nil"/>
              <w:bottom w:val="nil"/>
              <w:right w:val="nil"/>
            </w:tcBorders>
            <w:shd w:val="clear" w:color="000000" w:fill="A6C9EC"/>
            <w:noWrap/>
            <w:vAlign w:val="center"/>
            <w:hideMark/>
          </w:tcPr>
          <w:p w14:paraId="54D44112"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c>
          <w:tcPr>
            <w:tcW w:w="1080" w:type="dxa"/>
            <w:tcBorders>
              <w:top w:val="nil"/>
              <w:left w:val="nil"/>
              <w:bottom w:val="nil"/>
              <w:right w:val="nil"/>
            </w:tcBorders>
            <w:shd w:val="clear" w:color="000000" w:fill="A6C9EC"/>
            <w:noWrap/>
            <w:vAlign w:val="center"/>
            <w:hideMark/>
          </w:tcPr>
          <w:p w14:paraId="6DD1258E"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-0,01</w:t>
            </w:r>
          </w:p>
        </w:tc>
        <w:tc>
          <w:tcPr>
            <w:tcW w:w="1080" w:type="dxa"/>
            <w:tcBorders>
              <w:top w:val="nil"/>
              <w:left w:val="nil"/>
              <w:bottom w:val="nil"/>
              <w:right w:val="nil"/>
            </w:tcBorders>
            <w:shd w:val="clear" w:color="000000" w:fill="A6C9EC"/>
            <w:noWrap/>
            <w:vAlign w:val="center"/>
            <w:hideMark/>
          </w:tcPr>
          <w:p w14:paraId="0B9AA682"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r>
      <w:tr w:rsidR="00035FC2" w:rsidRPr="00035FC2" w14:paraId="6F6540A2" w14:textId="77777777" w:rsidTr="00035FC2">
        <w:trPr>
          <w:trHeight w:val="480"/>
          <w:jc w:val="center"/>
        </w:trPr>
        <w:tc>
          <w:tcPr>
            <w:tcW w:w="480" w:type="dxa"/>
            <w:tcBorders>
              <w:top w:val="nil"/>
              <w:left w:val="nil"/>
              <w:bottom w:val="nil"/>
              <w:right w:val="nil"/>
            </w:tcBorders>
            <w:shd w:val="clear" w:color="000000" w:fill="95B3D7"/>
            <w:noWrap/>
            <w:vAlign w:val="center"/>
            <w:hideMark/>
          </w:tcPr>
          <w:p w14:paraId="6258B806"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31</w:t>
            </w:r>
          </w:p>
        </w:tc>
        <w:tc>
          <w:tcPr>
            <w:tcW w:w="5040" w:type="dxa"/>
            <w:tcBorders>
              <w:top w:val="nil"/>
              <w:left w:val="nil"/>
              <w:bottom w:val="nil"/>
              <w:right w:val="nil"/>
            </w:tcBorders>
            <w:shd w:val="clear" w:color="000000" w:fill="A6C9EC"/>
            <w:vAlign w:val="center"/>
            <w:hideMark/>
          </w:tcPr>
          <w:p w14:paraId="00989FF7"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Satversmes tiesas sprieduma un likumu izpildes nodrošināšanai</w:t>
            </w:r>
          </w:p>
        </w:tc>
        <w:tc>
          <w:tcPr>
            <w:tcW w:w="1080" w:type="dxa"/>
            <w:tcBorders>
              <w:top w:val="nil"/>
              <w:left w:val="nil"/>
              <w:bottom w:val="nil"/>
              <w:right w:val="nil"/>
            </w:tcBorders>
            <w:shd w:val="clear" w:color="000000" w:fill="A6C9EC"/>
            <w:noWrap/>
            <w:vAlign w:val="center"/>
            <w:hideMark/>
          </w:tcPr>
          <w:p w14:paraId="7A3D7BC7"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23C27237"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75A45CC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D.1, D.61, P.2</w:t>
            </w:r>
          </w:p>
        </w:tc>
        <w:tc>
          <w:tcPr>
            <w:tcW w:w="1080" w:type="dxa"/>
            <w:tcBorders>
              <w:top w:val="nil"/>
              <w:left w:val="nil"/>
              <w:bottom w:val="nil"/>
              <w:right w:val="nil"/>
            </w:tcBorders>
            <w:shd w:val="clear" w:color="000000" w:fill="A6C9EC"/>
            <w:noWrap/>
            <w:vAlign w:val="center"/>
            <w:hideMark/>
          </w:tcPr>
          <w:p w14:paraId="3D8926D9"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0,08</w:t>
            </w:r>
          </w:p>
        </w:tc>
        <w:tc>
          <w:tcPr>
            <w:tcW w:w="1080" w:type="dxa"/>
            <w:tcBorders>
              <w:top w:val="nil"/>
              <w:left w:val="nil"/>
              <w:bottom w:val="nil"/>
              <w:right w:val="nil"/>
            </w:tcBorders>
            <w:shd w:val="clear" w:color="000000" w:fill="A6C9EC"/>
            <w:noWrap/>
            <w:vAlign w:val="center"/>
            <w:hideMark/>
          </w:tcPr>
          <w:p w14:paraId="51A42EC5"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c>
          <w:tcPr>
            <w:tcW w:w="1080" w:type="dxa"/>
            <w:tcBorders>
              <w:top w:val="nil"/>
              <w:left w:val="nil"/>
              <w:bottom w:val="nil"/>
              <w:right w:val="nil"/>
            </w:tcBorders>
            <w:shd w:val="clear" w:color="000000" w:fill="A6C9EC"/>
            <w:noWrap/>
            <w:vAlign w:val="center"/>
            <w:hideMark/>
          </w:tcPr>
          <w:p w14:paraId="22A3108A"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c>
          <w:tcPr>
            <w:tcW w:w="1080" w:type="dxa"/>
            <w:tcBorders>
              <w:top w:val="nil"/>
              <w:left w:val="nil"/>
              <w:bottom w:val="nil"/>
              <w:right w:val="nil"/>
            </w:tcBorders>
            <w:shd w:val="clear" w:color="000000" w:fill="A6C9EC"/>
            <w:noWrap/>
            <w:vAlign w:val="center"/>
            <w:hideMark/>
          </w:tcPr>
          <w:p w14:paraId="64BE30DB"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r>
      <w:tr w:rsidR="00035FC2" w:rsidRPr="00035FC2" w14:paraId="5DE38BD5" w14:textId="77777777" w:rsidTr="00035FC2">
        <w:trPr>
          <w:trHeight w:val="315"/>
          <w:jc w:val="center"/>
        </w:trPr>
        <w:tc>
          <w:tcPr>
            <w:tcW w:w="480" w:type="dxa"/>
            <w:tcBorders>
              <w:top w:val="nil"/>
              <w:left w:val="nil"/>
              <w:bottom w:val="nil"/>
              <w:right w:val="nil"/>
            </w:tcBorders>
            <w:shd w:val="clear" w:color="000000" w:fill="95B3D7"/>
            <w:noWrap/>
            <w:vAlign w:val="center"/>
            <w:hideMark/>
          </w:tcPr>
          <w:p w14:paraId="1A6D8974"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32</w:t>
            </w:r>
          </w:p>
        </w:tc>
        <w:tc>
          <w:tcPr>
            <w:tcW w:w="5040" w:type="dxa"/>
            <w:tcBorders>
              <w:top w:val="nil"/>
              <w:left w:val="nil"/>
              <w:bottom w:val="nil"/>
              <w:right w:val="nil"/>
            </w:tcBorders>
            <w:shd w:val="clear" w:color="000000" w:fill="A6C9EC"/>
            <w:vAlign w:val="center"/>
            <w:hideMark/>
          </w:tcPr>
          <w:p w14:paraId="773EF1B1"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Kompensējošie izdevumu pasākumi, kopā</w:t>
            </w:r>
          </w:p>
        </w:tc>
        <w:tc>
          <w:tcPr>
            <w:tcW w:w="1080" w:type="dxa"/>
            <w:tcBorders>
              <w:top w:val="nil"/>
              <w:left w:val="nil"/>
              <w:bottom w:val="nil"/>
              <w:right w:val="nil"/>
            </w:tcBorders>
            <w:shd w:val="clear" w:color="000000" w:fill="A6C9EC"/>
            <w:noWrap/>
            <w:vAlign w:val="center"/>
            <w:hideMark/>
          </w:tcPr>
          <w:p w14:paraId="44CB093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3C2E3F67"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55432EE1"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A6C9EC"/>
            <w:noWrap/>
            <w:vAlign w:val="center"/>
            <w:hideMark/>
          </w:tcPr>
          <w:p w14:paraId="0D6A4D20"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-0,33</w:t>
            </w:r>
          </w:p>
        </w:tc>
        <w:tc>
          <w:tcPr>
            <w:tcW w:w="1080" w:type="dxa"/>
            <w:tcBorders>
              <w:top w:val="nil"/>
              <w:left w:val="nil"/>
              <w:bottom w:val="nil"/>
              <w:right w:val="nil"/>
            </w:tcBorders>
            <w:shd w:val="clear" w:color="000000" w:fill="A6C9EC"/>
            <w:noWrap/>
            <w:vAlign w:val="center"/>
            <w:hideMark/>
          </w:tcPr>
          <w:p w14:paraId="421D80DE"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0,02</w:t>
            </w:r>
          </w:p>
        </w:tc>
        <w:tc>
          <w:tcPr>
            <w:tcW w:w="1080" w:type="dxa"/>
            <w:tcBorders>
              <w:top w:val="nil"/>
              <w:left w:val="nil"/>
              <w:bottom w:val="nil"/>
              <w:right w:val="nil"/>
            </w:tcBorders>
            <w:shd w:val="clear" w:color="000000" w:fill="A6C9EC"/>
            <w:noWrap/>
            <w:vAlign w:val="center"/>
            <w:hideMark/>
          </w:tcPr>
          <w:p w14:paraId="00E59FF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0,01</w:t>
            </w:r>
          </w:p>
        </w:tc>
        <w:tc>
          <w:tcPr>
            <w:tcW w:w="1080" w:type="dxa"/>
            <w:tcBorders>
              <w:top w:val="nil"/>
              <w:left w:val="nil"/>
              <w:bottom w:val="nil"/>
              <w:right w:val="nil"/>
            </w:tcBorders>
            <w:shd w:val="clear" w:color="000000" w:fill="A6C9EC"/>
            <w:noWrap/>
            <w:vAlign w:val="center"/>
            <w:hideMark/>
          </w:tcPr>
          <w:p w14:paraId="04377080"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-0,12</w:t>
            </w:r>
          </w:p>
        </w:tc>
      </w:tr>
      <w:tr w:rsidR="00035FC2" w:rsidRPr="00035FC2" w14:paraId="5F4208CD" w14:textId="77777777" w:rsidTr="0071249F">
        <w:trPr>
          <w:trHeight w:val="960"/>
          <w:jc w:val="center"/>
        </w:trPr>
        <w:tc>
          <w:tcPr>
            <w:tcW w:w="480" w:type="dxa"/>
            <w:tcBorders>
              <w:top w:val="nil"/>
              <w:left w:val="nil"/>
              <w:bottom w:val="nil"/>
              <w:right w:val="nil"/>
            </w:tcBorders>
            <w:shd w:val="clear" w:color="000000" w:fill="95B3D7"/>
            <w:noWrap/>
            <w:vAlign w:val="center"/>
            <w:hideMark/>
          </w:tcPr>
          <w:p w14:paraId="7D784B97"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33</w:t>
            </w:r>
          </w:p>
        </w:tc>
        <w:tc>
          <w:tcPr>
            <w:tcW w:w="5040" w:type="dxa"/>
            <w:tcBorders>
              <w:top w:val="nil"/>
              <w:left w:val="nil"/>
              <w:bottom w:val="nil"/>
              <w:right w:val="nil"/>
            </w:tcBorders>
            <w:shd w:val="clear" w:color="auto" w:fill="auto"/>
            <w:vAlign w:val="center"/>
            <w:hideMark/>
          </w:tcPr>
          <w:p w14:paraId="0AF8DF50"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Mēnešalgas pieauguma ierobežošana vēlētām amatpersonām un Saeimas ieceltām amatpersonām (bāzes izdevumu samazināšana ministrijām, citām centrālām valsts iestādēm un neatkarīgajām institūcijām)</w:t>
            </w:r>
          </w:p>
        </w:tc>
        <w:tc>
          <w:tcPr>
            <w:tcW w:w="1080" w:type="dxa"/>
            <w:tcBorders>
              <w:top w:val="nil"/>
              <w:left w:val="nil"/>
              <w:bottom w:val="nil"/>
              <w:right w:val="nil"/>
            </w:tcBorders>
            <w:shd w:val="clear" w:color="auto" w:fill="auto"/>
            <w:noWrap/>
            <w:vAlign w:val="center"/>
            <w:hideMark/>
          </w:tcPr>
          <w:p w14:paraId="089BB27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81B489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29BD9BC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w:t>
            </w:r>
          </w:p>
        </w:tc>
        <w:tc>
          <w:tcPr>
            <w:tcW w:w="1080" w:type="dxa"/>
            <w:tcBorders>
              <w:top w:val="nil"/>
              <w:left w:val="nil"/>
              <w:bottom w:val="nil"/>
              <w:right w:val="nil"/>
            </w:tcBorders>
            <w:shd w:val="clear" w:color="auto" w:fill="auto"/>
            <w:noWrap/>
            <w:vAlign w:val="center"/>
            <w:hideMark/>
          </w:tcPr>
          <w:p w14:paraId="6A0D2A7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1622A13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498EDB1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8772E9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261BFCBF" w14:textId="77777777" w:rsidTr="0071249F">
        <w:trPr>
          <w:trHeight w:val="720"/>
          <w:jc w:val="center"/>
        </w:trPr>
        <w:tc>
          <w:tcPr>
            <w:tcW w:w="480" w:type="dxa"/>
            <w:tcBorders>
              <w:top w:val="nil"/>
              <w:left w:val="nil"/>
              <w:bottom w:val="nil"/>
              <w:right w:val="nil"/>
            </w:tcBorders>
            <w:shd w:val="clear" w:color="000000" w:fill="95B3D7"/>
            <w:noWrap/>
            <w:vAlign w:val="center"/>
            <w:hideMark/>
          </w:tcPr>
          <w:p w14:paraId="03588D0C"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34</w:t>
            </w:r>
          </w:p>
        </w:tc>
        <w:tc>
          <w:tcPr>
            <w:tcW w:w="5040" w:type="dxa"/>
            <w:tcBorders>
              <w:top w:val="nil"/>
              <w:left w:val="nil"/>
              <w:bottom w:val="nil"/>
              <w:right w:val="nil"/>
            </w:tcBorders>
            <w:shd w:val="clear" w:color="auto" w:fill="auto"/>
            <w:vAlign w:val="center"/>
            <w:hideMark/>
          </w:tcPr>
          <w:p w14:paraId="7727C066"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Horizontāla ministriju un citu centrālo iestāžu izdevumu samazināšana (aprēķinā izmantots preču un pakalpojumu % samazinājums (11% uz 50 milj. </w:t>
            </w:r>
            <w:proofErr w:type="spellStart"/>
            <w:r w:rsidRPr="00035FC2">
              <w:rPr>
                <w:rFonts w:eastAsia="Times New Roman" w:cs="Times New Roman"/>
                <w:color w:val="000000"/>
                <w:sz w:val="18"/>
                <w:szCs w:val="18"/>
                <w:lang w:eastAsia="lv-LV"/>
              </w:rPr>
              <w:t>euro</w:t>
            </w:r>
            <w:proofErr w:type="spellEnd"/>
            <w:r w:rsidRPr="00035FC2">
              <w:rPr>
                <w:rFonts w:eastAsia="Times New Roman" w:cs="Times New Roman"/>
                <w:color w:val="000000"/>
                <w:sz w:val="18"/>
                <w:szCs w:val="18"/>
                <w:lang w:eastAsia="lv-LV"/>
              </w:rPr>
              <w:t>))</w:t>
            </w:r>
          </w:p>
        </w:tc>
        <w:tc>
          <w:tcPr>
            <w:tcW w:w="1080" w:type="dxa"/>
            <w:tcBorders>
              <w:top w:val="nil"/>
              <w:left w:val="nil"/>
              <w:bottom w:val="nil"/>
              <w:right w:val="nil"/>
            </w:tcBorders>
            <w:shd w:val="clear" w:color="auto" w:fill="auto"/>
            <w:noWrap/>
            <w:vAlign w:val="center"/>
            <w:hideMark/>
          </w:tcPr>
          <w:p w14:paraId="4B0D0E5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EEC71E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5FDB8C2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w:t>
            </w:r>
          </w:p>
        </w:tc>
        <w:tc>
          <w:tcPr>
            <w:tcW w:w="1080" w:type="dxa"/>
            <w:tcBorders>
              <w:top w:val="nil"/>
              <w:left w:val="nil"/>
              <w:bottom w:val="nil"/>
              <w:right w:val="nil"/>
            </w:tcBorders>
            <w:shd w:val="clear" w:color="auto" w:fill="auto"/>
            <w:noWrap/>
            <w:vAlign w:val="center"/>
            <w:hideMark/>
          </w:tcPr>
          <w:p w14:paraId="049BB19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-0,11</w:t>
            </w:r>
          </w:p>
        </w:tc>
        <w:tc>
          <w:tcPr>
            <w:tcW w:w="1080" w:type="dxa"/>
            <w:tcBorders>
              <w:top w:val="nil"/>
              <w:left w:val="nil"/>
              <w:bottom w:val="nil"/>
              <w:right w:val="nil"/>
            </w:tcBorders>
            <w:shd w:val="clear" w:color="auto" w:fill="auto"/>
            <w:noWrap/>
            <w:vAlign w:val="center"/>
            <w:hideMark/>
          </w:tcPr>
          <w:p w14:paraId="63F7F0E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9E09C1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78D1DD1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43503D4F"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1ABBFE2F"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35</w:t>
            </w:r>
          </w:p>
        </w:tc>
        <w:tc>
          <w:tcPr>
            <w:tcW w:w="5040" w:type="dxa"/>
            <w:tcBorders>
              <w:top w:val="nil"/>
              <w:left w:val="nil"/>
              <w:bottom w:val="nil"/>
              <w:right w:val="nil"/>
            </w:tcBorders>
            <w:shd w:val="clear" w:color="auto" w:fill="auto"/>
            <w:vAlign w:val="center"/>
            <w:hideMark/>
          </w:tcPr>
          <w:p w14:paraId="39131FE6"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Pamatfunkciju izdevumu pārplānošana uz ES fondu līdzekļiem</w:t>
            </w:r>
          </w:p>
        </w:tc>
        <w:tc>
          <w:tcPr>
            <w:tcW w:w="1080" w:type="dxa"/>
            <w:tcBorders>
              <w:top w:val="nil"/>
              <w:left w:val="nil"/>
              <w:bottom w:val="nil"/>
              <w:right w:val="nil"/>
            </w:tcBorders>
            <w:shd w:val="clear" w:color="auto" w:fill="auto"/>
            <w:noWrap/>
            <w:vAlign w:val="center"/>
            <w:hideMark/>
          </w:tcPr>
          <w:p w14:paraId="2DBB97B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10B732A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5F1FD45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P.51g</w:t>
            </w:r>
          </w:p>
        </w:tc>
        <w:tc>
          <w:tcPr>
            <w:tcW w:w="1080" w:type="dxa"/>
            <w:tcBorders>
              <w:top w:val="nil"/>
              <w:left w:val="nil"/>
              <w:bottom w:val="nil"/>
              <w:right w:val="nil"/>
            </w:tcBorders>
            <w:shd w:val="clear" w:color="auto" w:fill="auto"/>
            <w:noWrap/>
            <w:vAlign w:val="center"/>
            <w:hideMark/>
          </w:tcPr>
          <w:p w14:paraId="6322D27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49F21C6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6838026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47C09CE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0,02</w:t>
            </w:r>
          </w:p>
        </w:tc>
      </w:tr>
      <w:tr w:rsidR="00035FC2" w:rsidRPr="00035FC2" w14:paraId="42E14089"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784CCF0C"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lastRenderedPageBreak/>
              <w:t>36</w:t>
            </w:r>
          </w:p>
        </w:tc>
        <w:tc>
          <w:tcPr>
            <w:tcW w:w="5040" w:type="dxa"/>
            <w:tcBorders>
              <w:top w:val="nil"/>
              <w:left w:val="nil"/>
              <w:bottom w:val="nil"/>
              <w:right w:val="nil"/>
            </w:tcBorders>
            <w:shd w:val="clear" w:color="auto" w:fill="auto"/>
            <w:vAlign w:val="center"/>
            <w:hideMark/>
          </w:tcPr>
          <w:p w14:paraId="35AFE6E9"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Pieklasificēto kapitālsabiedrību ietekmes pārvērtēšana </w:t>
            </w:r>
          </w:p>
        </w:tc>
        <w:tc>
          <w:tcPr>
            <w:tcW w:w="1080" w:type="dxa"/>
            <w:tcBorders>
              <w:top w:val="nil"/>
              <w:left w:val="nil"/>
              <w:bottom w:val="nil"/>
              <w:right w:val="nil"/>
            </w:tcBorders>
            <w:shd w:val="clear" w:color="auto" w:fill="auto"/>
            <w:noWrap/>
            <w:vAlign w:val="center"/>
            <w:hideMark/>
          </w:tcPr>
          <w:p w14:paraId="383A53A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30A92EA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656F7A7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 P.51g</w:t>
            </w:r>
          </w:p>
        </w:tc>
        <w:tc>
          <w:tcPr>
            <w:tcW w:w="1080" w:type="dxa"/>
            <w:tcBorders>
              <w:top w:val="nil"/>
              <w:left w:val="nil"/>
              <w:bottom w:val="nil"/>
              <w:right w:val="nil"/>
            </w:tcBorders>
            <w:shd w:val="clear" w:color="auto" w:fill="auto"/>
            <w:noWrap/>
            <w:vAlign w:val="center"/>
            <w:hideMark/>
          </w:tcPr>
          <w:p w14:paraId="00BABB4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16AEFFD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5299904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841E45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r>
      <w:tr w:rsidR="00035FC2" w:rsidRPr="00035FC2" w14:paraId="6DCCBA00"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56758F53"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37</w:t>
            </w:r>
          </w:p>
        </w:tc>
        <w:tc>
          <w:tcPr>
            <w:tcW w:w="5040" w:type="dxa"/>
            <w:tcBorders>
              <w:top w:val="nil"/>
              <w:left w:val="nil"/>
              <w:bottom w:val="nil"/>
              <w:right w:val="nil"/>
            </w:tcBorders>
            <w:shd w:val="clear" w:color="auto" w:fill="auto"/>
            <w:vAlign w:val="center"/>
            <w:hideMark/>
          </w:tcPr>
          <w:p w14:paraId="77084EE5"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xml:space="preserve">74.resora korekcija </w:t>
            </w:r>
          </w:p>
        </w:tc>
        <w:tc>
          <w:tcPr>
            <w:tcW w:w="1080" w:type="dxa"/>
            <w:tcBorders>
              <w:top w:val="nil"/>
              <w:left w:val="nil"/>
              <w:bottom w:val="nil"/>
              <w:right w:val="nil"/>
            </w:tcBorders>
            <w:shd w:val="clear" w:color="auto" w:fill="auto"/>
            <w:noWrap/>
            <w:vAlign w:val="center"/>
            <w:hideMark/>
          </w:tcPr>
          <w:p w14:paraId="14C7AF0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B92D23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5A989CE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 P.51g, D.7</w:t>
            </w:r>
          </w:p>
        </w:tc>
        <w:tc>
          <w:tcPr>
            <w:tcW w:w="1080" w:type="dxa"/>
            <w:tcBorders>
              <w:top w:val="nil"/>
              <w:left w:val="nil"/>
              <w:bottom w:val="nil"/>
              <w:right w:val="nil"/>
            </w:tcBorders>
            <w:shd w:val="clear" w:color="auto" w:fill="auto"/>
            <w:noWrap/>
            <w:vAlign w:val="center"/>
            <w:hideMark/>
          </w:tcPr>
          <w:p w14:paraId="2BC7C72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0,03</w:t>
            </w:r>
          </w:p>
        </w:tc>
        <w:tc>
          <w:tcPr>
            <w:tcW w:w="1080" w:type="dxa"/>
            <w:tcBorders>
              <w:top w:val="nil"/>
              <w:left w:val="nil"/>
              <w:bottom w:val="nil"/>
              <w:right w:val="nil"/>
            </w:tcBorders>
            <w:shd w:val="clear" w:color="auto" w:fill="auto"/>
            <w:noWrap/>
            <w:vAlign w:val="center"/>
            <w:hideMark/>
          </w:tcPr>
          <w:p w14:paraId="2A2FBAF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0425995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317843C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-0,13</w:t>
            </w:r>
          </w:p>
        </w:tc>
      </w:tr>
      <w:tr w:rsidR="00035FC2" w:rsidRPr="00035FC2" w14:paraId="6A447E6E"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62087F3E"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38</w:t>
            </w:r>
          </w:p>
        </w:tc>
        <w:tc>
          <w:tcPr>
            <w:tcW w:w="5040" w:type="dxa"/>
            <w:tcBorders>
              <w:top w:val="nil"/>
              <w:left w:val="nil"/>
              <w:bottom w:val="nil"/>
              <w:right w:val="nil"/>
            </w:tcBorders>
            <w:shd w:val="clear" w:color="auto" w:fill="auto"/>
            <w:vAlign w:val="center"/>
            <w:hideMark/>
          </w:tcPr>
          <w:p w14:paraId="7B06676E"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Speciālā budžeta izdevumu pārskatīšana</w:t>
            </w:r>
          </w:p>
        </w:tc>
        <w:tc>
          <w:tcPr>
            <w:tcW w:w="1080" w:type="dxa"/>
            <w:tcBorders>
              <w:top w:val="nil"/>
              <w:left w:val="nil"/>
              <w:bottom w:val="nil"/>
              <w:right w:val="nil"/>
            </w:tcBorders>
            <w:shd w:val="clear" w:color="auto" w:fill="auto"/>
            <w:noWrap/>
            <w:vAlign w:val="center"/>
            <w:hideMark/>
          </w:tcPr>
          <w:p w14:paraId="3FBAD51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D8E473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56501EF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D.62</w:t>
            </w:r>
          </w:p>
        </w:tc>
        <w:tc>
          <w:tcPr>
            <w:tcW w:w="1080" w:type="dxa"/>
            <w:tcBorders>
              <w:top w:val="nil"/>
              <w:left w:val="nil"/>
              <w:bottom w:val="nil"/>
              <w:right w:val="nil"/>
            </w:tcBorders>
            <w:shd w:val="clear" w:color="auto" w:fill="auto"/>
            <w:noWrap/>
            <w:vAlign w:val="center"/>
            <w:hideMark/>
          </w:tcPr>
          <w:p w14:paraId="5ABFE27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0E608E3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0,04</w:t>
            </w:r>
          </w:p>
        </w:tc>
        <w:tc>
          <w:tcPr>
            <w:tcW w:w="1080" w:type="dxa"/>
            <w:tcBorders>
              <w:top w:val="nil"/>
              <w:left w:val="nil"/>
              <w:bottom w:val="nil"/>
              <w:right w:val="nil"/>
            </w:tcBorders>
            <w:shd w:val="clear" w:color="auto" w:fill="auto"/>
            <w:noWrap/>
            <w:vAlign w:val="center"/>
            <w:hideMark/>
          </w:tcPr>
          <w:p w14:paraId="293C54F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A93FC5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3F8D6E90"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60B32038"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39</w:t>
            </w:r>
          </w:p>
        </w:tc>
        <w:tc>
          <w:tcPr>
            <w:tcW w:w="5040" w:type="dxa"/>
            <w:tcBorders>
              <w:top w:val="nil"/>
              <w:left w:val="nil"/>
              <w:bottom w:val="nil"/>
              <w:right w:val="nil"/>
            </w:tcBorders>
            <w:shd w:val="clear" w:color="auto" w:fill="auto"/>
            <w:vAlign w:val="center"/>
            <w:hideMark/>
          </w:tcPr>
          <w:p w14:paraId="52E7F183"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Kopbudžeta izdevumu pārskatīšana</w:t>
            </w:r>
          </w:p>
        </w:tc>
        <w:tc>
          <w:tcPr>
            <w:tcW w:w="1080" w:type="dxa"/>
            <w:tcBorders>
              <w:top w:val="nil"/>
              <w:left w:val="nil"/>
              <w:bottom w:val="nil"/>
              <w:right w:val="nil"/>
            </w:tcBorders>
            <w:shd w:val="clear" w:color="auto" w:fill="auto"/>
            <w:noWrap/>
            <w:vAlign w:val="center"/>
            <w:hideMark/>
          </w:tcPr>
          <w:p w14:paraId="2729216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FF26A9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41EF1ED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 P.2, P.51g</w:t>
            </w:r>
          </w:p>
        </w:tc>
        <w:tc>
          <w:tcPr>
            <w:tcW w:w="1080" w:type="dxa"/>
            <w:tcBorders>
              <w:top w:val="nil"/>
              <w:left w:val="nil"/>
              <w:bottom w:val="nil"/>
              <w:right w:val="nil"/>
            </w:tcBorders>
            <w:shd w:val="clear" w:color="auto" w:fill="auto"/>
            <w:noWrap/>
            <w:vAlign w:val="center"/>
            <w:hideMark/>
          </w:tcPr>
          <w:p w14:paraId="0D7EA96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-0,08</w:t>
            </w:r>
          </w:p>
        </w:tc>
        <w:tc>
          <w:tcPr>
            <w:tcW w:w="1080" w:type="dxa"/>
            <w:tcBorders>
              <w:top w:val="nil"/>
              <w:left w:val="nil"/>
              <w:bottom w:val="nil"/>
              <w:right w:val="nil"/>
            </w:tcBorders>
            <w:shd w:val="clear" w:color="auto" w:fill="auto"/>
            <w:noWrap/>
            <w:vAlign w:val="center"/>
            <w:hideMark/>
          </w:tcPr>
          <w:p w14:paraId="4F36581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72DF667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7F6ACED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r>
      <w:tr w:rsidR="00035FC2" w:rsidRPr="00035FC2" w14:paraId="64B371C6"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2FD7522C"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40</w:t>
            </w:r>
          </w:p>
        </w:tc>
        <w:tc>
          <w:tcPr>
            <w:tcW w:w="5040" w:type="dxa"/>
            <w:tcBorders>
              <w:top w:val="nil"/>
              <w:left w:val="nil"/>
              <w:bottom w:val="nil"/>
              <w:right w:val="nil"/>
            </w:tcBorders>
            <w:shd w:val="clear" w:color="auto" w:fill="auto"/>
            <w:vAlign w:val="center"/>
            <w:hideMark/>
          </w:tcPr>
          <w:p w14:paraId="72781CE0"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Partiju finansējuma iesaldēšana</w:t>
            </w:r>
          </w:p>
        </w:tc>
        <w:tc>
          <w:tcPr>
            <w:tcW w:w="1080" w:type="dxa"/>
            <w:tcBorders>
              <w:top w:val="nil"/>
              <w:left w:val="nil"/>
              <w:bottom w:val="nil"/>
              <w:right w:val="nil"/>
            </w:tcBorders>
            <w:shd w:val="clear" w:color="auto" w:fill="auto"/>
            <w:noWrap/>
            <w:vAlign w:val="center"/>
            <w:hideMark/>
          </w:tcPr>
          <w:p w14:paraId="04F8B4B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43A77C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6211BAD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w:t>
            </w:r>
          </w:p>
        </w:tc>
        <w:tc>
          <w:tcPr>
            <w:tcW w:w="1080" w:type="dxa"/>
            <w:tcBorders>
              <w:top w:val="nil"/>
              <w:left w:val="nil"/>
              <w:bottom w:val="nil"/>
              <w:right w:val="nil"/>
            </w:tcBorders>
            <w:shd w:val="clear" w:color="auto" w:fill="auto"/>
            <w:noWrap/>
            <w:vAlign w:val="center"/>
            <w:hideMark/>
          </w:tcPr>
          <w:p w14:paraId="5D3A017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556AB3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8F2276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CDF7C6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082A9D2C"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53209F48"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41</w:t>
            </w:r>
          </w:p>
        </w:tc>
        <w:tc>
          <w:tcPr>
            <w:tcW w:w="5040" w:type="dxa"/>
            <w:tcBorders>
              <w:top w:val="nil"/>
              <w:left w:val="nil"/>
              <w:bottom w:val="nil"/>
              <w:right w:val="nil"/>
            </w:tcBorders>
            <w:shd w:val="clear" w:color="auto" w:fill="auto"/>
            <w:vAlign w:val="center"/>
            <w:hideMark/>
          </w:tcPr>
          <w:p w14:paraId="258B6BA5"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Iemaksas Eiropas Savienības budžetā</w:t>
            </w:r>
          </w:p>
        </w:tc>
        <w:tc>
          <w:tcPr>
            <w:tcW w:w="1080" w:type="dxa"/>
            <w:tcBorders>
              <w:top w:val="nil"/>
              <w:left w:val="nil"/>
              <w:bottom w:val="nil"/>
              <w:right w:val="nil"/>
            </w:tcBorders>
            <w:shd w:val="clear" w:color="auto" w:fill="auto"/>
            <w:noWrap/>
            <w:vAlign w:val="center"/>
            <w:hideMark/>
          </w:tcPr>
          <w:p w14:paraId="70AD4E4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3A1534F"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1F05E33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D.7</w:t>
            </w:r>
          </w:p>
        </w:tc>
        <w:tc>
          <w:tcPr>
            <w:tcW w:w="1080" w:type="dxa"/>
            <w:tcBorders>
              <w:top w:val="nil"/>
              <w:left w:val="nil"/>
              <w:bottom w:val="nil"/>
              <w:right w:val="nil"/>
            </w:tcBorders>
            <w:shd w:val="clear" w:color="auto" w:fill="auto"/>
            <w:noWrap/>
            <w:vAlign w:val="center"/>
            <w:hideMark/>
          </w:tcPr>
          <w:p w14:paraId="3FEB06A1"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-0,05</w:t>
            </w:r>
          </w:p>
        </w:tc>
        <w:tc>
          <w:tcPr>
            <w:tcW w:w="1080" w:type="dxa"/>
            <w:tcBorders>
              <w:top w:val="nil"/>
              <w:left w:val="nil"/>
              <w:bottom w:val="nil"/>
              <w:right w:val="nil"/>
            </w:tcBorders>
            <w:shd w:val="clear" w:color="auto" w:fill="auto"/>
            <w:noWrap/>
            <w:vAlign w:val="center"/>
            <w:hideMark/>
          </w:tcPr>
          <w:p w14:paraId="366A312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2ED20E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7E1509E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7A8FC2C0" w14:textId="77777777" w:rsidTr="00035FC2">
        <w:trPr>
          <w:trHeight w:val="315"/>
          <w:jc w:val="center"/>
        </w:trPr>
        <w:tc>
          <w:tcPr>
            <w:tcW w:w="480" w:type="dxa"/>
            <w:tcBorders>
              <w:top w:val="nil"/>
              <w:left w:val="nil"/>
              <w:bottom w:val="nil"/>
              <w:right w:val="nil"/>
            </w:tcBorders>
            <w:shd w:val="clear" w:color="000000" w:fill="95B3D7"/>
            <w:noWrap/>
            <w:vAlign w:val="center"/>
            <w:hideMark/>
          </w:tcPr>
          <w:p w14:paraId="65DC4CF7"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42</w:t>
            </w:r>
          </w:p>
        </w:tc>
        <w:tc>
          <w:tcPr>
            <w:tcW w:w="5040" w:type="dxa"/>
            <w:tcBorders>
              <w:top w:val="nil"/>
              <w:left w:val="nil"/>
              <w:bottom w:val="nil"/>
              <w:right w:val="nil"/>
            </w:tcBorders>
            <w:shd w:val="clear" w:color="000000" w:fill="A6C9EC"/>
            <w:vAlign w:val="center"/>
            <w:hideMark/>
          </w:tcPr>
          <w:p w14:paraId="4F819179"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Ar nodokļu politikas pārskatīšanu saistītie izdevumi, kopā</w:t>
            </w:r>
          </w:p>
        </w:tc>
        <w:tc>
          <w:tcPr>
            <w:tcW w:w="1080" w:type="dxa"/>
            <w:tcBorders>
              <w:top w:val="nil"/>
              <w:left w:val="nil"/>
              <w:bottom w:val="nil"/>
              <w:right w:val="nil"/>
            </w:tcBorders>
            <w:shd w:val="clear" w:color="000000" w:fill="A6C9EC"/>
            <w:noWrap/>
            <w:vAlign w:val="center"/>
            <w:hideMark/>
          </w:tcPr>
          <w:p w14:paraId="38B69E75"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50E9BDA1"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321C9C23"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A6C9EC"/>
            <w:noWrap/>
            <w:vAlign w:val="center"/>
            <w:hideMark/>
          </w:tcPr>
          <w:p w14:paraId="0E9EAB9B"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0,02</w:t>
            </w:r>
          </w:p>
        </w:tc>
        <w:tc>
          <w:tcPr>
            <w:tcW w:w="1080" w:type="dxa"/>
            <w:tcBorders>
              <w:top w:val="nil"/>
              <w:left w:val="nil"/>
              <w:bottom w:val="nil"/>
              <w:right w:val="nil"/>
            </w:tcBorders>
            <w:shd w:val="clear" w:color="000000" w:fill="A6C9EC"/>
            <w:noWrap/>
            <w:vAlign w:val="center"/>
            <w:hideMark/>
          </w:tcPr>
          <w:p w14:paraId="782A1852"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-0,01</w:t>
            </w:r>
          </w:p>
        </w:tc>
        <w:tc>
          <w:tcPr>
            <w:tcW w:w="1080" w:type="dxa"/>
            <w:tcBorders>
              <w:top w:val="nil"/>
              <w:left w:val="nil"/>
              <w:bottom w:val="nil"/>
              <w:right w:val="nil"/>
            </w:tcBorders>
            <w:shd w:val="clear" w:color="000000" w:fill="A6C9EC"/>
            <w:noWrap/>
            <w:vAlign w:val="center"/>
            <w:hideMark/>
          </w:tcPr>
          <w:p w14:paraId="01F3F8C8"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c>
          <w:tcPr>
            <w:tcW w:w="1080" w:type="dxa"/>
            <w:tcBorders>
              <w:top w:val="nil"/>
              <w:left w:val="nil"/>
              <w:bottom w:val="nil"/>
              <w:right w:val="nil"/>
            </w:tcBorders>
            <w:shd w:val="clear" w:color="000000" w:fill="A6C9EC"/>
            <w:noWrap/>
            <w:vAlign w:val="center"/>
            <w:hideMark/>
          </w:tcPr>
          <w:p w14:paraId="079BAEDB"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r>
      <w:tr w:rsidR="00035FC2" w:rsidRPr="00035FC2" w14:paraId="2F53B755"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782F439D"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43</w:t>
            </w:r>
          </w:p>
        </w:tc>
        <w:tc>
          <w:tcPr>
            <w:tcW w:w="5040" w:type="dxa"/>
            <w:tcBorders>
              <w:top w:val="nil"/>
              <w:left w:val="nil"/>
              <w:bottom w:val="nil"/>
              <w:right w:val="nil"/>
            </w:tcBorders>
            <w:shd w:val="clear" w:color="auto" w:fill="auto"/>
            <w:vAlign w:val="center"/>
            <w:hideMark/>
          </w:tcPr>
          <w:p w14:paraId="4841C31D"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Minimālās darba algas paaugstināšana</w:t>
            </w:r>
          </w:p>
        </w:tc>
        <w:tc>
          <w:tcPr>
            <w:tcW w:w="1080" w:type="dxa"/>
            <w:tcBorders>
              <w:top w:val="nil"/>
              <w:left w:val="nil"/>
              <w:bottom w:val="nil"/>
              <w:right w:val="nil"/>
            </w:tcBorders>
            <w:shd w:val="clear" w:color="auto" w:fill="auto"/>
            <w:noWrap/>
            <w:vAlign w:val="center"/>
            <w:hideMark/>
          </w:tcPr>
          <w:p w14:paraId="1DE70AB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3933738"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01BA3B4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D.1</w:t>
            </w:r>
          </w:p>
        </w:tc>
        <w:tc>
          <w:tcPr>
            <w:tcW w:w="1080" w:type="dxa"/>
            <w:tcBorders>
              <w:top w:val="nil"/>
              <w:left w:val="nil"/>
              <w:bottom w:val="nil"/>
              <w:right w:val="nil"/>
            </w:tcBorders>
            <w:shd w:val="clear" w:color="auto" w:fill="auto"/>
            <w:noWrap/>
            <w:vAlign w:val="center"/>
            <w:hideMark/>
          </w:tcPr>
          <w:p w14:paraId="60810E20"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207BAB7"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0D92EE3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58C8EDB2"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43B7B9B3"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39AD0069"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44</w:t>
            </w:r>
          </w:p>
        </w:tc>
        <w:tc>
          <w:tcPr>
            <w:tcW w:w="5040" w:type="dxa"/>
            <w:tcBorders>
              <w:top w:val="nil"/>
              <w:left w:val="nil"/>
              <w:bottom w:val="nil"/>
              <w:right w:val="nil"/>
            </w:tcBorders>
            <w:shd w:val="clear" w:color="auto" w:fill="auto"/>
            <w:vAlign w:val="center"/>
            <w:hideMark/>
          </w:tcPr>
          <w:p w14:paraId="3CF58F64"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Strādājošo vecāku pabalsts</w:t>
            </w:r>
          </w:p>
        </w:tc>
        <w:tc>
          <w:tcPr>
            <w:tcW w:w="1080" w:type="dxa"/>
            <w:tcBorders>
              <w:top w:val="nil"/>
              <w:left w:val="nil"/>
              <w:bottom w:val="nil"/>
              <w:right w:val="nil"/>
            </w:tcBorders>
            <w:shd w:val="clear" w:color="auto" w:fill="auto"/>
            <w:noWrap/>
            <w:vAlign w:val="center"/>
            <w:hideMark/>
          </w:tcPr>
          <w:p w14:paraId="338AC19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6D31F55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309E77A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D.62</w:t>
            </w:r>
          </w:p>
        </w:tc>
        <w:tc>
          <w:tcPr>
            <w:tcW w:w="1080" w:type="dxa"/>
            <w:tcBorders>
              <w:top w:val="nil"/>
              <w:left w:val="nil"/>
              <w:bottom w:val="nil"/>
              <w:right w:val="nil"/>
            </w:tcBorders>
            <w:shd w:val="clear" w:color="auto" w:fill="auto"/>
            <w:noWrap/>
            <w:vAlign w:val="center"/>
            <w:hideMark/>
          </w:tcPr>
          <w:p w14:paraId="4A621CF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0FDDF8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675604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2FFACDD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14E54A01" w14:textId="77777777" w:rsidTr="00035FC2">
        <w:trPr>
          <w:trHeight w:val="315"/>
          <w:jc w:val="center"/>
        </w:trPr>
        <w:tc>
          <w:tcPr>
            <w:tcW w:w="480" w:type="dxa"/>
            <w:tcBorders>
              <w:top w:val="nil"/>
              <w:left w:val="nil"/>
              <w:bottom w:val="nil"/>
              <w:right w:val="nil"/>
            </w:tcBorders>
            <w:shd w:val="clear" w:color="000000" w:fill="95B3D7"/>
            <w:noWrap/>
            <w:vAlign w:val="center"/>
            <w:hideMark/>
          </w:tcPr>
          <w:p w14:paraId="7A5BE6E2"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45</w:t>
            </w:r>
          </w:p>
        </w:tc>
        <w:tc>
          <w:tcPr>
            <w:tcW w:w="5040" w:type="dxa"/>
            <w:tcBorders>
              <w:top w:val="nil"/>
              <w:left w:val="nil"/>
              <w:bottom w:val="nil"/>
              <w:right w:val="nil"/>
            </w:tcBorders>
            <w:shd w:val="clear" w:color="000000" w:fill="A6C9EC"/>
            <w:vAlign w:val="center"/>
            <w:hideMark/>
          </w:tcPr>
          <w:p w14:paraId="32B56AA8"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Izdevumu pārskatīšana, kopā</w:t>
            </w:r>
          </w:p>
        </w:tc>
        <w:tc>
          <w:tcPr>
            <w:tcW w:w="1080" w:type="dxa"/>
            <w:tcBorders>
              <w:top w:val="nil"/>
              <w:left w:val="nil"/>
              <w:bottom w:val="nil"/>
              <w:right w:val="nil"/>
            </w:tcBorders>
            <w:shd w:val="clear" w:color="000000" w:fill="A6C9EC"/>
            <w:noWrap/>
            <w:vAlign w:val="center"/>
            <w:hideMark/>
          </w:tcPr>
          <w:p w14:paraId="74C980E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7163F264"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2256CE8E"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P.2, P.51g</w:t>
            </w:r>
          </w:p>
        </w:tc>
        <w:tc>
          <w:tcPr>
            <w:tcW w:w="1080" w:type="dxa"/>
            <w:tcBorders>
              <w:top w:val="nil"/>
              <w:left w:val="nil"/>
              <w:bottom w:val="nil"/>
              <w:right w:val="nil"/>
            </w:tcBorders>
            <w:shd w:val="clear" w:color="000000" w:fill="A6C9EC"/>
            <w:noWrap/>
            <w:vAlign w:val="center"/>
            <w:hideMark/>
          </w:tcPr>
          <w:p w14:paraId="773EEA89"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0,14</w:t>
            </w:r>
          </w:p>
        </w:tc>
        <w:tc>
          <w:tcPr>
            <w:tcW w:w="1080" w:type="dxa"/>
            <w:tcBorders>
              <w:top w:val="nil"/>
              <w:left w:val="nil"/>
              <w:bottom w:val="nil"/>
              <w:right w:val="nil"/>
            </w:tcBorders>
            <w:shd w:val="clear" w:color="000000" w:fill="A6C9EC"/>
            <w:noWrap/>
            <w:vAlign w:val="center"/>
            <w:hideMark/>
          </w:tcPr>
          <w:p w14:paraId="43B87883"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-0,08</w:t>
            </w:r>
          </w:p>
        </w:tc>
        <w:tc>
          <w:tcPr>
            <w:tcW w:w="1080" w:type="dxa"/>
            <w:tcBorders>
              <w:top w:val="nil"/>
              <w:left w:val="nil"/>
              <w:bottom w:val="nil"/>
              <w:right w:val="nil"/>
            </w:tcBorders>
            <w:shd w:val="clear" w:color="000000" w:fill="A6C9EC"/>
            <w:noWrap/>
            <w:vAlign w:val="center"/>
            <w:hideMark/>
          </w:tcPr>
          <w:p w14:paraId="16F4256A"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c>
          <w:tcPr>
            <w:tcW w:w="1080" w:type="dxa"/>
            <w:tcBorders>
              <w:top w:val="nil"/>
              <w:left w:val="nil"/>
              <w:bottom w:val="nil"/>
              <w:right w:val="nil"/>
            </w:tcBorders>
            <w:shd w:val="clear" w:color="000000" w:fill="A6C9EC"/>
            <w:noWrap/>
            <w:vAlign w:val="center"/>
            <w:hideMark/>
          </w:tcPr>
          <w:p w14:paraId="2F4C1599"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r>
      <w:tr w:rsidR="00035FC2" w:rsidRPr="00035FC2" w14:paraId="398A7AA4"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3B54BD6A"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46</w:t>
            </w:r>
          </w:p>
        </w:tc>
        <w:tc>
          <w:tcPr>
            <w:tcW w:w="5040" w:type="dxa"/>
            <w:tcBorders>
              <w:top w:val="nil"/>
              <w:left w:val="nil"/>
              <w:bottom w:val="nil"/>
              <w:right w:val="nil"/>
            </w:tcBorders>
            <w:shd w:val="clear" w:color="auto" w:fill="auto"/>
            <w:vAlign w:val="center"/>
            <w:hideMark/>
          </w:tcPr>
          <w:p w14:paraId="3CF35610"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Valsts atbalsts lauksaimniecībai un lauku attīstībai (finansēts no AS "Latvijas meži" dividendēm)</w:t>
            </w:r>
          </w:p>
        </w:tc>
        <w:tc>
          <w:tcPr>
            <w:tcW w:w="1080" w:type="dxa"/>
            <w:tcBorders>
              <w:top w:val="nil"/>
              <w:left w:val="nil"/>
              <w:bottom w:val="nil"/>
              <w:right w:val="nil"/>
            </w:tcBorders>
            <w:shd w:val="clear" w:color="auto" w:fill="auto"/>
            <w:noWrap/>
            <w:vAlign w:val="center"/>
            <w:hideMark/>
          </w:tcPr>
          <w:p w14:paraId="5E39736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5D0C730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41A6D4F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P.51g</w:t>
            </w:r>
          </w:p>
        </w:tc>
        <w:tc>
          <w:tcPr>
            <w:tcW w:w="1080" w:type="dxa"/>
            <w:tcBorders>
              <w:top w:val="nil"/>
              <w:left w:val="nil"/>
              <w:bottom w:val="nil"/>
              <w:right w:val="nil"/>
            </w:tcBorders>
            <w:shd w:val="clear" w:color="auto" w:fill="auto"/>
            <w:noWrap/>
            <w:vAlign w:val="center"/>
            <w:hideMark/>
          </w:tcPr>
          <w:p w14:paraId="38453C1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0,10</w:t>
            </w:r>
          </w:p>
        </w:tc>
        <w:tc>
          <w:tcPr>
            <w:tcW w:w="1080" w:type="dxa"/>
            <w:tcBorders>
              <w:top w:val="nil"/>
              <w:left w:val="nil"/>
              <w:bottom w:val="nil"/>
              <w:right w:val="nil"/>
            </w:tcBorders>
            <w:shd w:val="clear" w:color="auto" w:fill="auto"/>
            <w:noWrap/>
            <w:vAlign w:val="center"/>
            <w:hideMark/>
          </w:tcPr>
          <w:p w14:paraId="531ED37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-0,10</w:t>
            </w:r>
          </w:p>
        </w:tc>
        <w:tc>
          <w:tcPr>
            <w:tcW w:w="1080" w:type="dxa"/>
            <w:tcBorders>
              <w:top w:val="nil"/>
              <w:left w:val="nil"/>
              <w:bottom w:val="nil"/>
              <w:right w:val="nil"/>
            </w:tcBorders>
            <w:shd w:val="clear" w:color="auto" w:fill="auto"/>
            <w:noWrap/>
            <w:vAlign w:val="center"/>
            <w:hideMark/>
          </w:tcPr>
          <w:p w14:paraId="60A41E6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13302866"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31C8888C" w14:textId="77777777" w:rsidTr="0071249F">
        <w:trPr>
          <w:trHeight w:val="480"/>
          <w:jc w:val="center"/>
        </w:trPr>
        <w:tc>
          <w:tcPr>
            <w:tcW w:w="480" w:type="dxa"/>
            <w:tcBorders>
              <w:top w:val="nil"/>
              <w:left w:val="nil"/>
              <w:bottom w:val="nil"/>
              <w:right w:val="nil"/>
            </w:tcBorders>
            <w:shd w:val="clear" w:color="000000" w:fill="95B3D7"/>
            <w:noWrap/>
            <w:vAlign w:val="center"/>
            <w:hideMark/>
          </w:tcPr>
          <w:p w14:paraId="108FB827"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47</w:t>
            </w:r>
          </w:p>
        </w:tc>
        <w:tc>
          <w:tcPr>
            <w:tcW w:w="5040" w:type="dxa"/>
            <w:tcBorders>
              <w:top w:val="nil"/>
              <w:left w:val="nil"/>
              <w:bottom w:val="nil"/>
              <w:right w:val="nil"/>
            </w:tcBorders>
            <w:shd w:val="clear" w:color="auto" w:fill="auto"/>
            <w:vAlign w:val="center"/>
            <w:hideMark/>
          </w:tcPr>
          <w:p w14:paraId="74986A16"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FM un VID resora izdevumi (finansēti no ieņēmumiem no ēnu apkarošanas)</w:t>
            </w:r>
          </w:p>
        </w:tc>
        <w:tc>
          <w:tcPr>
            <w:tcW w:w="1080" w:type="dxa"/>
            <w:tcBorders>
              <w:top w:val="nil"/>
              <w:left w:val="nil"/>
              <w:bottom w:val="nil"/>
              <w:right w:val="nil"/>
            </w:tcBorders>
            <w:shd w:val="clear" w:color="auto" w:fill="auto"/>
            <w:noWrap/>
            <w:vAlign w:val="center"/>
            <w:hideMark/>
          </w:tcPr>
          <w:p w14:paraId="162AB77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7FCE2D0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23A20743"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P.51g</w:t>
            </w:r>
          </w:p>
        </w:tc>
        <w:tc>
          <w:tcPr>
            <w:tcW w:w="1080" w:type="dxa"/>
            <w:tcBorders>
              <w:top w:val="nil"/>
              <w:left w:val="nil"/>
              <w:bottom w:val="nil"/>
              <w:right w:val="nil"/>
            </w:tcBorders>
            <w:shd w:val="clear" w:color="auto" w:fill="auto"/>
            <w:noWrap/>
            <w:vAlign w:val="center"/>
            <w:hideMark/>
          </w:tcPr>
          <w:p w14:paraId="19FD654A"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0,01</w:t>
            </w:r>
          </w:p>
        </w:tc>
        <w:tc>
          <w:tcPr>
            <w:tcW w:w="1080" w:type="dxa"/>
            <w:tcBorders>
              <w:top w:val="nil"/>
              <w:left w:val="nil"/>
              <w:bottom w:val="nil"/>
              <w:right w:val="nil"/>
            </w:tcBorders>
            <w:shd w:val="clear" w:color="auto" w:fill="auto"/>
            <w:noWrap/>
            <w:vAlign w:val="center"/>
            <w:hideMark/>
          </w:tcPr>
          <w:p w14:paraId="29239A7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55E9346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E8CFCBB"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14B5253B" w14:textId="77777777" w:rsidTr="0071249F">
        <w:trPr>
          <w:trHeight w:val="315"/>
          <w:jc w:val="center"/>
        </w:trPr>
        <w:tc>
          <w:tcPr>
            <w:tcW w:w="480" w:type="dxa"/>
            <w:tcBorders>
              <w:top w:val="nil"/>
              <w:left w:val="nil"/>
              <w:bottom w:val="nil"/>
              <w:right w:val="nil"/>
            </w:tcBorders>
            <w:shd w:val="clear" w:color="000000" w:fill="95B3D7"/>
            <w:noWrap/>
            <w:vAlign w:val="center"/>
            <w:hideMark/>
          </w:tcPr>
          <w:p w14:paraId="752B2B03"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48</w:t>
            </w:r>
          </w:p>
        </w:tc>
        <w:tc>
          <w:tcPr>
            <w:tcW w:w="5040" w:type="dxa"/>
            <w:tcBorders>
              <w:top w:val="nil"/>
              <w:left w:val="nil"/>
              <w:bottom w:val="nil"/>
              <w:right w:val="nil"/>
            </w:tcBorders>
            <w:shd w:val="clear" w:color="auto" w:fill="auto"/>
            <w:vAlign w:val="center"/>
            <w:hideMark/>
          </w:tcPr>
          <w:p w14:paraId="141E0F39"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Citi izdevumi (finansēti no nodevām)</w:t>
            </w:r>
          </w:p>
        </w:tc>
        <w:tc>
          <w:tcPr>
            <w:tcW w:w="1080" w:type="dxa"/>
            <w:tcBorders>
              <w:top w:val="nil"/>
              <w:left w:val="nil"/>
              <w:bottom w:val="nil"/>
              <w:right w:val="nil"/>
            </w:tcBorders>
            <w:shd w:val="clear" w:color="auto" w:fill="auto"/>
            <w:noWrap/>
            <w:vAlign w:val="center"/>
            <w:hideMark/>
          </w:tcPr>
          <w:p w14:paraId="603ABE5E"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Nē</w:t>
            </w:r>
          </w:p>
        </w:tc>
        <w:tc>
          <w:tcPr>
            <w:tcW w:w="1080" w:type="dxa"/>
            <w:tcBorders>
              <w:top w:val="nil"/>
              <w:left w:val="nil"/>
              <w:bottom w:val="nil"/>
              <w:right w:val="nil"/>
            </w:tcBorders>
            <w:shd w:val="clear" w:color="auto" w:fill="auto"/>
            <w:noWrap/>
            <w:vAlign w:val="center"/>
            <w:hideMark/>
          </w:tcPr>
          <w:p w14:paraId="48A612FC"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Izdevumi</w:t>
            </w:r>
          </w:p>
        </w:tc>
        <w:tc>
          <w:tcPr>
            <w:tcW w:w="1080" w:type="dxa"/>
            <w:tcBorders>
              <w:top w:val="nil"/>
              <w:left w:val="nil"/>
              <w:bottom w:val="nil"/>
              <w:right w:val="nil"/>
            </w:tcBorders>
            <w:shd w:val="clear" w:color="auto" w:fill="auto"/>
            <w:vAlign w:val="center"/>
            <w:hideMark/>
          </w:tcPr>
          <w:p w14:paraId="26332A89"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P.2, P.51g</w:t>
            </w:r>
          </w:p>
        </w:tc>
        <w:tc>
          <w:tcPr>
            <w:tcW w:w="1080" w:type="dxa"/>
            <w:tcBorders>
              <w:top w:val="nil"/>
              <w:left w:val="nil"/>
              <w:bottom w:val="nil"/>
              <w:right w:val="nil"/>
            </w:tcBorders>
            <w:shd w:val="clear" w:color="auto" w:fill="auto"/>
            <w:noWrap/>
            <w:vAlign w:val="center"/>
            <w:hideMark/>
          </w:tcPr>
          <w:p w14:paraId="13F38D3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0,02</w:t>
            </w:r>
          </w:p>
        </w:tc>
        <w:tc>
          <w:tcPr>
            <w:tcW w:w="1080" w:type="dxa"/>
            <w:tcBorders>
              <w:top w:val="nil"/>
              <w:left w:val="nil"/>
              <w:bottom w:val="nil"/>
              <w:right w:val="nil"/>
            </w:tcBorders>
            <w:shd w:val="clear" w:color="auto" w:fill="auto"/>
            <w:noWrap/>
            <w:vAlign w:val="center"/>
            <w:hideMark/>
          </w:tcPr>
          <w:p w14:paraId="017CF004"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3110810D"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c>
          <w:tcPr>
            <w:tcW w:w="1080" w:type="dxa"/>
            <w:tcBorders>
              <w:top w:val="nil"/>
              <w:left w:val="nil"/>
              <w:bottom w:val="nil"/>
              <w:right w:val="nil"/>
            </w:tcBorders>
            <w:shd w:val="clear" w:color="auto" w:fill="auto"/>
            <w:noWrap/>
            <w:vAlign w:val="center"/>
            <w:hideMark/>
          </w:tcPr>
          <w:p w14:paraId="6133A105" w14:textId="77777777" w:rsidR="00035FC2" w:rsidRPr="00035FC2" w:rsidRDefault="00035FC2" w:rsidP="006357B3">
            <w:pPr>
              <w:spacing w:after="0" w:line="240" w:lineRule="auto"/>
              <w:ind w:firstLine="0"/>
              <w:jc w:val="center"/>
              <w:rPr>
                <w:rFonts w:eastAsia="Times New Roman" w:cs="Times New Roman"/>
                <w:color w:val="000000"/>
                <w:sz w:val="18"/>
                <w:szCs w:val="18"/>
                <w:lang w:eastAsia="lv-LV"/>
              </w:rPr>
            </w:pPr>
            <w:r w:rsidRPr="00035FC2">
              <w:rPr>
                <w:rFonts w:eastAsia="Times New Roman" w:cs="Times New Roman"/>
                <w:color w:val="000000"/>
                <w:sz w:val="18"/>
                <w:szCs w:val="18"/>
                <w:lang w:eastAsia="lv-LV"/>
              </w:rPr>
              <w:t>0,00</w:t>
            </w:r>
          </w:p>
        </w:tc>
      </w:tr>
      <w:tr w:rsidR="00035FC2" w:rsidRPr="00035FC2" w14:paraId="41C04733" w14:textId="77777777" w:rsidTr="00035FC2">
        <w:trPr>
          <w:trHeight w:val="480"/>
          <w:jc w:val="center"/>
        </w:trPr>
        <w:tc>
          <w:tcPr>
            <w:tcW w:w="480" w:type="dxa"/>
            <w:tcBorders>
              <w:top w:val="nil"/>
              <w:left w:val="nil"/>
              <w:bottom w:val="nil"/>
              <w:right w:val="nil"/>
            </w:tcBorders>
            <w:shd w:val="clear" w:color="000000" w:fill="95B3D7"/>
            <w:noWrap/>
            <w:vAlign w:val="center"/>
            <w:hideMark/>
          </w:tcPr>
          <w:p w14:paraId="04621384" w14:textId="77777777" w:rsidR="00035FC2" w:rsidRPr="00035FC2" w:rsidRDefault="00035FC2" w:rsidP="006357B3">
            <w:pPr>
              <w:spacing w:after="0" w:line="240" w:lineRule="auto"/>
              <w:ind w:firstLine="0"/>
              <w:jc w:val="right"/>
              <w:rPr>
                <w:rFonts w:eastAsia="Times New Roman" w:cs="Times New Roman"/>
                <w:color w:val="000000"/>
                <w:sz w:val="18"/>
                <w:szCs w:val="18"/>
                <w:lang w:eastAsia="lv-LV"/>
              </w:rPr>
            </w:pPr>
            <w:r w:rsidRPr="00035FC2">
              <w:rPr>
                <w:rFonts w:eastAsia="Times New Roman" w:cs="Times New Roman"/>
                <w:color w:val="000000"/>
                <w:sz w:val="18"/>
                <w:szCs w:val="18"/>
                <w:lang w:eastAsia="lv-LV"/>
              </w:rPr>
              <w:t>49</w:t>
            </w:r>
          </w:p>
        </w:tc>
        <w:tc>
          <w:tcPr>
            <w:tcW w:w="5040" w:type="dxa"/>
            <w:tcBorders>
              <w:top w:val="nil"/>
              <w:left w:val="nil"/>
              <w:bottom w:val="nil"/>
              <w:right w:val="nil"/>
            </w:tcBorders>
            <w:shd w:val="clear" w:color="000000" w:fill="A6C9EC"/>
            <w:vAlign w:val="center"/>
            <w:hideMark/>
          </w:tcPr>
          <w:p w14:paraId="41936294"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Citi pasākumi</w:t>
            </w:r>
          </w:p>
        </w:tc>
        <w:tc>
          <w:tcPr>
            <w:tcW w:w="1080" w:type="dxa"/>
            <w:tcBorders>
              <w:top w:val="nil"/>
              <w:left w:val="nil"/>
              <w:bottom w:val="nil"/>
              <w:right w:val="nil"/>
            </w:tcBorders>
            <w:shd w:val="clear" w:color="000000" w:fill="A6C9EC"/>
            <w:noWrap/>
            <w:vAlign w:val="center"/>
            <w:hideMark/>
          </w:tcPr>
          <w:p w14:paraId="4E39A760"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Nē</w:t>
            </w:r>
          </w:p>
        </w:tc>
        <w:tc>
          <w:tcPr>
            <w:tcW w:w="1080" w:type="dxa"/>
            <w:tcBorders>
              <w:top w:val="nil"/>
              <w:left w:val="nil"/>
              <w:bottom w:val="nil"/>
              <w:right w:val="nil"/>
            </w:tcBorders>
            <w:shd w:val="clear" w:color="000000" w:fill="A6C9EC"/>
            <w:noWrap/>
            <w:vAlign w:val="center"/>
            <w:hideMark/>
          </w:tcPr>
          <w:p w14:paraId="14D6DF06"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Izdevumi</w:t>
            </w:r>
          </w:p>
        </w:tc>
        <w:tc>
          <w:tcPr>
            <w:tcW w:w="1080" w:type="dxa"/>
            <w:tcBorders>
              <w:top w:val="nil"/>
              <w:left w:val="nil"/>
              <w:bottom w:val="nil"/>
              <w:right w:val="nil"/>
            </w:tcBorders>
            <w:shd w:val="clear" w:color="000000" w:fill="A6C9EC"/>
            <w:vAlign w:val="center"/>
            <w:hideMark/>
          </w:tcPr>
          <w:p w14:paraId="1236B828"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P.2, P.51g, D.7</w:t>
            </w:r>
          </w:p>
        </w:tc>
        <w:tc>
          <w:tcPr>
            <w:tcW w:w="1080" w:type="dxa"/>
            <w:tcBorders>
              <w:top w:val="nil"/>
              <w:left w:val="nil"/>
              <w:bottom w:val="nil"/>
              <w:right w:val="nil"/>
            </w:tcBorders>
            <w:shd w:val="clear" w:color="000000" w:fill="A6C9EC"/>
            <w:noWrap/>
            <w:vAlign w:val="center"/>
            <w:hideMark/>
          </w:tcPr>
          <w:p w14:paraId="58439B3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0,02</w:t>
            </w:r>
          </w:p>
        </w:tc>
        <w:tc>
          <w:tcPr>
            <w:tcW w:w="1080" w:type="dxa"/>
            <w:tcBorders>
              <w:top w:val="nil"/>
              <w:left w:val="nil"/>
              <w:bottom w:val="nil"/>
              <w:right w:val="nil"/>
            </w:tcBorders>
            <w:shd w:val="clear" w:color="000000" w:fill="A6C9EC"/>
            <w:noWrap/>
            <w:vAlign w:val="center"/>
            <w:hideMark/>
          </w:tcPr>
          <w:p w14:paraId="34A762A8"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c>
          <w:tcPr>
            <w:tcW w:w="1080" w:type="dxa"/>
            <w:tcBorders>
              <w:top w:val="nil"/>
              <w:left w:val="nil"/>
              <w:bottom w:val="nil"/>
              <w:right w:val="nil"/>
            </w:tcBorders>
            <w:shd w:val="clear" w:color="000000" w:fill="A6C9EC"/>
            <w:noWrap/>
            <w:vAlign w:val="center"/>
            <w:hideMark/>
          </w:tcPr>
          <w:p w14:paraId="1480854D"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-0,01</w:t>
            </w:r>
          </w:p>
        </w:tc>
        <w:tc>
          <w:tcPr>
            <w:tcW w:w="1080" w:type="dxa"/>
            <w:tcBorders>
              <w:top w:val="nil"/>
              <w:left w:val="nil"/>
              <w:bottom w:val="nil"/>
              <w:right w:val="nil"/>
            </w:tcBorders>
            <w:shd w:val="clear" w:color="000000" w:fill="A6C9EC"/>
            <w:noWrap/>
            <w:vAlign w:val="center"/>
            <w:hideMark/>
          </w:tcPr>
          <w:p w14:paraId="21868C47"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0,00</w:t>
            </w:r>
          </w:p>
        </w:tc>
      </w:tr>
      <w:tr w:rsidR="00035FC2" w:rsidRPr="00035FC2" w14:paraId="47C19D0C" w14:textId="77777777" w:rsidTr="00035FC2">
        <w:trPr>
          <w:trHeight w:val="315"/>
          <w:jc w:val="center"/>
        </w:trPr>
        <w:tc>
          <w:tcPr>
            <w:tcW w:w="480" w:type="dxa"/>
            <w:tcBorders>
              <w:top w:val="nil"/>
              <w:left w:val="nil"/>
              <w:bottom w:val="nil"/>
              <w:right w:val="nil"/>
            </w:tcBorders>
            <w:shd w:val="clear" w:color="000000" w:fill="95B3D7"/>
            <w:noWrap/>
            <w:vAlign w:val="center"/>
            <w:hideMark/>
          </w:tcPr>
          <w:p w14:paraId="08784D57" w14:textId="77777777" w:rsidR="00035FC2" w:rsidRPr="00035FC2" w:rsidRDefault="00035FC2" w:rsidP="006357B3">
            <w:pPr>
              <w:spacing w:after="0" w:line="240" w:lineRule="auto"/>
              <w:ind w:firstLine="0"/>
              <w:jc w:val="left"/>
              <w:rPr>
                <w:rFonts w:eastAsia="Times New Roman" w:cs="Times New Roman"/>
                <w:color w:val="000000"/>
                <w:sz w:val="18"/>
                <w:szCs w:val="18"/>
                <w:lang w:eastAsia="lv-LV"/>
              </w:rPr>
            </w:pPr>
            <w:r w:rsidRPr="00035FC2">
              <w:rPr>
                <w:rFonts w:eastAsia="Times New Roman" w:cs="Times New Roman"/>
                <w:color w:val="000000"/>
                <w:sz w:val="18"/>
                <w:szCs w:val="18"/>
                <w:lang w:eastAsia="lv-LV"/>
              </w:rPr>
              <w:t> </w:t>
            </w:r>
          </w:p>
        </w:tc>
        <w:tc>
          <w:tcPr>
            <w:tcW w:w="5040" w:type="dxa"/>
            <w:tcBorders>
              <w:top w:val="nil"/>
              <w:left w:val="nil"/>
              <w:bottom w:val="nil"/>
              <w:right w:val="nil"/>
            </w:tcBorders>
            <w:shd w:val="clear" w:color="000000" w:fill="BDD6EE"/>
            <w:vAlign w:val="center"/>
            <w:hideMark/>
          </w:tcPr>
          <w:p w14:paraId="0A3BC5F8" w14:textId="77777777" w:rsidR="00035FC2" w:rsidRPr="00035FC2" w:rsidRDefault="00035FC2" w:rsidP="006357B3">
            <w:pPr>
              <w:spacing w:after="0" w:line="240" w:lineRule="auto"/>
              <w:ind w:firstLine="0"/>
              <w:jc w:val="left"/>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KOPĀ</w:t>
            </w:r>
          </w:p>
        </w:tc>
        <w:tc>
          <w:tcPr>
            <w:tcW w:w="1080" w:type="dxa"/>
            <w:tcBorders>
              <w:top w:val="nil"/>
              <w:left w:val="nil"/>
              <w:bottom w:val="nil"/>
              <w:right w:val="nil"/>
            </w:tcBorders>
            <w:shd w:val="clear" w:color="000000" w:fill="BDD6EE"/>
            <w:vAlign w:val="center"/>
            <w:hideMark/>
          </w:tcPr>
          <w:p w14:paraId="322679E3"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BDD6EE"/>
            <w:noWrap/>
            <w:vAlign w:val="center"/>
            <w:hideMark/>
          </w:tcPr>
          <w:p w14:paraId="091EB530" w14:textId="77777777" w:rsidR="00035FC2" w:rsidRPr="00035FC2" w:rsidRDefault="00035FC2" w:rsidP="006357B3">
            <w:pPr>
              <w:spacing w:after="0" w:line="240" w:lineRule="auto"/>
              <w:ind w:firstLine="0"/>
              <w:jc w:val="center"/>
              <w:rPr>
                <w:rFonts w:eastAsia="Times New Roman" w:cs="Times New Roman"/>
                <w:b/>
                <w:bCs/>
                <w:color w:val="31869B"/>
                <w:sz w:val="18"/>
                <w:szCs w:val="18"/>
                <w:lang w:eastAsia="lv-LV"/>
              </w:rPr>
            </w:pPr>
            <w:r w:rsidRPr="00035FC2">
              <w:rPr>
                <w:rFonts w:eastAsia="Times New Roman" w:cs="Times New Roman"/>
                <w:b/>
                <w:bCs/>
                <w:color w:val="31869B"/>
                <w:sz w:val="18"/>
                <w:szCs w:val="18"/>
                <w:lang w:eastAsia="lv-LV"/>
              </w:rPr>
              <w:t> </w:t>
            </w:r>
          </w:p>
        </w:tc>
        <w:tc>
          <w:tcPr>
            <w:tcW w:w="1080" w:type="dxa"/>
            <w:tcBorders>
              <w:top w:val="nil"/>
              <w:left w:val="nil"/>
              <w:bottom w:val="nil"/>
              <w:right w:val="nil"/>
            </w:tcBorders>
            <w:shd w:val="clear" w:color="000000" w:fill="BDD6EE"/>
            <w:noWrap/>
            <w:vAlign w:val="center"/>
            <w:hideMark/>
          </w:tcPr>
          <w:p w14:paraId="7A199CFE"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 </w:t>
            </w:r>
          </w:p>
        </w:tc>
        <w:tc>
          <w:tcPr>
            <w:tcW w:w="1080" w:type="dxa"/>
            <w:tcBorders>
              <w:top w:val="nil"/>
              <w:left w:val="nil"/>
              <w:bottom w:val="nil"/>
              <w:right w:val="nil"/>
            </w:tcBorders>
            <w:shd w:val="clear" w:color="000000" w:fill="BDD6EE"/>
            <w:noWrap/>
            <w:vAlign w:val="center"/>
            <w:hideMark/>
          </w:tcPr>
          <w:p w14:paraId="43A8C312"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0,64</w:t>
            </w:r>
          </w:p>
        </w:tc>
        <w:tc>
          <w:tcPr>
            <w:tcW w:w="1080" w:type="dxa"/>
            <w:tcBorders>
              <w:top w:val="nil"/>
              <w:left w:val="nil"/>
              <w:bottom w:val="nil"/>
              <w:right w:val="nil"/>
            </w:tcBorders>
            <w:shd w:val="clear" w:color="000000" w:fill="BDD6EE"/>
            <w:noWrap/>
            <w:vAlign w:val="center"/>
            <w:hideMark/>
          </w:tcPr>
          <w:p w14:paraId="3C505AB0"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-0,29</w:t>
            </w:r>
          </w:p>
        </w:tc>
        <w:tc>
          <w:tcPr>
            <w:tcW w:w="1080" w:type="dxa"/>
            <w:tcBorders>
              <w:top w:val="nil"/>
              <w:left w:val="nil"/>
              <w:bottom w:val="nil"/>
              <w:right w:val="nil"/>
            </w:tcBorders>
            <w:shd w:val="clear" w:color="000000" w:fill="BDD6EE"/>
            <w:noWrap/>
            <w:vAlign w:val="center"/>
            <w:hideMark/>
          </w:tcPr>
          <w:p w14:paraId="71B3E0E9"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0,04</w:t>
            </w:r>
          </w:p>
        </w:tc>
        <w:tc>
          <w:tcPr>
            <w:tcW w:w="1080" w:type="dxa"/>
            <w:tcBorders>
              <w:top w:val="nil"/>
              <w:left w:val="nil"/>
              <w:bottom w:val="nil"/>
              <w:right w:val="nil"/>
            </w:tcBorders>
            <w:shd w:val="clear" w:color="000000" w:fill="BDD6EE"/>
            <w:noWrap/>
            <w:vAlign w:val="center"/>
            <w:hideMark/>
          </w:tcPr>
          <w:p w14:paraId="1CC835B8" w14:textId="77777777" w:rsidR="00035FC2" w:rsidRPr="00035FC2" w:rsidRDefault="00035FC2" w:rsidP="006357B3">
            <w:pPr>
              <w:spacing w:after="0" w:line="240" w:lineRule="auto"/>
              <w:ind w:firstLine="0"/>
              <w:jc w:val="center"/>
              <w:rPr>
                <w:rFonts w:eastAsia="Times New Roman" w:cs="Times New Roman"/>
                <w:b/>
                <w:bCs/>
                <w:color w:val="000000"/>
                <w:sz w:val="18"/>
                <w:szCs w:val="18"/>
                <w:lang w:eastAsia="lv-LV"/>
              </w:rPr>
            </w:pPr>
            <w:r w:rsidRPr="00035FC2">
              <w:rPr>
                <w:rFonts w:eastAsia="Times New Roman" w:cs="Times New Roman"/>
                <w:b/>
                <w:bCs/>
                <w:color w:val="000000"/>
                <w:sz w:val="18"/>
                <w:szCs w:val="18"/>
                <w:lang w:eastAsia="lv-LV"/>
              </w:rPr>
              <w:t>-0,33</w:t>
            </w:r>
          </w:p>
        </w:tc>
      </w:tr>
    </w:tbl>
    <w:p w14:paraId="1A0A3251" w14:textId="77777777" w:rsidR="006B09C4" w:rsidRDefault="006B09C4" w:rsidP="006357B3">
      <w:pPr>
        <w:spacing w:line="240" w:lineRule="auto"/>
        <w:ind w:firstLine="0"/>
        <w:rPr>
          <w:rFonts w:eastAsia="Aptos" w:cs="Times New Roman"/>
          <w:kern w:val="2"/>
          <w:szCs w:val="28"/>
          <w14:ligatures w14:val="standardContextual"/>
        </w:rPr>
        <w:sectPr w:rsidR="006B09C4" w:rsidSect="00BB31A6">
          <w:pgSz w:w="16838" w:h="11906" w:orient="landscape" w:code="9"/>
          <w:pgMar w:top="1418" w:right="1134" w:bottom="1134" w:left="1134" w:header="0" w:footer="142" w:gutter="0"/>
          <w:cols w:space="708"/>
          <w:titlePg/>
          <w:docGrid w:linePitch="381"/>
        </w:sectPr>
      </w:pPr>
    </w:p>
    <w:p w14:paraId="70F30F86" w14:textId="78422781" w:rsidR="008D737E" w:rsidRDefault="008D737E" w:rsidP="006357B3">
      <w:pPr>
        <w:pStyle w:val="Heading3"/>
        <w:numPr>
          <w:ilvl w:val="0"/>
          <w:numId w:val="0"/>
        </w:numPr>
        <w:spacing w:line="240" w:lineRule="auto"/>
        <w:ind w:left="720" w:hanging="720"/>
        <w:jc w:val="center"/>
      </w:pPr>
      <w:bookmarkStart w:id="47" w:name="_Toc179540641"/>
      <w:r>
        <w:lastRenderedPageBreak/>
        <w:t xml:space="preserve">7.2.4. Nodokļu pārskatīšanas </w:t>
      </w:r>
      <w:proofErr w:type="spellStart"/>
      <w:r>
        <w:t>pakotne</w:t>
      </w:r>
      <w:bookmarkEnd w:id="47"/>
      <w:proofErr w:type="spellEnd"/>
    </w:p>
    <w:p w14:paraId="04781199" w14:textId="77777777" w:rsidR="00725633" w:rsidRDefault="00725633" w:rsidP="00725633">
      <w:pPr>
        <w:spacing w:line="240" w:lineRule="auto"/>
        <w:ind w:firstLine="709"/>
      </w:pPr>
      <w:r>
        <w:t>V</w:t>
      </w:r>
      <w:r w:rsidRPr="000B3CC6">
        <w:t xml:space="preserve">iens no būtiskiem valsts </w:t>
      </w:r>
      <w:r>
        <w:t xml:space="preserve">fiskālās politikas </w:t>
      </w:r>
      <w:r w:rsidRPr="000B3CC6">
        <w:t>kvalitātes aspektiem ir stabilu un prognozējamu nodokļu ieņēmumu no</w:t>
      </w:r>
      <w:r w:rsidRPr="000B3CC6">
        <w:softHyphen/>
        <w:t>dro</w:t>
      </w:r>
      <w:r w:rsidRPr="000B3CC6">
        <w:softHyphen/>
        <w:t xml:space="preserve">šināšana budžetā valdības prioritāro </w:t>
      </w:r>
      <w:r>
        <w:t xml:space="preserve">drošības, </w:t>
      </w:r>
      <w:r w:rsidRPr="000B3CC6">
        <w:t xml:space="preserve">sociālo un ekonomisko pasākumu finansēšanai. Pie tam ir būtiski nodrošināt Latvijas nodokļu sistēmas konkurētspēju </w:t>
      </w:r>
      <w:r>
        <w:t xml:space="preserve">un </w:t>
      </w:r>
      <w:r w:rsidRPr="00EF3F07">
        <w:rPr>
          <w:iCs/>
          <w:szCs w:val="24"/>
        </w:rPr>
        <w:t>sasaist</w:t>
      </w:r>
      <w:r>
        <w:rPr>
          <w:iCs/>
          <w:szCs w:val="24"/>
        </w:rPr>
        <w:t>i</w:t>
      </w:r>
      <w:r w:rsidRPr="00EF3F07">
        <w:rPr>
          <w:iCs/>
          <w:szCs w:val="24"/>
        </w:rPr>
        <w:t xml:space="preserve"> ar valsts vispārējiem attīstības mērķiem</w:t>
      </w:r>
      <w:r w:rsidRPr="000B3CC6">
        <w:t>.</w:t>
      </w:r>
    </w:p>
    <w:p w14:paraId="0D47CFA2" w14:textId="6C1F9A74" w:rsidR="00725633" w:rsidRDefault="00725633" w:rsidP="00725633">
      <w:pPr>
        <w:spacing w:line="240" w:lineRule="auto"/>
        <w:ind w:firstLine="709"/>
        <w:rPr>
          <w:szCs w:val="24"/>
        </w:rPr>
      </w:pPr>
      <w:r w:rsidRPr="00D72B86">
        <w:t>Vidēja termiņa</w:t>
      </w:r>
      <w:r>
        <w:t xml:space="preserve"> nodokļu politikas pārskatīšanas scenārijs tika konceptuāli atbalstīts </w:t>
      </w:r>
      <w:r w:rsidRPr="00D72B86">
        <w:t xml:space="preserve"> </w:t>
      </w:r>
      <w:r w:rsidRPr="000E38B8">
        <w:rPr>
          <w:szCs w:val="24"/>
        </w:rPr>
        <w:t>Nacionālā trīspusējās sadarbības padome</w:t>
      </w:r>
      <w:r>
        <w:rPr>
          <w:szCs w:val="24"/>
        </w:rPr>
        <w:t xml:space="preserve">s </w:t>
      </w:r>
      <w:r w:rsidRPr="000E38B8">
        <w:rPr>
          <w:rStyle w:val="spelle"/>
          <w:rFonts w:eastAsiaTheme="majorEastAsia"/>
          <w:szCs w:val="24"/>
        </w:rPr>
        <w:t xml:space="preserve">2024. gada </w:t>
      </w:r>
      <w:r>
        <w:rPr>
          <w:rStyle w:val="spelle"/>
          <w:rFonts w:eastAsiaTheme="majorEastAsia"/>
          <w:szCs w:val="24"/>
        </w:rPr>
        <w:t xml:space="preserve">6. septembra sēdē. Atbilstoši šīm vienošanām </w:t>
      </w:r>
      <w:r>
        <w:t>FM</w:t>
      </w:r>
      <w:r w:rsidRPr="003A3865">
        <w:t xml:space="preserve"> sagatav</w:t>
      </w:r>
      <w:r>
        <w:t>oja i</w:t>
      </w:r>
      <w:r w:rsidRPr="003A3865">
        <w:t>nformatīv</w:t>
      </w:r>
      <w:r>
        <w:t>o</w:t>
      </w:r>
      <w:r w:rsidRPr="003A3865">
        <w:t xml:space="preserve"> ziņojum</w:t>
      </w:r>
      <w:r>
        <w:t>u</w:t>
      </w:r>
      <w:r w:rsidRPr="003A3865">
        <w:t xml:space="preserve"> “Par valsts budžeta ieņēmumu un nodokļu politikas pārskatīšanu 2025. - 2027.gadā”</w:t>
      </w:r>
      <w:r>
        <w:t xml:space="preserve">, kas tika apstiprināts MK 2024. gada 19.septembrī (protokols </w:t>
      </w:r>
      <w:r w:rsidRPr="000A0132">
        <w:t>Nr.38/1.§</w:t>
      </w:r>
      <w:r>
        <w:t>)</w:t>
      </w:r>
      <w:r w:rsidRPr="00725633">
        <w:rPr>
          <w:rStyle w:val="FootnoteReference"/>
          <w:rFonts w:ascii="Times New Roman" w:hAnsi="Times New Roman" w:cs="Times New Roman"/>
          <w:sz w:val="24"/>
          <w:szCs w:val="24"/>
        </w:rPr>
        <w:footnoteReference w:id="4"/>
      </w:r>
      <w:r w:rsidRPr="00725633">
        <w:rPr>
          <w:rFonts w:cs="Times New Roman"/>
          <w:szCs w:val="24"/>
        </w:rPr>
        <w:t xml:space="preserve"> </w:t>
      </w:r>
      <w:r>
        <w:rPr>
          <w:szCs w:val="24"/>
        </w:rPr>
        <w:t>un ietver zemāk aprakstītās izmaiņas.</w:t>
      </w:r>
    </w:p>
    <w:p w14:paraId="16F54468" w14:textId="77777777" w:rsidR="00725633" w:rsidRPr="00DA7EF4" w:rsidRDefault="00725633" w:rsidP="00725633">
      <w:pPr>
        <w:pStyle w:val="ListParagraph"/>
        <w:numPr>
          <w:ilvl w:val="0"/>
          <w:numId w:val="7"/>
        </w:numPr>
        <w:tabs>
          <w:tab w:val="left" w:pos="1134"/>
        </w:tabs>
        <w:spacing w:line="240" w:lineRule="auto"/>
        <w:ind w:left="0" w:firstLine="709"/>
        <w:contextualSpacing w:val="0"/>
        <w:rPr>
          <w:b/>
          <w:bCs/>
          <w:u w:val="single"/>
        </w:rPr>
      </w:pPr>
      <w:r w:rsidRPr="00DA7EF4">
        <w:rPr>
          <w:b/>
          <w:bCs/>
          <w:u w:val="single"/>
        </w:rPr>
        <w:t>Darbaspēka nodokļu sloga mazināšanas scenārijs paredz:</w:t>
      </w:r>
    </w:p>
    <w:p w14:paraId="5A4E195B" w14:textId="77777777" w:rsidR="00725633" w:rsidRPr="00540973" w:rsidRDefault="00725633" w:rsidP="00725633">
      <w:pPr>
        <w:pStyle w:val="ListParagraph"/>
        <w:numPr>
          <w:ilvl w:val="1"/>
          <w:numId w:val="8"/>
        </w:numPr>
        <w:tabs>
          <w:tab w:val="left" w:pos="1134"/>
        </w:tabs>
        <w:spacing w:line="240" w:lineRule="auto"/>
        <w:ind w:left="0" w:firstLine="709"/>
        <w:contextualSpacing w:val="0"/>
        <w:rPr>
          <w:b/>
          <w:bCs/>
        </w:rPr>
      </w:pPr>
      <w:r>
        <w:rPr>
          <w:b/>
          <w:bCs/>
        </w:rPr>
        <w:t xml:space="preserve"> IIN</w:t>
      </w:r>
      <w:r w:rsidRPr="009C6B0E">
        <w:rPr>
          <w:szCs w:val="24"/>
        </w:rPr>
        <w:t xml:space="preserve"> likm</w:t>
      </w:r>
      <w:r>
        <w:rPr>
          <w:szCs w:val="24"/>
        </w:rPr>
        <w:t>ju</w:t>
      </w:r>
      <w:r w:rsidRPr="009C6B0E">
        <w:rPr>
          <w:szCs w:val="24"/>
        </w:rPr>
        <w:t xml:space="preserve"> un neapliekamā minimuma sistēm</w:t>
      </w:r>
      <w:r>
        <w:rPr>
          <w:szCs w:val="24"/>
        </w:rPr>
        <w:t>as pārskatīšana</w:t>
      </w:r>
      <w:r>
        <w:rPr>
          <w:b/>
          <w:bCs/>
        </w:rPr>
        <w:t>:</w:t>
      </w:r>
    </w:p>
    <w:p w14:paraId="012F8E28" w14:textId="77777777" w:rsidR="00725633" w:rsidRDefault="00725633" w:rsidP="00725633">
      <w:pPr>
        <w:pStyle w:val="ListParagraph"/>
        <w:numPr>
          <w:ilvl w:val="1"/>
          <w:numId w:val="7"/>
        </w:numPr>
        <w:tabs>
          <w:tab w:val="left" w:pos="1134"/>
        </w:tabs>
        <w:spacing w:line="240" w:lineRule="auto"/>
        <w:ind w:left="0" w:firstLine="709"/>
        <w:contextualSpacing w:val="0"/>
      </w:pPr>
      <w:r>
        <w:t xml:space="preserve">no 2025. gada diferencēto minimumu aizstāt ar vienotu (fiksētu) neapliekamo minimumu, kas tiek piemērots visiem darba ņēmējiem neatkarīgi no bruto ienākuma apmēra, nosakot to 510 </w:t>
      </w:r>
      <w:proofErr w:type="spellStart"/>
      <w:r w:rsidRPr="00485C09">
        <w:rPr>
          <w:i/>
          <w:iCs/>
        </w:rPr>
        <w:t>euro</w:t>
      </w:r>
      <w:proofErr w:type="spellEnd"/>
      <w:r>
        <w:t xml:space="preserve"> apmērā mēnesī, kā arī turpmāku paaugstināšanu uz 550 </w:t>
      </w:r>
      <w:proofErr w:type="spellStart"/>
      <w:r w:rsidRPr="00485C09">
        <w:rPr>
          <w:i/>
          <w:iCs/>
        </w:rPr>
        <w:t>euro</w:t>
      </w:r>
      <w:proofErr w:type="spellEnd"/>
      <w:r w:rsidRPr="00485C09">
        <w:rPr>
          <w:i/>
          <w:iCs/>
        </w:rPr>
        <w:t xml:space="preserve"> </w:t>
      </w:r>
      <w:r>
        <w:t xml:space="preserve">mēnesī no 2026. gada un uz 570 </w:t>
      </w:r>
      <w:proofErr w:type="spellStart"/>
      <w:r w:rsidRPr="00485C09">
        <w:rPr>
          <w:i/>
          <w:iCs/>
        </w:rPr>
        <w:t>euro</w:t>
      </w:r>
      <w:proofErr w:type="spellEnd"/>
      <w:r>
        <w:t xml:space="preserve"> mēnesī no 2027. gada;</w:t>
      </w:r>
    </w:p>
    <w:p w14:paraId="186D3CB2" w14:textId="77777777" w:rsidR="00725633" w:rsidRDefault="00725633" w:rsidP="00725633">
      <w:pPr>
        <w:pStyle w:val="ListParagraph"/>
        <w:numPr>
          <w:ilvl w:val="1"/>
          <w:numId w:val="7"/>
        </w:numPr>
        <w:tabs>
          <w:tab w:val="left" w:pos="1134"/>
        </w:tabs>
        <w:spacing w:line="240" w:lineRule="auto"/>
        <w:ind w:left="0" w:firstLine="709"/>
        <w:contextualSpacing w:val="0"/>
      </w:pPr>
      <w:r>
        <w:t xml:space="preserve">2025. </w:t>
      </w:r>
      <w:r w:rsidRPr="003A3865">
        <w:t xml:space="preserve">gadā </w:t>
      </w:r>
      <w:r>
        <w:t>p</w:t>
      </w:r>
      <w:r w:rsidRPr="003A3865">
        <w:t>ensionār</w:t>
      </w:r>
      <w:r>
        <w:t>a</w:t>
      </w:r>
      <w:r w:rsidRPr="003A3865">
        <w:t xml:space="preserve"> neapliekamo minimumu </w:t>
      </w:r>
      <w:r>
        <w:t xml:space="preserve">paaugstināt </w:t>
      </w:r>
      <w:r w:rsidRPr="00922C03">
        <w:t xml:space="preserve">no 6 000 </w:t>
      </w:r>
      <w:proofErr w:type="spellStart"/>
      <w:r w:rsidRPr="00922C03">
        <w:rPr>
          <w:i/>
        </w:rPr>
        <w:t>euro</w:t>
      </w:r>
      <w:proofErr w:type="spellEnd"/>
      <w:r w:rsidRPr="00922C03">
        <w:t xml:space="preserve"> gadā (500 </w:t>
      </w:r>
      <w:proofErr w:type="spellStart"/>
      <w:r w:rsidRPr="00922C03">
        <w:rPr>
          <w:i/>
        </w:rPr>
        <w:t>euro</w:t>
      </w:r>
      <w:proofErr w:type="spellEnd"/>
      <w:r w:rsidRPr="00922C03">
        <w:t xml:space="preserve"> mēnesī) uz 12 000 </w:t>
      </w:r>
      <w:proofErr w:type="spellStart"/>
      <w:r w:rsidRPr="00922C03">
        <w:rPr>
          <w:i/>
        </w:rPr>
        <w:t>euro</w:t>
      </w:r>
      <w:proofErr w:type="spellEnd"/>
      <w:r w:rsidRPr="00922C03">
        <w:t xml:space="preserve"> gadā (1 000 </w:t>
      </w:r>
      <w:proofErr w:type="spellStart"/>
      <w:r w:rsidRPr="00922C03">
        <w:rPr>
          <w:i/>
        </w:rPr>
        <w:t>euro</w:t>
      </w:r>
      <w:proofErr w:type="spellEnd"/>
      <w:r w:rsidRPr="00922C03">
        <w:t xml:space="preserve"> mēnesī)</w:t>
      </w:r>
      <w:r>
        <w:t>;</w:t>
      </w:r>
    </w:p>
    <w:p w14:paraId="31BE39EE" w14:textId="017F6A8C" w:rsidR="00725633" w:rsidRDefault="00725633" w:rsidP="00725633">
      <w:pPr>
        <w:pStyle w:val="ListParagraph"/>
        <w:numPr>
          <w:ilvl w:val="1"/>
          <w:numId w:val="7"/>
        </w:numPr>
        <w:tabs>
          <w:tab w:val="left" w:pos="1134"/>
        </w:tabs>
        <w:spacing w:line="240" w:lineRule="auto"/>
        <w:ind w:left="0" w:firstLine="709"/>
        <w:contextualSpacing w:val="0"/>
      </w:pPr>
      <w:r>
        <w:t>lai l</w:t>
      </w:r>
      <w:r w:rsidRPr="003A3865">
        <w:t>īdzsvarot</w:t>
      </w:r>
      <w:r>
        <w:t>u</w:t>
      </w:r>
      <w:r w:rsidRPr="003A3865">
        <w:t xml:space="preserve"> neapliekamo minimumu ar IIN likmēm un vienkāršotu darbaspēka nodokļu sistēmu, paredzēts </w:t>
      </w:r>
      <w:r w:rsidRPr="00922C03">
        <w:t xml:space="preserve">ar 2025. gadu ieviest divu pakāpju </w:t>
      </w:r>
      <w:r>
        <w:t>IIN</w:t>
      </w:r>
      <w:r w:rsidRPr="00922C03">
        <w:t xml:space="preserve"> likmes </w:t>
      </w:r>
      <w:r>
        <w:t xml:space="preserve">- </w:t>
      </w:r>
      <w:r w:rsidRPr="003A3865">
        <w:t xml:space="preserve">ienākumiem līdz 105 300 </w:t>
      </w:r>
      <w:r w:rsidRPr="000A0132">
        <w:rPr>
          <w:i/>
          <w:iCs/>
        </w:rPr>
        <w:t xml:space="preserve"> </w:t>
      </w:r>
      <w:proofErr w:type="spellStart"/>
      <w:r w:rsidRPr="000A0132">
        <w:rPr>
          <w:i/>
          <w:iCs/>
        </w:rPr>
        <w:t>euro</w:t>
      </w:r>
      <w:proofErr w:type="spellEnd"/>
      <w:r w:rsidRPr="003A3865">
        <w:t xml:space="preserve"> gadā (8 775 </w:t>
      </w:r>
      <w:r w:rsidRPr="000A0132">
        <w:rPr>
          <w:i/>
          <w:iCs/>
        </w:rPr>
        <w:t xml:space="preserve"> </w:t>
      </w:r>
      <w:proofErr w:type="spellStart"/>
      <w:r w:rsidRPr="000A0132">
        <w:rPr>
          <w:i/>
          <w:iCs/>
        </w:rPr>
        <w:t>euro</w:t>
      </w:r>
      <w:proofErr w:type="spellEnd"/>
      <w:r w:rsidRPr="003A3865">
        <w:t xml:space="preserve"> mēnesī) noteikt </w:t>
      </w:r>
      <w:r w:rsidR="00EB0FCC">
        <w:t>IIN</w:t>
      </w:r>
      <w:r w:rsidRPr="003A3865">
        <w:t xml:space="preserve"> likmi 25,5% apmērā</w:t>
      </w:r>
      <w:r>
        <w:t xml:space="preserve"> un i</w:t>
      </w:r>
      <w:r w:rsidRPr="003A3865">
        <w:t>enākum</w:t>
      </w:r>
      <w:r>
        <w:t xml:space="preserve">u pārsnieguma daļai virs 105 300 </w:t>
      </w:r>
      <w:proofErr w:type="spellStart"/>
      <w:r>
        <w:rPr>
          <w:i/>
          <w:iCs/>
        </w:rPr>
        <w:t>euro</w:t>
      </w:r>
      <w:proofErr w:type="spellEnd"/>
      <w:r>
        <w:rPr>
          <w:i/>
          <w:iCs/>
        </w:rPr>
        <w:t xml:space="preserve"> </w:t>
      </w:r>
      <w:r>
        <w:t>gadā (</w:t>
      </w:r>
      <w:r w:rsidRPr="003A3865">
        <w:t xml:space="preserve">virs 8 775 </w:t>
      </w:r>
      <w:r w:rsidRPr="000A0132">
        <w:rPr>
          <w:i/>
          <w:iCs/>
        </w:rPr>
        <w:t xml:space="preserve"> </w:t>
      </w:r>
      <w:proofErr w:type="spellStart"/>
      <w:r w:rsidRPr="000A0132">
        <w:rPr>
          <w:i/>
          <w:iCs/>
        </w:rPr>
        <w:t>euro</w:t>
      </w:r>
      <w:proofErr w:type="spellEnd"/>
      <w:r w:rsidRPr="003A3865">
        <w:t xml:space="preserve"> mēnesī</w:t>
      </w:r>
      <w:r>
        <w:t>) 33% apmērā</w:t>
      </w:r>
      <w:r w:rsidRPr="003A3865">
        <w:t xml:space="preserve">, </w:t>
      </w:r>
      <w:r w:rsidRPr="00D866EA">
        <w:t>kas faktiski tiek iekasēts, samaksājot solidaritātes nodokli</w:t>
      </w:r>
      <w:r w:rsidRPr="003A3865">
        <w:t>.</w:t>
      </w:r>
    </w:p>
    <w:p w14:paraId="69C12674" w14:textId="5DB08308" w:rsidR="00725633" w:rsidRDefault="00725633" w:rsidP="00725633">
      <w:pPr>
        <w:tabs>
          <w:tab w:val="left" w:pos="1134"/>
        </w:tabs>
        <w:spacing w:line="240" w:lineRule="auto"/>
        <w:ind w:firstLine="709"/>
      </w:pPr>
      <w:r w:rsidRPr="00922C03">
        <w:t>Piedāvātais scenārijs vienkāršo nodokļu sistēmu un</w:t>
      </w:r>
      <w:r>
        <w:t>,</w:t>
      </w:r>
      <w:r w:rsidRPr="00922C03">
        <w:t xml:space="preserve"> līdz ar darbaspēka nodokļu samazināšanu</w:t>
      </w:r>
      <w:r>
        <w:t>,</w:t>
      </w:r>
      <w:r w:rsidRPr="00922C03">
        <w:t xml:space="preserve"> veicin</w:t>
      </w:r>
      <w:r>
        <w:t>a</w:t>
      </w:r>
      <w:r w:rsidRPr="00922C03">
        <w:t xml:space="preserve"> privāto patēriņu un investīcijas. </w:t>
      </w:r>
    </w:p>
    <w:p w14:paraId="31ED212C" w14:textId="77777777" w:rsidR="00725633" w:rsidRDefault="00725633" w:rsidP="00725633">
      <w:pPr>
        <w:pStyle w:val="ListParagraph"/>
        <w:numPr>
          <w:ilvl w:val="1"/>
          <w:numId w:val="8"/>
        </w:numPr>
        <w:tabs>
          <w:tab w:val="left" w:pos="709"/>
          <w:tab w:val="left" w:pos="993"/>
        </w:tabs>
        <w:spacing w:line="240" w:lineRule="auto"/>
        <w:ind w:left="0" w:firstLine="709"/>
      </w:pPr>
      <w:r>
        <w:t xml:space="preserve">Lai </w:t>
      </w:r>
      <w:r w:rsidRPr="00D72B86">
        <w:t xml:space="preserve">kompensētu darbaspēka nodokļu izmaiņu radīto samazinājumu valsts budžetā, MK atbalstīts priekšlikums </w:t>
      </w:r>
      <w:r>
        <w:t>mainīt</w:t>
      </w:r>
      <w:r w:rsidRPr="00D72B86">
        <w:t xml:space="preserve"> VSAOI </w:t>
      </w:r>
      <w:r>
        <w:t xml:space="preserve">sadalījumu </w:t>
      </w:r>
      <w:r w:rsidRPr="00D72B86">
        <w:t>un</w:t>
      </w:r>
      <w:r w:rsidRPr="00ED3008">
        <w:rPr>
          <w:b/>
          <w:bCs/>
        </w:rPr>
        <w:t xml:space="preserve"> </w:t>
      </w:r>
      <w:r>
        <w:t xml:space="preserve">pārnest 1 procentpunktu no </w:t>
      </w:r>
      <w:proofErr w:type="spellStart"/>
      <w:r>
        <w:t>fondēto</w:t>
      </w:r>
      <w:proofErr w:type="spellEnd"/>
      <w:r>
        <w:t xml:space="preserve"> pensiju shēmas (otrā līmeņa) uz pensiju pirmo līmeni, novirzot attiecīgi pirmajam līmenim 15% un otrajam līmenim 5%. Risinājums paredzēts terminēti laika periodā no 2025. gada 1. janvāra līdz 2028. gada 31. decembrim.</w:t>
      </w:r>
    </w:p>
    <w:p w14:paraId="711E5BDD" w14:textId="579FB3A1" w:rsidR="00725633" w:rsidRDefault="00725633" w:rsidP="00725633">
      <w:pPr>
        <w:pStyle w:val="ListParagraph"/>
        <w:numPr>
          <w:ilvl w:val="1"/>
          <w:numId w:val="8"/>
        </w:numPr>
        <w:tabs>
          <w:tab w:val="left" w:pos="709"/>
          <w:tab w:val="left" w:pos="993"/>
        </w:tabs>
        <w:spacing w:line="240" w:lineRule="auto"/>
        <w:ind w:left="0" w:firstLine="709"/>
      </w:pPr>
      <w:r w:rsidRPr="00ED3008">
        <w:t xml:space="preserve">Lai ieviestu lielāku progresivitāti </w:t>
      </w:r>
      <w:r>
        <w:t>augstu</w:t>
      </w:r>
      <w:r w:rsidRPr="00ED3008">
        <w:t xml:space="preserve"> ienākumu saņēmējiem, no 2025.</w:t>
      </w:r>
      <w:r>
        <w:t xml:space="preserve"> </w:t>
      </w:r>
      <w:r w:rsidRPr="00ED3008">
        <w:t xml:space="preserve">gada </w:t>
      </w:r>
      <w:r w:rsidRPr="00ED3008">
        <w:rPr>
          <w:bCs/>
        </w:rPr>
        <w:t xml:space="preserve">plānots </w:t>
      </w:r>
      <w:r w:rsidRPr="00ED3008">
        <w:t xml:space="preserve">ieviest IIN papildu likmi 3% apmērā ienākumiem (taksācijas gada ar nodokli apliekamajiem ienākumiem, tajā skaitā ienākumiem no kapitāla pieauguma un ienākumiem no kapitāla, kas nav kapitāla pieaugums, un no nodokļa atbrīvotajām dividendēm un likvidācijas kvotai) virs 200 000 </w:t>
      </w:r>
      <w:proofErr w:type="spellStart"/>
      <w:r w:rsidRPr="00ED3008">
        <w:rPr>
          <w:i/>
          <w:iCs/>
        </w:rPr>
        <w:t>euro</w:t>
      </w:r>
      <w:proofErr w:type="spellEnd"/>
      <w:r w:rsidRPr="00ED3008">
        <w:t xml:space="preserve"> gadā, rezumējošā kārtībā deklarējot gada ienākumus. </w:t>
      </w:r>
    </w:p>
    <w:p w14:paraId="34B7270B" w14:textId="77777777" w:rsidR="00725633" w:rsidRPr="00D94630" w:rsidRDefault="00725633" w:rsidP="00725633">
      <w:pPr>
        <w:pStyle w:val="ListParagraph"/>
        <w:numPr>
          <w:ilvl w:val="1"/>
          <w:numId w:val="8"/>
        </w:numPr>
        <w:tabs>
          <w:tab w:val="left" w:pos="709"/>
          <w:tab w:val="left" w:pos="993"/>
        </w:tabs>
        <w:spacing w:line="240" w:lineRule="auto"/>
        <w:ind w:left="0" w:firstLine="709"/>
      </w:pPr>
      <w:r w:rsidRPr="00ED3008">
        <w:rPr>
          <w:b/>
          <w:bCs/>
        </w:rPr>
        <w:t>Valsts sociālās apdrošināšanas obligāto iemaksu (VSAO</w:t>
      </w:r>
      <w:r>
        <w:rPr>
          <w:b/>
          <w:bCs/>
        </w:rPr>
        <w:t>I</w:t>
      </w:r>
      <w:r w:rsidRPr="00ED3008">
        <w:rPr>
          <w:b/>
          <w:bCs/>
        </w:rPr>
        <w:t xml:space="preserve">) un brīvprātīgo apdrošināšanas iemaksu objekta maksimālā apmēra </w:t>
      </w:r>
      <w:r>
        <w:rPr>
          <w:b/>
          <w:bCs/>
        </w:rPr>
        <w:t>palielināšana</w:t>
      </w:r>
      <w:r>
        <w:t xml:space="preserve"> līdz </w:t>
      </w:r>
      <w:r w:rsidRPr="00ED3008">
        <w:rPr>
          <w:bCs/>
        </w:rPr>
        <w:t xml:space="preserve">105 300 </w:t>
      </w:r>
      <w:proofErr w:type="spellStart"/>
      <w:r w:rsidRPr="00ED3008">
        <w:rPr>
          <w:bCs/>
          <w:i/>
        </w:rPr>
        <w:t>euro</w:t>
      </w:r>
      <w:proofErr w:type="spellEnd"/>
      <w:r>
        <w:rPr>
          <w:bCs/>
          <w:iCs/>
        </w:rPr>
        <w:t xml:space="preserve"> no 2025. gada</w:t>
      </w:r>
      <w:r w:rsidRPr="00ED3008">
        <w:rPr>
          <w:bCs/>
        </w:rPr>
        <w:t>. VSAOI un brīvprātīgo iemaksu objekta maksimālais apmērs no 2019. līdz 2021. gada</w:t>
      </w:r>
      <w:r>
        <w:rPr>
          <w:bCs/>
        </w:rPr>
        <w:t>m</w:t>
      </w:r>
      <w:r w:rsidRPr="00ED3008">
        <w:rPr>
          <w:bCs/>
        </w:rPr>
        <w:t xml:space="preserve"> bija 62 800 </w:t>
      </w:r>
      <w:proofErr w:type="spellStart"/>
      <w:r w:rsidRPr="00ED3008">
        <w:rPr>
          <w:bCs/>
          <w:i/>
        </w:rPr>
        <w:t>euro</w:t>
      </w:r>
      <w:proofErr w:type="spellEnd"/>
      <w:r w:rsidRPr="00ED3008">
        <w:rPr>
          <w:bCs/>
        </w:rPr>
        <w:t xml:space="preserve">, bet no 2022. līdz 2024. gadam – 78 100 </w:t>
      </w:r>
      <w:proofErr w:type="spellStart"/>
      <w:r w:rsidRPr="00ED3008">
        <w:rPr>
          <w:bCs/>
          <w:i/>
        </w:rPr>
        <w:t>euro</w:t>
      </w:r>
      <w:proofErr w:type="spellEnd"/>
      <w:r w:rsidRPr="00ED3008">
        <w:rPr>
          <w:bCs/>
        </w:rPr>
        <w:t>. Nākamā VSAOI un brīvprātīgo apdrošināša</w:t>
      </w:r>
      <w:r w:rsidRPr="00D94630">
        <w:t>nas iemaksu objekta maksimālā apmēra aktualizācija (pārrēķins) būs nepieciešama 2027. gadā, nosakot VSAOI un brīvprātīgo apdrošināšanas iemaksu objekta maksimālo apmēru nākamajam trīs gadu periodam, t.i., 2028., 2029. un 2030. gadam. Priekšlikuma</w:t>
      </w:r>
      <w:r w:rsidRPr="00ED3008">
        <w:rPr>
          <w:b/>
          <w:bCs/>
        </w:rPr>
        <w:t xml:space="preserve"> </w:t>
      </w:r>
      <w:r w:rsidRPr="00D94630">
        <w:t>fiskālā ietekme jau iekļauta nodokļu ieņēmumu bāzes prognozēs.</w:t>
      </w:r>
    </w:p>
    <w:p w14:paraId="7161B147" w14:textId="77777777" w:rsidR="00725633" w:rsidRPr="00F67DE5" w:rsidRDefault="00725633" w:rsidP="00725633">
      <w:pPr>
        <w:pStyle w:val="ListParagraph"/>
        <w:tabs>
          <w:tab w:val="left" w:pos="1134"/>
        </w:tabs>
        <w:spacing w:line="240" w:lineRule="auto"/>
        <w:ind w:left="0" w:firstLine="709"/>
      </w:pPr>
    </w:p>
    <w:p w14:paraId="4BDADA4B" w14:textId="77777777" w:rsidR="00725633" w:rsidRPr="00DA7EF4" w:rsidRDefault="00725633" w:rsidP="00725633">
      <w:pPr>
        <w:pStyle w:val="ListParagraph"/>
        <w:numPr>
          <w:ilvl w:val="0"/>
          <w:numId w:val="7"/>
        </w:numPr>
        <w:tabs>
          <w:tab w:val="left" w:pos="1134"/>
        </w:tabs>
        <w:spacing w:before="120" w:line="240" w:lineRule="auto"/>
        <w:ind w:left="0" w:firstLine="709"/>
        <w:contextualSpacing w:val="0"/>
        <w:rPr>
          <w:b/>
          <w:bCs/>
          <w:u w:val="single"/>
        </w:rPr>
      </w:pPr>
      <w:r w:rsidRPr="00DA7EF4">
        <w:rPr>
          <w:b/>
          <w:bCs/>
          <w:u w:val="single"/>
        </w:rPr>
        <w:lastRenderedPageBreak/>
        <w:t>N</w:t>
      </w:r>
      <w:r w:rsidRPr="003A3865">
        <w:rPr>
          <w:b/>
          <w:bCs/>
          <w:u w:val="single"/>
        </w:rPr>
        <w:t>odokļu politikas pārskatīšan</w:t>
      </w:r>
      <w:r w:rsidRPr="00DA7EF4">
        <w:rPr>
          <w:b/>
          <w:bCs/>
          <w:u w:val="single"/>
        </w:rPr>
        <w:t xml:space="preserve">as ietvaros MK </w:t>
      </w:r>
      <w:r>
        <w:rPr>
          <w:b/>
          <w:bCs/>
          <w:u w:val="single"/>
        </w:rPr>
        <w:t xml:space="preserve">apstiprināti </w:t>
      </w:r>
      <w:r w:rsidRPr="00DA7EF4">
        <w:rPr>
          <w:b/>
          <w:bCs/>
          <w:u w:val="single"/>
        </w:rPr>
        <w:t>arī cit</w:t>
      </w:r>
      <w:r>
        <w:rPr>
          <w:b/>
          <w:bCs/>
          <w:u w:val="single"/>
        </w:rPr>
        <w:t>i</w:t>
      </w:r>
      <w:r w:rsidRPr="00DA7EF4">
        <w:rPr>
          <w:b/>
          <w:bCs/>
          <w:u w:val="single"/>
        </w:rPr>
        <w:t xml:space="preserve"> pasākum</w:t>
      </w:r>
      <w:r>
        <w:rPr>
          <w:b/>
          <w:bCs/>
          <w:u w:val="single"/>
        </w:rPr>
        <w:t>i</w:t>
      </w:r>
      <w:r w:rsidRPr="00DA7EF4">
        <w:rPr>
          <w:b/>
          <w:bCs/>
          <w:u w:val="single"/>
        </w:rPr>
        <w:t xml:space="preserve">, kas uzskaitīti zemāk. </w:t>
      </w:r>
    </w:p>
    <w:p w14:paraId="25F53F7F" w14:textId="6E183BD7" w:rsidR="00725633" w:rsidRDefault="00725633" w:rsidP="00725633">
      <w:pPr>
        <w:pStyle w:val="ListParagraph"/>
        <w:numPr>
          <w:ilvl w:val="1"/>
          <w:numId w:val="9"/>
        </w:numPr>
        <w:tabs>
          <w:tab w:val="left" w:pos="1134"/>
        </w:tabs>
        <w:spacing w:before="120" w:line="240" w:lineRule="auto"/>
        <w:ind w:left="0" w:firstLine="709"/>
        <w:contextualSpacing w:val="0"/>
      </w:pPr>
      <w:r>
        <w:rPr>
          <w:b/>
          <w:bCs/>
        </w:rPr>
        <w:t>PVN</w:t>
      </w:r>
      <w:r w:rsidRPr="00D94630">
        <w:rPr>
          <w:b/>
          <w:bCs/>
        </w:rPr>
        <w:t xml:space="preserve"> samazinātā likme</w:t>
      </w:r>
      <w:r>
        <w:t xml:space="preserve"> 12% apmērā svaigiem augļiem, ogām un dārzeņiem tiks piemērota arī turpmāk. </w:t>
      </w:r>
    </w:p>
    <w:p w14:paraId="4C91B338" w14:textId="5DC2D087" w:rsidR="00725633" w:rsidRPr="00CB2191" w:rsidRDefault="00725633" w:rsidP="00725633">
      <w:pPr>
        <w:pStyle w:val="ListParagraph"/>
        <w:numPr>
          <w:ilvl w:val="1"/>
          <w:numId w:val="9"/>
        </w:numPr>
        <w:tabs>
          <w:tab w:val="left" w:pos="1134"/>
        </w:tabs>
        <w:spacing w:before="120" w:line="240" w:lineRule="auto"/>
        <w:ind w:left="0" w:firstLine="709"/>
        <w:contextualSpacing w:val="0"/>
      </w:pPr>
      <w:r>
        <w:t>L</w:t>
      </w:r>
      <w:r w:rsidRPr="004431D4">
        <w:t xml:space="preserve">īdz 2029. gadam </w:t>
      </w:r>
      <w:r>
        <w:t xml:space="preserve">pagarināts termiņš, kurā </w:t>
      </w:r>
      <w:r w:rsidRPr="004431D4">
        <w:t xml:space="preserve">ar </w:t>
      </w:r>
      <w:r>
        <w:t xml:space="preserve"> IIN</w:t>
      </w:r>
      <w:r w:rsidRPr="004431D4">
        <w:t xml:space="preserve"> apliekamajā ienākumā neiekļauj saņemtās summas, kas izmaksātas kā valsts atbalsts lauksaimniecībai vai </w:t>
      </w:r>
      <w:r>
        <w:t>ES</w:t>
      </w:r>
      <w:r w:rsidRPr="004431D4">
        <w:t xml:space="preserve"> atbalsts lauksaimniecībai un lauku attīstībai, </w:t>
      </w:r>
      <w:r>
        <w:t xml:space="preserve">kā arī noteikts atbrīvojums šajā termiņā arī </w:t>
      </w:r>
      <w:r w:rsidRPr="004431D4">
        <w:t>citiem pēc būtības un mērķa līdzvērtīgiem valsts institūciju veiktajiem atbalsta maksājumiem</w:t>
      </w:r>
      <w:r>
        <w:t>.</w:t>
      </w:r>
    </w:p>
    <w:p w14:paraId="0C953B25" w14:textId="77777777" w:rsidR="00725633" w:rsidRPr="00C44474" w:rsidRDefault="00725633" w:rsidP="00725633">
      <w:pPr>
        <w:pStyle w:val="ListParagraph"/>
        <w:numPr>
          <w:ilvl w:val="1"/>
          <w:numId w:val="9"/>
        </w:numPr>
        <w:tabs>
          <w:tab w:val="left" w:pos="1134"/>
        </w:tabs>
        <w:spacing w:before="120" w:line="240" w:lineRule="auto"/>
        <w:ind w:left="0" w:firstLine="709"/>
        <w:contextualSpacing w:val="0"/>
      </w:pPr>
      <w:r w:rsidRPr="00C44474">
        <w:rPr>
          <w:bCs/>
        </w:rPr>
        <w:t>Lai veicinātu darba ņēmēju mobilitāti, no 2025. gada</w:t>
      </w:r>
      <w:r w:rsidRPr="00C44474">
        <w:rPr>
          <w:b/>
        </w:rPr>
        <w:t xml:space="preserve"> tiek paplašināti atvieglojumi maksājumiem, ko darba devējs veic atbilstoši noslēgtajiem koplīgumiem</w:t>
      </w:r>
      <w:r w:rsidRPr="00C44474">
        <w:rPr>
          <w:bCs/>
        </w:rPr>
        <w:t xml:space="preserve"> par ārstniecības un ēdināšanas izdevumiem, ar pārcelšanās, izmitināšanas un transporta izdevumiem, nosakot maksimālo atbrīvojuma kopējo apmēru (vidējais darbinieku skaits, kas reizināts ar 700 </w:t>
      </w:r>
      <w:proofErr w:type="spellStart"/>
      <w:r w:rsidRPr="00C44474">
        <w:rPr>
          <w:bCs/>
          <w:i/>
          <w:iCs/>
        </w:rPr>
        <w:t>euro</w:t>
      </w:r>
      <w:proofErr w:type="spellEnd"/>
      <w:r w:rsidRPr="00C44474">
        <w:rPr>
          <w:bCs/>
        </w:rPr>
        <w:t xml:space="preserve"> taksācijas gadā).</w:t>
      </w:r>
    </w:p>
    <w:p w14:paraId="540ABF13" w14:textId="77777777" w:rsidR="00725633" w:rsidRDefault="00725633" w:rsidP="00725633">
      <w:pPr>
        <w:pStyle w:val="ListParagraph"/>
        <w:numPr>
          <w:ilvl w:val="1"/>
          <w:numId w:val="9"/>
        </w:numPr>
        <w:tabs>
          <w:tab w:val="left" w:pos="1134"/>
        </w:tabs>
        <w:spacing w:before="120" w:line="240" w:lineRule="auto"/>
        <w:ind w:left="0" w:firstLine="709"/>
        <w:contextualSpacing w:val="0"/>
      </w:pPr>
      <w:r w:rsidRPr="00C44474">
        <w:rPr>
          <w:rFonts w:cs="Times New Roman"/>
        </w:rPr>
        <w:t xml:space="preserve">Ņemot vērā dažādu preču un pakalpojumu cenu būtisku pieaugumu, </w:t>
      </w:r>
      <w:r w:rsidRPr="00C44474">
        <w:rPr>
          <w:rFonts w:cs="Times New Roman"/>
          <w:b/>
          <w:bCs/>
        </w:rPr>
        <w:t>tiks palielināts atvieglojumu apmēr</w:t>
      </w:r>
      <w:r>
        <w:rPr>
          <w:rFonts w:cs="Times New Roman"/>
          <w:b/>
          <w:bCs/>
        </w:rPr>
        <w:t>s</w:t>
      </w:r>
      <w:r w:rsidRPr="00C44474">
        <w:rPr>
          <w:rFonts w:cs="Times New Roman"/>
        </w:rPr>
        <w:t xml:space="preserve"> - ar 2025. gadu no IIN atbrīvojamā summa darba devēja piešķirtajam bērna piedzimšanas pabalstam un bēru pabalstam </w:t>
      </w:r>
      <w:r>
        <w:rPr>
          <w:rFonts w:cs="Times New Roman"/>
        </w:rPr>
        <w:t>būs</w:t>
      </w:r>
      <w:r w:rsidRPr="00C44474">
        <w:rPr>
          <w:rFonts w:cs="Times New Roman"/>
        </w:rPr>
        <w:t xml:space="preserve"> 500 </w:t>
      </w:r>
      <w:proofErr w:type="spellStart"/>
      <w:r w:rsidRPr="00C44474">
        <w:rPr>
          <w:rFonts w:cs="Times New Roman"/>
          <w:i/>
          <w:iCs/>
        </w:rPr>
        <w:t>euro</w:t>
      </w:r>
      <w:proofErr w:type="spellEnd"/>
      <w:r w:rsidRPr="00C44474">
        <w:rPr>
          <w:rFonts w:cs="Times New Roman"/>
        </w:rPr>
        <w:t xml:space="preserve">, savukārt darba devēja dāvanu apmērs - 100 </w:t>
      </w:r>
      <w:proofErr w:type="spellStart"/>
      <w:r w:rsidRPr="00C44474">
        <w:rPr>
          <w:rFonts w:cs="Times New Roman"/>
          <w:i/>
          <w:iCs/>
        </w:rPr>
        <w:t>euro</w:t>
      </w:r>
      <w:proofErr w:type="spellEnd"/>
      <w:r w:rsidRPr="00C44474">
        <w:rPr>
          <w:rFonts w:cs="Times New Roman"/>
        </w:rPr>
        <w:t xml:space="preserve"> taksācijas gadā</w:t>
      </w:r>
      <w:r>
        <w:rPr>
          <w:rFonts w:cs="Times New Roman"/>
        </w:rPr>
        <w:t>. Tāpat</w:t>
      </w:r>
      <w:r w:rsidRPr="00C44474">
        <w:rPr>
          <w:rFonts w:cs="Times New Roman"/>
        </w:rPr>
        <w:t xml:space="preserve"> </w:t>
      </w:r>
      <w:r>
        <w:t xml:space="preserve">ar 2025. gadu tiks vienādots IIN atbrīvojuma apmērs par konkursos un sacensībās saņemtajām mantiskajām un naudas balvām (prēmijām) un tam tiks noteikts vienots atbrīvojuma apmēra limits 1 500 </w:t>
      </w:r>
      <w:proofErr w:type="spellStart"/>
      <w:r w:rsidRPr="00C44474">
        <w:rPr>
          <w:i/>
        </w:rPr>
        <w:t>euro</w:t>
      </w:r>
      <w:proofErr w:type="spellEnd"/>
      <w:r w:rsidRPr="00C44474">
        <w:rPr>
          <w:i/>
        </w:rPr>
        <w:t xml:space="preserve"> </w:t>
      </w:r>
      <w:r>
        <w:t>gadā.</w:t>
      </w:r>
      <w:r w:rsidRPr="00ED3008">
        <w:t xml:space="preserve"> </w:t>
      </w:r>
    </w:p>
    <w:p w14:paraId="3B51246E" w14:textId="77777777" w:rsidR="00725633" w:rsidRDefault="00725633" w:rsidP="00725633">
      <w:pPr>
        <w:pStyle w:val="ListParagraph"/>
        <w:numPr>
          <w:ilvl w:val="1"/>
          <w:numId w:val="9"/>
        </w:numPr>
        <w:tabs>
          <w:tab w:val="left" w:pos="1134"/>
        </w:tabs>
        <w:spacing w:before="120" w:line="240" w:lineRule="auto"/>
        <w:ind w:left="0" w:firstLine="709"/>
        <w:contextualSpacing w:val="0"/>
      </w:pPr>
      <w:r w:rsidRPr="00ED3008">
        <w:t>Pārejot no šobrīd esošās IIN pamatlikmes 20% uz 25,5%, pieaugs attaisnoto izdevumu atmaksājamie apjomi</w:t>
      </w:r>
      <w:r>
        <w:t>, kā arī p</w:t>
      </w:r>
      <w:r w:rsidRPr="00ED3008">
        <w:t xml:space="preserve">ieaugs summārais ieguvums no IIN attaisnoto izdevumu atgūšanas – tā piemēram, šobrīd, iesniedzot attaisnotos izdevumus par izglītību, ārstniecības pakalpojumiem un ziedojumiem, vienai personai no budžeta tiek atmaksāti maksimāli 120 </w:t>
      </w:r>
      <w:proofErr w:type="spellStart"/>
      <w:r w:rsidRPr="00C44474">
        <w:rPr>
          <w:i/>
          <w:iCs/>
        </w:rPr>
        <w:t>euro</w:t>
      </w:r>
      <w:proofErr w:type="spellEnd"/>
      <w:r w:rsidRPr="00ED3008">
        <w:t xml:space="preserve"> gadā (600 </w:t>
      </w:r>
      <w:proofErr w:type="spellStart"/>
      <w:r w:rsidRPr="00C44474">
        <w:rPr>
          <w:i/>
          <w:iCs/>
        </w:rPr>
        <w:t>euro</w:t>
      </w:r>
      <w:proofErr w:type="spellEnd"/>
      <w:r w:rsidRPr="00ED3008">
        <w:t xml:space="preserve"> gadā x 20%), </w:t>
      </w:r>
      <w:r>
        <w:t xml:space="preserve">savukārt </w:t>
      </w:r>
      <w:r w:rsidRPr="00ED3008">
        <w:t xml:space="preserve">ar jauno IIN pamatlikmi tie būs maksimāli 153 </w:t>
      </w:r>
      <w:proofErr w:type="spellStart"/>
      <w:r w:rsidRPr="00C44474">
        <w:rPr>
          <w:i/>
          <w:iCs/>
        </w:rPr>
        <w:t>euro</w:t>
      </w:r>
      <w:proofErr w:type="spellEnd"/>
      <w:r w:rsidRPr="00C44474">
        <w:rPr>
          <w:i/>
          <w:iCs/>
        </w:rPr>
        <w:t xml:space="preserve"> </w:t>
      </w:r>
      <w:r w:rsidRPr="00ED3008">
        <w:t>gadā (600 </w:t>
      </w:r>
      <w:proofErr w:type="spellStart"/>
      <w:r w:rsidRPr="00C44474">
        <w:rPr>
          <w:i/>
          <w:iCs/>
        </w:rPr>
        <w:t>euro</w:t>
      </w:r>
      <w:proofErr w:type="spellEnd"/>
      <w:r w:rsidRPr="00ED3008">
        <w:t xml:space="preserve"> gadā x 25,5%).</w:t>
      </w:r>
    </w:p>
    <w:p w14:paraId="32EF5259" w14:textId="77777777" w:rsidR="00725633" w:rsidRDefault="00725633" w:rsidP="00725633">
      <w:pPr>
        <w:pStyle w:val="ListParagraph"/>
        <w:numPr>
          <w:ilvl w:val="1"/>
          <w:numId w:val="9"/>
        </w:numPr>
        <w:tabs>
          <w:tab w:val="left" w:pos="1134"/>
        </w:tabs>
        <w:spacing w:before="120" w:line="240" w:lineRule="auto"/>
        <w:ind w:left="0" w:firstLine="709"/>
        <w:contextualSpacing w:val="0"/>
      </w:pPr>
      <w:r>
        <w:t xml:space="preserve">Tiks </w:t>
      </w:r>
      <w:r w:rsidRPr="00C44474">
        <w:rPr>
          <w:b/>
          <w:bCs/>
        </w:rPr>
        <w:t xml:space="preserve">vienkāršota </w:t>
      </w:r>
      <w:proofErr w:type="spellStart"/>
      <w:r w:rsidRPr="00C44474">
        <w:rPr>
          <w:b/>
          <w:bCs/>
        </w:rPr>
        <w:t>Mikrouzņēmumu</w:t>
      </w:r>
      <w:proofErr w:type="spellEnd"/>
      <w:r w:rsidRPr="00C44474">
        <w:rPr>
          <w:b/>
          <w:bCs/>
        </w:rPr>
        <w:t xml:space="preserve"> nodokļa</w:t>
      </w:r>
      <w:r>
        <w:t xml:space="preserve"> piemērošanas kārtība, precizējot regulējumu un atceļot atsevišķus ierobežojumus. </w:t>
      </w:r>
    </w:p>
    <w:p w14:paraId="2236F7A0" w14:textId="77777777" w:rsidR="00725633" w:rsidRDefault="00725633" w:rsidP="00725633">
      <w:pPr>
        <w:pStyle w:val="ListParagraph"/>
        <w:numPr>
          <w:ilvl w:val="1"/>
          <w:numId w:val="9"/>
        </w:numPr>
        <w:tabs>
          <w:tab w:val="left" w:pos="1134"/>
        </w:tabs>
        <w:spacing w:before="120" w:line="240" w:lineRule="auto"/>
        <w:ind w:left="0" w:firstLine="709"/>
        <w:contextualSpacing w:val="0"/>
      </w:pPr>
      <w:r>
        <w:t>V</w:t>
      </w:r>
      <w:r w:rsidRPr="00F67DE5">
        <w:t xml:space="preserve">ecāku pabalsta saņēmējam, kurš bērna kopšanas laikā ir nodarbināts un neatrodas bērna kopšanas atvaļinājumā vai bērna kopšanas laikā gūst ienākumus kā </w:t>
      </w:r>
      <w:proofErr w:type="spellStart"/>
      <w:r w:rsidRPr="00F67DE5">
        <w:t>pašnodarbinātais</w:t>
      </w:r>
      <w:proofErr w:type="spellEnd"/>
      <w:r w:rsidRPr="00F67DE5">
        <w:t>, 2025.</w:t>
      </w:r>
      <w:r>
        <w:t> </w:t>
      </w:r>
      <w:r w:rsidRPr="00F67DE5">
        <w:t>gadā vecāku pabalstu izmaksā</w:t>
      </w:r>
      <w:r>
        <w:t>s</w:t>
      </w:r>
      <w:r w:rsidRPr="00F67DE5">
        <w:t xml:space="preserve"> 75% (šobrīd 50%) apmērā no piešķirtā vecāku pabalsta apmēra, bet pārējos gados apmērs tiks noteiks pēc </w:t>
      </w:r>
      <w:proofErr w:type="spellStart"/>
      <w:r w:rsidRPr="00F67DE5">
        <w:t>izvērtējuma</w:t>
      </w:r>
      <w:proofErr w:type="spellEnd"/>
      <w:r w:rsidRPr="00F67DE5">
        <w:t xml:space="preserve"> par nepieciešamību saglabāt 75% apmēru.</w:t>
      </w:r>
    </w:p>
    <w:p w14:paraId="31C6800E" w14:textId="77777777" w:rsidR="00725633" w:rsidRPr="00F67DE5" w:rsidRDefault="00725633" w:rsidP="00725633">
      <w:pPr>
        <w:pStyle w:val="ListParagraph"/>
        <w:numPr>
          <w:ilvl w:val="1"/>
          <w:numId w:val="9"/>
        </w:numPr>
        <w:tabs>
          <w:tab w:val="left" w:pos="1134"/>
        </w:tabs>
        <w:spacing w:before="120" w:after="240" w:line="240" w:lineRule="auto"/>
        <w:ind w:left="0" w:firstLine="709"/>
        <w:contextualSpacing w:val="0"/>
      </w:pPr>
      <w:r>
        <w:rPr>
          <w:szCs w:val="24"/>
        </w:rPr>
        <w:t>L</w:t>
      </w:r>
      <w:r w:rsidRPr="00E40B9F">
        <w:rPr>
          <w:szCs w:val="24"/>
        </w:rPr>
        <w:t>īdz 2027. gada 31. decembrim pagarināts laika period</w:t>
      </w:r>
      <w:r>
        <w:rPr>
          <w:szCs w:val="24"/>
        </w:rPr>
        <w:t>s</w:t>
      </w:r>
      <w:r w:rsidRPr="00E40B9F">
        <w:rPr>
          <w:szCs w:val="24"/>
        </w:rPr>
        <w:t xml:space="preserve">, kura ietvaros autoratlīdzības saņēmējiem ir iespēja nereģistrēties kā saimnieciskās darbības veicējiem, bet ienākuma izmaksātājs </w:t>
      </w:r>
      <w:r>
        <w:rPr>
          <w:szCs w:val="24"/>
        </w:rPr>
        <w:t xml:space="preserve">nodokli </w:t>
      </w:r>
      <w:r w:rsidRPr="00E40B9F">
        <w:rPr>
          <w:szCs w:val="24"/>
        </w:rPr>
        <w:t xml:space="preserve"> ietur ienākuma gūšanas vietā</w:t>
      </w:r>
      <w:r>
        <w:rPr>
          <w:szCs w:val="24"/>
        </w:rPr>
        <w:t xml:space="preserve">. </w:t>
      </w:r>
    </w:p>
    <w:p w14:paraId="272B6524" w14:textId="77777777" w:rsidR="00725633" w:rsidRPr="00DA7EF4" w:rsidRDefault="00725633" w:rsidP="00725633">
      <w:pPr>
        <w:pStyle w:val="ListParagraph"/>
        <w:numPr>
          <w:ilvl w:val="0"/>
          <w:numId w:val="7"/>
        </w:numPr>
        <w:tabs>
          <w:tab w:val="left" w:pos="1134"/>
        </w:tabs>
        <w:spacing w:before="120" w:line="240" w:lineRule="auto"/>
        <w:ind w:left="0" w:firstLine="709"/>
        <w:rPr>
          <w:b/>
          <w:bCs/>
          <w:u w:val="single"/>
        </w:rPr>
      </w:pPr>
      <w:r w:rsidRPr="00DA7EF4">
        <w:rPr>
          <w:b/>
          <w:bCs/>
          <w:u w:val="single"/>
        </w:rPr>
        <w:t>Nodokļu politikas pārskatīšanas scenārijs paredz arī virkni kompensējošo pasākumu, kuri uzskaitīti zemāk.</w:t>
      </w:r>
    </w:p>
    <w:p w14:paraId="46D3D791" w14:textId="77777777" w:rsidR="00725633" w:rsidRDefault="00725633" w:rsidP="00725633">
      <w:pPr>
        <w:pStyle w:val="ListParagraph"/>
        <w:numPr>
          <w:ilvl w:val="1"/>
          <w:numId w:val="10"/>
        </w:numPr>
        <w:tabs>
          <w:tab w:val="left" w:pos="1134"/>
        </w:tabs>
        <w:spacing w:before="120" w:line="240" w:lineRule="auto"/>
        <w:ind w:left="0" w:firstLine="709"/>
      </w:pPr>
      <w:r w:rsidRPr="003A3865">
        <w:t xml:space="preserve">Lai </w:t>
      </w:r>
      <w:r>
        <w:t>sekmētu</w:t>
      </w:r>
      <w:r w:rsidRPr="003A3865">
        <w:t xml:space="preserve"> Eiropas Savienības </w:t>
      </w:r>
      <w:proofErr w:type="spellStart"/>
      <w:r w:rsidRPr="003A3865">
        <w:t>klimatneitralitātes</w:t>
      </w:r>
      <w:proofErr w:type="spellEnd"/>
      <w:r w:rsidRPr="003A3865">
        <w:t xml:space="preserve"> mērķu </w:t>
      </w:r>
      <w:r>
        <w:t>sasniegšanu</w:t>
      </w:r>
      <w:r w:rsidRPr="003A3865">
        <w:t xml:space="preserve">, </w:t>
      </w:r>
      <w:r w:rsidRPr="00C44474">
        <w:rPr>
          <w:b/>
          <w:bCs/>
        </w:rPr>
        <w:t>pakāpeniski tiks paaugstinātas akcīzes nodokļa likmes</w:t>
      </w:r>
      <w:r w:rsidRPr="003A3865">
        <w:t xml:space="preserve"> degvielai, </w:t>
      </w:r>
      <w:r>
        <w:t>ņemot vērā atbilstošā degvielas veida</w:t>
      </w:r>
      <w:r w:rsidRPr="003A3865">
        <w:t xml:space="preserve"> CO</w:t>
      </w:r>
      <w:r w:rsidRPr="00D72B86">
        <w:rPr>
          <w:vertAlign w:val="subscript"/>
        </w:rPr>
        <w:t>2</w:t>
      </w:r>
      <w:r w:rsidRPr="003A3865">
        <w:t xml:space="preserve"> komponenti</w:t>
      </w:r>
      <w:r>
        <w:t>:</w:t>
      </w:r>
      <w:r w:rsidRPr="003A3865">
        <w:t xml:space="preserve"> 2025. gadā 10 </w:t>
      </w:r>
      <w:r w:rsidRPr="00C44474">
        <w:rPr>
          <w:i/>
          <w:iCs/>
        </w:rPr>
        <w:t xml:space="preserve"> </w:t>
      </w:r>
      <w:proofErr w:type="spellStart"/>
      <w:r w:rsidRPr="00C44474">
        <w:rPr>
          <w:i/>
          <w:iCs/>
        </w:rPr>
        <w:t>euro</w:t>
      </w:r>
      <w:proofErr w:type="spellEnd"/>
      <w:r w:rsidRPr="003A3865">
        <w:t xml:space="preserve"> par 1 tonnu CO</w:t>
      </w:r>
      <w:r w:rsidRPr="00D72B86">
        <w:rPr>
          <w:vertAlign w:val="subscript"/>
        </w:rPr>
        <w:t>2</w:t>
      </w:r>
      <w:r w:rsidRPr="003A3865">
        <w:t xml:space="preserve"> un 2026. gadā 20 </w:t>
      </w:r>
      <w:r w:rsidRPr="00C44474">
        <w:rPr>
          <w:i/>
          <w:iCs/>
        </w:rPr>
        <w:t xml:space="preserve"> </w:t>
      </w:r>
      <w:proofErr w:type="spellStart"/>
      <w:r w:rsidRPr="00C44474">
        <w:rPr>
          <w:i/>
          <w:iCs/>
        </w:rPr>
        <w:t>euro</w:t>
      </w:r>
      <w:proofErr w:type="spellEnd"/>
      <w:r w:rsidRPr="003A3865">
        <w:t xml:space="preserve"> par 1 tonnu CO</w:t>
      </w:r>
      <w:r w:rsidRPr="00D72B86">
        <w:rPr>
          <w:vertAlign w:val="subscript"/>
        </w:rPr>
        <w:t>2</w:t>
      </w:r>
      <w:r w:rsidRPr="003A3865">
        <w:t>.</w:t>
      </w:r>
    </w:p>
    <w:p w14:paraId="4801A613" w14:textId="77777777" w:rsidR="00725633" w:rsidRDefault="00725633" w:rsidP="00725633">
      <w:pPr>
        <w:pStyle w:val="ListParagraph"/>
        <w:numPr>
          <w:ilvl w:val="1"/>
          <w:numId w:val="10"/>
        </w:numPr>
        <w:tabs>
          <w:tab w:val="left" w:pos="1134"/>
        </w:tabs>
        <w:spacing w:before="120" w:line="240" w:lineRule="auto"/>
        <w:ind w:left="0" w:firstLine="709"/>
      </w:pPr>
      <w:r>
        <w:rPr>
          <w:b/>
          <w:bCs/>
        </w:rPr>
        <w:t>Līdzīgi p</w:t>
      </w:r>
      <w:r w:rsidRPr="00C44474">
        <w:rPr>
          <w:b/>
          <w:bCs/>
        </w:rPr>
        <w:t>lānots pakāpeniski paaugstināt AN likmes degvielai, dabasgāzei un naftas gāzēm, ko izmanto par kurināmo</w:t>
      </w:r>
      <w:r>
        <w:t>.</w:t>
      </w:r>
      <w:r w:rsidRPr="0000387E">
        <w:t xml:space="preserve"> </w:t>
      </w:r>
      <w:r>
        <w:t xml:space="preserve">AN likmes kurināmajam nav pārskatītas kopš 2021. gada. </w:t>
      </w:r>
    </w:p>
    <w:p w14:paraId="024CFCED" w14:textId="77777777" w:rsidR="00725633" w:rsidRDefault="00725633" w:rsidP="00725633">
      <w:pPr>
        <w:pStyle w:val="ListParagraph"/>
        <w:numPr>
          <w:ilvl w:val="1"/>
          <w:numId w:val="10"/>
        </w:numPr>
        <w:tabs>
          <w:tab w:val="left" w:pos="1134"/>
        </w:tabs>
        <w:spacing w:before="120" w:line="240" w:lineRule="auto"/>
        <w:ind w:left="0" w:firstLine="709"/>
      </w:pPr>
      <w:r w:rsidRPr="00931421">
        <w:t xml:space="preserve">Tā kā dabasgāzei, kuru izmanto elektroenerģijas ražošanā un koģenerācijā netiek piemērots AN atbrīvojums, </w:t>
      </w:r>
      <w:r>
        <w:t>ir paredzēts</w:t>
      </w:r>
      <w:r w:rsidRPr="003A3865">
        <w:t xml:space="preserve"> atcelt </w:t>
      </w:r>
      <w:r>
        <w:t>AN</w:t>
      </w:r>
      <w:r w:rsidRPr="003A3865">
        <w:t xml:space="preserve"> atbrīvojumu naftas produktiem, ko izmanto elektroenerģijas ražošanā un koģenerācijā, nosakot </w:t>
      </w:r>
      <w:r>
        <w:t>AN</w:t>
      </w:r>
      <w:r w:rsidRPr="003A3865">
        <w:t xml:space="preserve"> likmi kā naftas produktiem, kurus izmanto kā kurināmo.</w:t>
      </w:r>
    </w:p>
    <w:p w14:paraId="5E8FB14A" w14:textId="77777777" w:rsidR="00725633" w:rsidRDefault="00725633" w:rsidP="00725633">
      <w:pPr>
        <w:pStyle w:val="ListParagraph"/>
        <w:numPr>
          <w:ilvl w:val="1"/>
          <w:numId w:val="10"/>
        </w:numPr>
        <w:tabs>
          <w:tab w:val="left" w:pos="1134"/>
        </w:tabs>
        <w:spacing w:before="120" w:line="240" w:lineRule="auto"/>
        <w:ind w:left="0" w:firstLine="709"/>
      </w:pPr>
      <w:r w:rsidRPr="003A3865">
        <w:lastRenderedPageBreak/>
        <w:t xml:space="preserve">Tāpat no 2025. gada paredzēts </w:t>
      </w:r>
      <w:r w:rsidRPr="00C44474">
        <w:rPr>
          <w:b/>
          <w:bCs/>
        </w:rPr>
        <w:t>paaugstināt akcīzes nodokļa likmi bezalkoholiskajiem dzērieniem</w:t>
      </w:r>
      <w:r w:rsidRPr="003A3865">
        <w:t xml:space="preserve"> ar cukura saturu līdz 8 g</w:t>
      </w:r>
      <w:r>
        <w:t xml:space="preserve"> (neieskaitot)</w:t>
      </w:r>
      <w:r w:rsidRPr="003A3865">
        <w:t xml:space="preserve"> uz 100 ml no 7,4 </w:t>
      </w:r>
      <w:r w:rsidRPr="00C44474">
        <w:rPr>
          <w:i/>
          <w:iCs/>
        </w:rPr>
        <w:t xml:space="preserve"> </w:t>
      </w:r>
      <w:proofErr w:type="spellStart"/>
      <w:r w:rsidRPr="00C44474">
        <w:rPr>
          <w:i/>
          <w:iCs/>
        </w:rPr>
        <w:t>euro</w:t>
      </w:r>
      <w:proofErr w:type="spellEnd"/>
      <w:r w:rsidRPr="003A3865">
        <w:t xml:space="preserve"> par 100 litriem līdz 11,0 </w:t>
      </w:r>
      <w:r w:rsidRPr="00C44474">
        <w:rPr>
          <w:i/>
          <w:iCs/>
        </w:rPr>
        <w:t xml:space="preserve"> </w:t>
      </w:r>
      <w:proofErr w:type="spellStart"/>
      <w:r w:rsidRPr="00C44474">
        <w:rPr>
          <w:i/>
          <w:iCs/>
        </w:rPr>
        <w:t>euro</w:t>
      </w:r>
      <w:proofErr w:type="spellEnd"/>
      <w:r w:rsidRPr="003A3865">
        <w:t xml:space="preserve"> par 100 litriem. </w:t>
      </w:r>
    </w:p>
    <w:p w14:paraId="49914FA2" w14:textId="77777777" w:rsidR="00725633" w:rsidRDefault="00725633" w:rsidP="00725633">
      <w:pPr>
        <w:pStyle w:val="ListParagraph"/>
        <w:numPr>
          <w:ilvl w:val="1"/>
          <w:numId w:val="10"/>
        </w:numPr>
        <w:tabs>
          <w:tab w:val="left" w:pos="1134"/>
        </w:tabs>
        <w:spacing w:before="120" w:line="240" w:lineRule="auto"/>
        <w:ind w:left="0" w:firstLine="709"/>
      </w:pPr>
      <w:r w:rsidRPr="003A3865">
        <w:t xml:space="preserve">No 2027. gada, paredzēts </w:t>
      </w:r>
      <w:r>
        <w:t xml:space="preserve">turpināt </w:t>
      </w:r>
      <w:r w:rsidRPr="00C44474">
        <w:rPr>
          <w:b/>
          <w:bCs/>
        </w:rPr>
        <w:t>paaugstināt akcīzes nodokļa likmi arī alkoholiskajiem dzērieniem</w:t>
      </w:r>
      <w:r w:rsidRPr="003A3865">
        <w:t xml:space="preserve">, tostarp alum. </w:t>
      </w:r>
    </w:p>
    <w:p w14:paraId="66A8CBF9" w14:textId="77777777" w:rsidR="00725633" w:rsidRDefault="00725633" w:rsidP="00725633">
      <w:pPr>
        <w:pStyle w:val="ListParagraph"/>
        <w:numPr>
          <w:ilvl w:val="1"/>
          <w:numId w:val="10"/>
        </w:numPr>
        <w:tabs>
          <w:tab w:val="left" w:pos="1134"/>
        </w:tabs>
        <w:spacing w:before="120" w:line="240" w:lineRule="auto"/>
        <w:ind w:left="0" w:firstLine="709"/>
      </w:pPr>
      <w:r>
        <w:t>No 2027. gada plānota tālāka a</w:t>
      </w:r>
      <w:r w:rsidRPr="00931421">
        <w:t>kcīzes nodokļa likmju paaugstināšana tabakas izstrādājumiem un pēc izmantošanas mērķa līdzīgiem produktiem</w:t>
      </w:r>
      <w:r>
        <w:t xml:space="preserve">. </w:t>
      </w:r>
      <w:r w:rsidRPr="00931421">
        <w:t xml:space="preserve">Šobrīd ir spēkā trīs gadu AN paaugstināšanas tabakas izstrādājumiem un pēc izmantošanas mērķa līdzīgiem produktiem grafiks līdz 2026. gadam, pēc  kura plānots arī turpmāks likmju paaugstinājums </w:t>
      </w:r>
      <w:r w:rsidRPr="00C44474">
        <w:rPr>
          <w:b/>
          <w:bCs/>
        </w:rPr>
        <w:t>vidēji</w:t>
      </w:r>
      <w:r w:rsidRPr="00931421">
        <w:t xml:space="preserve"> par </w:t>
      </w:r>
      <w:r w:rsidRPr="00C44474">
        <w:rPr>
          <w:b/>
          <w:bCs/>
        </w:rPr>
        <w:t>10 procentiem</w:t>
      </w:r>
      <w:r w:rsidRPr="00931421">
        <w:t xml:space="preserve">. </w:t>
      </w:r>
    </w:p>
    <w:p w14:paraId="74A5EC4A" w14:textId="77777777" w:rsidR="00725633" w:rsidRDefault="00725633" w:rsidP="00725633">
      <w:pPr>
        <w:pStyle w:val="ListParagraph"/>
        <w:numPr>
          <w:ilvl w:val="1"/>
          <w:numId w:val="10"/>
        </w:numPr>
        <w:tabs>
          <w:tab w:val="left" w:pos="1134"/>
        </w:tabs>
        <w:spacing w:before="120" w:line="240" w:lineRule="auto"/>
        <w:ind w:left="0" w:firstLine="709"/>
      </w:pPr>
      <w:r w:rsidRPr="003A3865">
        <w:t>Paredzēti arī grozījumi Transportlīdzekļa ekspluatācijas nodokļa un uzņēmumu vieglo transportlīdzekļu nodokļa likumā, paredzot palielināt visas transportlīdzekļa ekspluatācijas nodokļa likmes vidēji par 10%, sākot no 2025. gada, noteikt transportlīdzekļa ekspluatācijas nodokļa samaksas termiņu – kalendārajam gadam sekojošā gada 31. janvāri un palielināt uzņēmumu vieglo transportlīdzekļu nodokļa likmes vidēji par 10%, sākot no 2027. gada.</w:t>
      </w:r>
    </w:p>
    <w:p w14:paraId="1C66D51C" w14:textId="77777777" w:rsidR="00725633" w:rsidRDefault="00725633" w:rsidP="00725633">
      <w:pPr>
        <w:pStyle w:val="ListParagraph"/>
        <w:numPr>
          <w:ilvl w:val="1"/>
          <w:numId w:val="10"/>
        </w:numPr>
        <w:tabs>
          <w:tab w:val="left" w:pos="1134"/>
        </w:tabs>
        <w:spacing w:before="120" w:line="240" w:lineRule="auto"/>
        <w:ind w:left="0" w:firstLine="709"/>
      </w:pPr>
      <w:r w:rsidRPr="003A3865">
        <w:t xml:space="preserve">Sākot ar 2025. gadu paredzēts paaugstināt izložu nodokļa likmi līdz 15% un paaugstināt azartspēļu nodevu par azartspēļu organizēšanas licences </w:t>
      </w:r>
      <w:proofErr w:type="spellStart"/>
      <w:r w:rsidRPr="003A3865">
        <w:t>pārreģistrāciju</w:t>
      </w:r>
      <w:proofErr w:type="spellEnd"/>
      <w:r w:rsidRPr="003A3865">
        <w:t xml:space="preserve"> līdz 45 000 </w:t>
      </w:r>
      <w:r w:rsidRPr="00C44474">
        <w:rPr>
          <w:i/>
          <w:iCs/>
        </w:rPr>
        <w:t xml:space="preserve"> </w:t>
      </w:r>
      <w:proofErr w:type="spellStart"/>
      <w:r w:rsidRPr="00C44474">
        <w:rPr>
          <w:i/>
          <w:iCs/>
        </w:rPr>
        <w:t>euro</w:t>
      </w:r>
      <w:proofErr w:type="spellEnd"/>
      <w:r w:rsidRPr="003A3865">
        <w:t xml:space="preserve"> par katru kārtējo gadu. Savukārt, sākot ar 2027. gadu, paredzēts paaugstināt</w:t>
      </w:r>
      <w:r>
        <w:t xml:space="preserve"> </w:t>
      </w:r>
      <w:r w:rsidRPr="003A3865">
        <w:t>azartspēļu nodokļa likm</w:t>
      </w:r>
      <w:r>
        <w:t>es par 20%.</w:t>
      </w:r>
    </w:p>
    <w:p w14:paraId="300A6153" w14:textId="77777777" w:rsidR="00725633" w:rsidRDefault="00725633" w:rsidP="00725633">
      <w:pPr>
        <w:pStyle w:val="ListParagraph"/>
        <w:numPr>
          <w:ilvl w:val="1"/>
          <w:numId w:val="10"/>
        </w:numPr>
        <w:tabs>
          <w:tab w:val="left" w:pos="1134"/>
        </w:tabs>
        <w:spacing w:before="120" w:line="240" w:lineRule="auto"/>
        <w:ind w:left="0" w:firstLine="709"/>
      </w:pPr>
      <w:r>
        <w:t>Tiks palielinātas d</w:t>
      </w:r>
      <w:r w:rsidRPr="00931421">
        <w:t xml:space="preserve">abas resursu nodokļa </w:t>
      </w:r>
      <w:r>
        <w:t xml:space="preserve">(DRN) </w:t>
      </w:r>
      <w:r w:rsidRPr="00C44474">
        <w:rPr>
          <w:bCs/>
        </w:rPr>
        <w:t xml:space="preserve">likmes akmeņoglēm, koksam un </w:t>
      </w:r>
      <w:proofErr w:type="spellStart"/>
      <w:r w:rsidRPr="00C44474">
        <w:rPr>
          <w:bCs/>
        </w:rPr>
        <w:t>lignītam</w:t>
      </w:r>
      <w:proofErr w:type="spellEnd"/>
      <w:r>
        <w:rPr>
          <w:bCs/>
        </w:rPr>
        <w:t>,</w:t>
      </w:r>
      <w:r w:rsidRPr="00C44474">
        <w:rPr>
          <w:bCs/>
        </w:rPr>
        <w:t xml:space="preserve"> </w:t>
      </w:r>
      <w:r>
        <w:t xml:space="preserve">līdz 0,9 </w:t>
      </w:r>
      <w:proofErr w:type="spellStart"/>
      <w:r w:rsidRPr="00D72B86">
        <w:rPr>
          <w:i/>
          <w:iCs/>
        </w:rPr>
        <w:t>euro</w:t>
      </w:r>
      <w:proofErr w:type="spellEnd"/>
      <w:r>
        <w:t xml:space="preserve"> par GJ no 2025. gada un līdz 1</w:t>
      </w:r>
      <w:r w:rsidRPr="00C00D53">
        <w:t xml:space="preserve"> </w:t>
      </w:r>
      <w:proofErr w:type="spellStart"/>
      <w:r w:rsidRPr="00D72B86">
        <w:rPr>
          <w:i/>
          <w:iCs/>
        </w:rPr>
        <w:t>euro</w:t>
      </w:r>
      <w:proofErr w:type="spellEnd"/>
      <w:r>
        <w:t xml:space="preserve"> par GJ no 2027. gada . </w:t>
      </w:r>
      <w:bookmarkStart w:id="48" w:name="_Hlk176785962"/>
    </w:p>
    <w:p w14:paraId="194471F0" w14:textId="77777777" w:rsidR="00725633" w:rsidRDefault="00725633" w:rsidP="00725633">
      <w:pPr>
        <w:pStyle w:val="ListParagraph"/>
        <w:numPr>
          <w:ilvl w:val="1"/>
          <w:numId w:val="10"/>
        </w:numPr>
        <w:tabs>
          <w:tab w:val="left" w:pos="1134"/>
        </w:tabs>
        <w:spacing w:before="120" w:line="240" w:lineRule="auto"/>
        <w:ind w:left="0" w:firstLine="709"/>
      </w:pPr>
      <w:r>
        <w:t>Ir precizēta i</w:t>
      </w:r>
      <w:r w:rsidRPr="00185D9B">
        <w:t xml:space="preserve">eņēmumu no konfiscēto noziedzīgi iegūto līdzekļu realizācijas </w:t>
      </w:r>
      <w:bookmarkEnd w:id="48"/>
      <w:r>
        <w:t xml:space="preserve">prognoze </w:t>
      </w:r>
      <w:r w:rsidRPr="00185D9B">
        <w:t>atbilstoši saņemto dokumentu plūsmai un pusgadā saņemtajiem ieņēmumiem</w:t>
      </w:r>
      <w:r>
        <w:t xml:space="preserve">. </w:t>
      </w:r>
      <w:r w:rsidRPr="00185D9B">
        <w:t xml:space="preserve"> </w:t>
      </w:r>
    </w:p>
    <w:p w14:paraId="3A1BDD55" w14:textId="5C1F5801" w:rsidR="00725633" w:rsidRDefault="00725633" w:rsidP="00725633">
      <w:pPr>
        <w:pStyle w:val="ListParagraph"/>
        <w:numPr>
          <w:ilvl w:val="1"/>
          <w:numId w:val="10"/>
        </w:numPr>
        <w:tabs>
          <w:tab w:val="left" w:pos="1134"/>
        </w:tabs>
        <w:spacing w:before="120" w:after="360" w:line="240" w:lineRule="auto"/>
        <w:ind w:left="0" w:firstLine="709"/>
      </w:pPr>
      <w:r>
        <w:t xml:space="preserve">Ir paredzēta IIN likmes izlīdzināšana pārējiem ienākumiem. Tā kā IIN pirmā likme tiek paaugstināta no 20% uz 25,5%, tad arī citiem ienākumu veidiem IIN likme tiek paaugstināta uz 25,5%, kam līdz šim piemēroja IIN 20% likmi. </w:t>
      </w:r>
    </w:p>
    <w:p w14:paraId="7FCBB8C1" w14:textId="77777777" w:rsidR="00725633" w:rsidRDefault="00725633" w:rsidP="00725633">
      <w:pPr>
        <w:pStyle w:val="ListParagraph"/>
        <w:tabs>
          <w:tab w:val="left" w:pos="1134"/>
        </w:tabs>
        <w:spacing w:after="0" w:line="240" w:lineRule="auto"/>
        <w:ind w:left="709" w:firstLine="0"/>
      </w:pPr>
    </w:p>
    <w:p w14:paraId="6A904595" w14:textId="77777777" w:rsidR="00725633" w:rsidRPr="00C44474" w:rsidRDefault="00725633" w:rsidP="00725633">
      <w:pPr>
        <w:pStyle w:val="ListParagraph"/>
        <w:numPr>
          <w:ilvl w:val="0"/>
          <w:numId w:val="7"/>
        </w:numPr>
        <w:tabs>
          <w:tab w:val="left" w:pos="1134"/>
        </w:tabs>
        <w:spacing w:before="240" w:line="240" w:lineRule="auto"/>
        <w:ind w:left="0" w:firstLine="709"/>
      </w:pPr>
      <w:r w:rsidRPr="00DA7EF4">
        <w:rPr>
          <w:b/>
          <w:bCs/>
          <w:u w:val="single"/>
        </w:rPr>
        <w:t xml:space="preserve"> </w:t>
      </w:r>
      <w:r>
        <w:rPr>
          <w:b/>
          <w:bCs/>
          <w:u w:val="single"/>
        </w:rPr>
        <w:t xml:space="preserve">Tāpat scenārijs </w:t>
      </w:r>
      <w:r w:rsidRPr="00DA7EF4">
        <w:rPr>
          <w:b/>
          <w:bCs/>
          <w:u w:val="single"/>
        </w:rPr>
        <w:t>paredz paaugstināt minimālo algu</w:t>
      </w:r>
      <w:r w:rsidRPr="00ED3008">
        <w:t xml:space="preserve"> 2025. gadā no 700 uz 740  </w:t>
      </w:r>
      <w:proofErr w:type="spellStart"/>
      <w:r w:rsidRPr="000F5DA8">
        <w:rPr>
          <w:i/>
          <w:iCs/>
        </w:rPr>
        <w:t>euro</w:t>
      </w:r>
      <w:proofErr w:type="spellEnd"/>
      <w:r w:rsidRPr="00ED3008">
        <w:t xml:space="preserve"> mēnesī, 2026. gadā uz 780  </w:t>
      </w:r>
      <w:proofErr w:type="spellStart"/>
      <w:r w:rsidRPr="000F5DA8">
        <w:rPr>
          <w:i/>
          <w:iCs/>
        </w:rPr>
        <w:t>euro</w:t>
      </w:r>
      <w:proofErr w:type="spellEnd"/>
      <w:r w:rsidRPr="00ED3008">
        <w:t xml:space="preserve"> mēnesī, 2027. gad</w:t>
      </w:r>
      <w:r>
        <w:t>ā</w:t>
      </w:r>
      <w:r w:rsidRPr="00ED3008">
        <w:t xml:space="preserve"> uz 820 </w:t>
      </w:r>
      <w:proofErr w:type="spellStart"/>
      <w:r w:rsidRPr="000F5DA8">
        <w:rPr>
          <w:i/>
          <w:iCs/>
        </w:rPr>
        <w:t>euro</w:t>
      </w:r>
      <w:proofErr w:type="spellEnd"/>
      <w:r w:rsidRPr="00ED3008">
        <w:t xml:space="preserve"> mēnesī, bet 2028. gad</w:t>
      </w:r>
      <w:r>
        <w:t>ā</w:t>
      </w:r>
      <w:r w:rsidRPr="00ED3008">
        <w:t xml:space="preserve"> uz 860 </w:t>
      </w:r>
      <w:proofErr w:type="spellStart"/>
      <w:r w:rsidRPr="000F5DA8">
        <w:rPr>
          <w:i/>
          <w:iCs/>
        </w:rPr>
        <w:t>euro</w:t>
      </w:r>
      <w:proofErr w:type="spellEnd"/>
      <w:r w:rsidRPr="00ED3008">
        <w:t xml:space="preserve"> mēnesī</w:t>
      </w:r>
      <w:r>
        <w:t xml:space="preserve">, par ko ir vienošanās ar sociālajiem partneriem. </w:t>
      </w:r>
    </w:p>
    <w:p w14:paraId="3BCA4F61" w14:textId="77777777" w:rsidR="00725633" w:rsidRPr="003A3865" w:rsidRDefault="00725633" w:rsidP="00725633">
      <w:pPr>
        <w:tabs>
          <w:tab w:val="left" w:pos="1134"/>
        </w:tabs>
        <w:spacing w:before="120" w:line="240" w:lineRule="auto"/>
        <w:ind w:firstLine="709"/>
      </w:pPr>
      <w:r>
        <w:tab/>
      </w:r>
      <w:r w:rsidRPr="003A3865">
        <w:t>Nepieciešamās izmaiņas paredzēts virzīt likumprojekta “Par valsts budžetu 2025. gadam un budžeta ietvaru 2025., 2026. un 2027. gadam” pavadošo likumprojektu paketē.</w:t>
      </w:r>
    </w:p>
    <w:p w14:paraId="41D0E2BE" w14:textId="77777777" w:rsidR="003A3865" w:rsidRPr="003A3865" w:rsidRDefault="003A3865" w:rsidP="000C5CF0">
      <w:pPr>
        <w:spacing w:after="0" w:line="240" w:lineRule="auto"/>
        <w:ind w:firstLine="0"/>
      </w:pPr>
    </w:p>
    <w:p w14:paraId="218881D4" w14:textId="091D7EA3" w:rsidR="005A4348" w:rsidRPr="002869EC" w:rsidRDefault="001E75E4" w:rsidP="000C5CF0">
      <w:pPr>
        <w:pStyle w:val="Heading3"/>
        <w:numPr>
          <w:ilvl w:val="0"/>
          <w:numId w:val="0"/>
        </w:numPr>
        <w:spacing w:before="0" w:line="240" w:lineRule="auto"/>
        <w:ind w:left="720" w:hanging="720"/>
        <w:jc w:val="center"/>
      </w:pPr>
      <w:bookmarkStart w:id="49" w:name="_Toc179540642"/>
      <w:r>
        <w:t>7</w:t>
      </w:r>
      <w:r w:rsidR="005A4348" w:rsidRPr="002869EC">
        <w:t>.2.</w:t>
      </w:r>
      <w:r w:rsidR="008D737E">
        <w:t>5</w:t>
      </w:r>
      <w:r w:rsidR="005A4348" w:rsidRPr="002869EC">
        <w:t>. Jauno pasākumu kopējā ietekme</w:t>
      </w:r>
      <w:bookmarkEnd w:id="49"/>
    </w:p>
    <w:p w14:paraId="77050490" w14:textId="2E46DE17" w:rsidR="00BA6D93" w:rsidRPr="002869EC" w:rsidRDefault="000F1475" w:rsidP="00D16FDC">
      <w:pPr>
        <w:spacing w:line="240" w:lineRule="auto"/>
        <w:rPr>
          <w:rFonts w:cs="Times New Roman"/>
          <w:szCs w:val="20"/>
        </w:rPr>
      </w:pPr>
      <w:r w:rsidRPr="0071249F">
        <w:rPr>
          <w:rFonts w:cs="Times New Roman"/>
          <w:szCs w:val="20"/>
        </w:rPr>
        <w:t>Jauno pasākumu kopējā ietekme detalizēti norādīta tabul</w:t>
      </w:r>
      <w:r w:rsidR="00315152">
        <w:rPr>
          <w:rFonts w:cs="Times New Roman"/>
          <w:szCs w:val="20"/>
        </w:rPr>
        <w:t>ā</w:t>
      </w:r>
      <w:r w:rsidRPr="0071249F">
        <w:rPr>
          <w:rFonts w:cs="Times New Roman"/>
          <w:szCs w:val="20"/>
        </w:rPr>
        <w:t xml:space="preserve">s </w:t>
      </w:r>
      <w:r w:rsidR="00E9214C">
        <w:rPr>
          <w:rFonts w:cs="Times New Roman"/>
          <w:szCs w:val="20"/>
        </w:rPr>
        <w:t>K</w:t>
      </w:r>
      <w:r w:rsidR="00234244">
        <w:rPr>
          <w:rFonts w:cs="Times New Roman"/>
          <w:szCs w:val="20"/>
        </w:rPr>
        <w:t>.</w:t>
      </w:r>
      <w:r w:rsidRPr="0071249F">
        <w:rPr>
          <w:rFonts w:cs="Times New Roman"/>
          <w:szCs w:val="20"/>
        </w:rPr>
        <w:t xml:space="preserve">, </w:t>
      </w:r>
      <w:r w:rsidR="00E9214C">
        <w:rPr>
          <w:rFonts w:cs="Times New Roman"/>
          <w:szCs w:val="20"/>
        </w:rPr>
        <w:t>L</w:t>
      </w:r>
      <w:r w:rsidR="00234244">
        <w:rPr>
          <w:rFonts w:cs="Times New Roman"/>
          <w:szCs w:val="20"/>
        </w:rPr>
        <w:t>.</w:t>
      </w:r>
      <w:r w:rsidRPr="0071249F">
        <w:rPr>
          <w:rFonts w:cs="Times New Roman"/>
          <w:szCs w:val="20"/>
        </w:rPr>
        <w:t xml:space="preserve"> un </w:t>
      </w:r>
      <w:r w:rsidR="00E9214C">
        <w:rPr>
          <w:rFonts w:cs="Times New Roman"/>
          <w:szCs w:val="20"/>
        </w:rPr>
        <w:t>M</w:t>
      </w:r>
      <w:r w:rsidRPr="0071249F">
        <w:rPr>
          <w:rFonts w:cs="Times New Roman"/>
          <w:szCs w:val="20"/>
        </w:rPr>
        <w:t xml:space="preserve">. Jaunie pasākumi </w:t>
      </w:r>
      <w:r w:rsidR="0071249F">
        <w:rPr>
          <w:rFonts w:cs="Times New Roman"/>
          <w:szCs w:val="20"/>
        </w:rPr>
        <w:t xml:space="preserve">tiks īstenotie </w:t>
      </w:r>
      <w:r w:rsidRPr="0071249F">
        <w:rPr>
          <w:rFonts w:cs="Times New Roman"/>
          <w:szCs w:val="20"/>
        </w:rPr>
        <w:t xml:space="preserve">likuma “Par valsts budžetu 2025. gadam un budžeta ietvaru 2025., 2026. un 2027. gadam” </w:t>
      </w:r>
      <w:r w:rsidR="0071249F">
        <w:rPr>
          <w:rFonts w:cs="Times New Roman"/>
          <w:szCs w:val="20"/>
        </w:rPr>
        <w:t>vai t</w:t>
      </w:r>
      <w:r w:rsidR="00315152">
        <w:rPr>
          <w:rFonts w:cs="Times New Roman"/>
          <w:szCs w:val="20"/>
        </w:rPr>
        <w:t>o</w:t>
      </w:r>
      <w:r w:rsidR="0071249F">
        <w:rPr>
          <w:rFonts w:cs="Times New Roman"/>
          <w:szCs w:val="20"/>
        </w:rPr>
        <w:t xml:space="preserve"> pavadošo likumu ietvaros. </w:t>
      </w:r>
    </w:p>
    <w:p w14:paraId="3423486D" w14:textId="3A5161FC" w:rsidR="00AD1255" w:rsidRPr="002869EC" w:rsidRDefault="009B369E" w:rsidP="00D16FDC">
      <w:pPr>
        <w:spacing w:line="240" w:lineRule="auto"/>
        <w:jc w:val="right"/>
        <w:rPr>
          <w:rFonts w:cs="Times New Roman"/>
          <w:b/>
          <w:bCs/>
          <w:szCs w:val="20"/>
        </w:rPr>
      </w:pPr>
      <w:r w:rsidRPr="002869EC">
        <w:rPr>
          <w:rFonts w:cs="Times New Roman"/>
          <w:b/>
          <w:bCs/>
          <w:szCs w:val="20"/>
        </w:rPr>
        <w:t>6. tabula. Plānā paredzētie indikatīvie ieņēmumu un izdevumu pasākumi</w:t>
      </w:r>
    </w:p>
    <w:tbl>
      <w:tblPr>
        <w:tblW w:w="5982" w:type="dxa"/>
        <w:jc w:val="center"/>
        <w:tblLook w:val="04A0" w:firstRow="1" w:lastRow="0" w:firstColumn="1" w:lastColumn="0" w:noHBand="0" w:noVBand="1"/>
      </w:tblPr>
      <w:tblGrid>
        <w:gridCol w:w="331"/>
        <w:gridCol w:w="3638"/>
        <w:gridCol w:w="2013"/>
      </w:tblGrid>
      <w:tr w:rsidR="000F1475" w:rsidRPr="002869EC" w14:paraId="05D4AD94" w14:textId="77777777" w:rsidTr="0071249F">
        <w:trPr>
          <w:trHeight w:val="572"/>
          <w:jc w:val="center"/>
        </w:trPr>
        <w:tc>
          <w:tcPr>
            <w:tcW w:w="331" w:type="dxa"/>
            <w:tcBorders>
              <w:top w:val="nil"/>
              <w:left w:val="nil"/>
              <w:bottom w:val="nil"/>
              <w:right w:val="nil"/>
            </w:tcBorders>
            <w:shd w:val="clear" w:color="000000" w:fill="95B3D7"/>
            <w:noWrap/>
            <w:vAlign w:val="center"/>
            <w:hideMark/>
          </w:tcPr>
          <w:p w14:paraId="27A244E0" w14:textId="77777777" w:rsidR="000F1475" w:rsidRPr="0071249F" w:rsidRDefault="000F1475" w:rsidP="006357B3">
            <w:pPr>
              <w:spacing w:line="240" w:lineRule="auto"/>
              <w:ind w:firstLine="0"/>
              <w:jc w:val="left"/>
              <w:rPr>
                <w:rFonts w:eastAsia="Times New Roman" w:cs="Times New Roman"/>
                <w:color w:val="000000"/>
                <w:sz w:val="20"/>
                <w:szCs w:val="20"/>
                <w:lang w:eastAsia="lv-LV"/>
              </w:rPr>
            </w:pPr>
            <w:r w:rsidRPr="0071249F">
              <w:rPr>
                <w:rFonts w:eastAsia="Times New Roman" w:cs="Times New Roman"/>
                <w:color w:val="000000"/>
                <w:sz w:val="20"/>
                <w:szCs w:val="20"/>
                <w:lang w:eastAsia="lv-LV"/>
              </w:rPr>
              <w:t> </w:t>
            </w:r>
          </w:p>
        </w:tc>
        <w:tc>
          <w:tcPr>
            <w:tcW w:w="3638" w:type="dxa"/>
            <w:tcBorders>
              <w:top w:val="nil"/>
              <w:left w:val="nil"/>
              <w:bottom w:val="nil"/>
              <w:right w:val="nil"/>
            </w:tcBorders>
            <w:shd w:val="clear" w:color="000000" w:fill="95B3D7"/>
            <w:vAlign w:val="center"/>
            <w:hideMark/>
          </w:tcPr>
          <w:p w14:paraId="173906CA" w14:textId="022C5DAF" w:rsidR="000F1475" w:rsidRPr="0071249F" w:rsidRDefault="000F1475" w:rsidP="006357B3">
            <w:pPr>
              <w:spacing w:line="240" w:lineRule="auto"/>
              <w:ind w:firstLine="0"/>
              <w:jc w:val="left"/>
              <w:rPr>
                <w:rFonts w:eastAsia="Times New Roman" w:cs="Times New Roman"/>
                <w:b/>
                <w:bCs/>
                <w:sz w:val="20"/>
                <w:szCs w:val="20"/>
                <w:lang w:eastAsia="lv-LV"/>
              </w:rPr>
            </w:pPr>
            <w:r w:rsidRPr="00780CE0">
              <w:rPr>
                <w:rFonts w:eastAsia="Times New Roman" w:cs="Times New Roman"/>
                <w:b/>
                <w:bCs/>
                <w:sz w:val="20"/>
                <w:szCs w:val="20"/>
                <w:lang w:eastAsia="lv-LV"/>
              </w:rPr>
              <w:t>Pasākuma nosaukums/ apraksts</w:t>
            </w:r>
          </w:p>
        </w:tc>
        <w:tc>
          <w:tcPr>
            <w:tcW w:w="2013" w:type="dxa"/>
            <w:tcBorders>
              <w:top w:val="nil"/>
              <w:left w:val="nil"/>
              <w:bottom w:val="nil"/>
              <w:right w:val="nil"/>
            </w:tcBorders>
            <w:shd w:val="clear" w:color="000000" w:fill="95B3D7"/>
            <w:vAlign w:val="center"/>
            <w:hideMark/>
          </w:tcPr>
          <w:p w14:paraId="2D17D1B4" w14:textId="5D4E60DD" w:rsidR="000F1475" w:rsidRPr="00780CE0" w:rsidRDefault="000F1475" w:rsidP="006357B3">
            <w:pPr>
              <w:spacing w:line="240" w:lineRule="auto"/>
              <w:ind w:firstLine="0"/>
              <w:jc w:val="center"/>
              <w:rPr>
                <w:rFonts w:eastAsia="Times New Roman" w:cs="Times New Roman"/>
                <w:b/>
                <w:bCs/>
                <w:sz w:val="20"/>
                <w:szCs w:val="20"/>
                <w:lang w:eastAsia="lv-LV"/>
              </w:rPr>
            </w:pPr>
            <w:r w:rsidRPr="00780CE0">
              <w:rPr>
                <w:rFonts w:eastAsia="Times New Roman" w:cs="Times New Roman"/>
                <w:b/>
                <w:bCs/>
                <w:sz w:val="20"/>
                <w:szCs w:val="20"/>
                <w:lang w:eastAsia="lv-LV"/>
              </w:rPr>
              <w:t>Plānotais īstenošanas datums</w:t>
            </w:r>
          </w:p>
        </w:tc>
      </w:tr>
      <w:tr w:rsidR="000F1475" w:rsidRPr="002869EC" w14:paraId="2B027235" w14:textId="77777777" w:rsidTr="00315152">
        <w:trPr>
          <w:trHeight w:val="572"/>
          <w:jc w:val="center"/>
        </w:trPr>
        <w:tc>
          <w:tcPr>
            <w:tcW w:w="331" w:type="dxa"/>
            <w:tcBorders>
              <w:top w:val="nil"/>
              <w:left w:val="nil"/>
              <w:bottom w:val="nil"/>
              <w:right w:val="nil"/>
            </w:tcBorders>
            <w:shd w:val="clear" w:color="000000" w:fill="95B3D7"/>
            <w:noWrap/>
            <w:vAlign w:val="center"/>
            <w:hideMark/>
          </w:tcPr>
          <w:p w14:paraId="4B13C04F" w14:textId="77777777" w:rsidR="000F1475" w:rsidRPr="0071249F" w:rsidRDefault="000F1475" w:rsidP="006357B3">
            <w:pPr>
              <w:spacing w:line="240" w:lineRule="auto"/>
              <w:ind w:firstLine="0"/>
              <w:jc w:val="right"/>
              <w:rPr>
                <w:rFonts w:eastAsia="Times New Roman" w:cs="Times New Roman"/>
                <w:color w:val="000000"/>
                <w:sz w:val="20"/>
                <w:szCs w:val="20"/>
                <w:lang w:eastAsia="lv-LV"/>
              </w:rPr>
            </w:pPr>
            <w:r w:rsidRPr="0071249F">
              <w:rPr>
                <w:rFonts w:eastAsia="Times New Roman" w:cs="Times New Roman"/>
                <w:color w:val="000000"/>
                <w:sz w:val="20"/>
                <w:szCs w:val="20"/>
                <w:lang w:eastAsia="lv-LV"/>
              </w:rPr>
              <w:t>1</w:t>
            </w:r>
          </w:p>
        </w:tc>
        <w:tc>
          <w:tcPr>
            <w:tcW w:w="3638" w:type="dxa"/>
            <w:tcBorders>
              <w:top w:val="nil"/>
              <w:left w:val="nil"/>
              <w:bottom w:val="nil"/>
              <w:right w:val="nil"/>
            </w:tcBorders>
            <w:shd w:val="clear" w:color="000000" w:fill="DCE6F1"/>
            <w:noWrap/>
            <w:vAlign w:val="center"/>
            <w:hideMark/>
          </w:tcPr>
          <w:p w14:paraId="4FC583B8" w14:textId="61B5EA0E" w:rsidR="000F1475" w:rsidRPr="0071249F" w:rsidRDefault="000F1475" w:rsidP="006357B3">
            <w:pPr>
              <w:spacing w:line="240" w:lineRule="auto"/>
              <w:ind w:firstLine="0"/>
              <w:jc w:val="left"/>
              <w:rPr>
                <w:rFonts w:eastAsia="Times New Roman" w:cs="Times New Roman"/>
                <w:color w:val="000000"/>
                <w:sz w:val="20"/>
                <w:szCs w:val="20"/>
                <w:lang w:eastAsia="lv-LV"/>
              </w:rPr>
            </w:pPr>
            <w:r w:rsidRPr="00780CE0">
              <w:rPr>
                <w:rFonts w:cs="Times New Roman"/>
                <w:sz w:val="20"/>
                <w:szCs w:val="20"/>
              </w:rPr>
              <w:t>Valsts budžeta ieņēmumu un nodokļu politikas pārskatīšanu 2025. - 2027.gadā</w:t>
            </w:r>
            <w:r w:rsidRPr="0071249F">
              <w:rPr>
                <w:rStyle w:val="FootnoteReference"/>
                <w:rFonts w:ascii="Times New Roman" w:hAnsi="Times New Roman" w:cs="Times New Roman"/>
                <w:szCs w:val="20"/>
              </w:rPr>
              <w:footnoteReference w:id="5"/>
            </w:r>
            <w:r w:rsidR="00780CE0">
              <w:rPr>
                <w:rFonts w:cs="Times New Roman"/>
                <w:sz w:val="20"/>
                <w:szCs w:val="20"/>
              </w:rPr>
              <w:t>.</w:t>
            </w:r>
          </w:p>
        </w:tc>
        <w:tc>
          <w:tcPr>
            <w:tcW w:w="2013" w:type="dxa"/>
            <w:tcBorders>
              <w:top w:val="nil"/>
              <w:left w:val="nil"/>
              <w:bottom w:val="nil"/>
              <w:right w:val="nil"/>
            </w:tcBorders>
            <w:shd w:val="clear" w:color="auto" w:fill="auto"/>
            <w:noWrap/>
            <w:vAlign w:val="center"/>
            <w:hideMark/>
          </w:tcPr>
          <w:p w14:paraId="2B4FAF3D" w14:textId="5F1112F1" w:rsidR="000F1475" w:rsidRPr="0071249F" w:rsidRDefault="00315152" w:rsidP="006357B3">
            <w:pPr>
              <w:spacing w:line="240" w:lineRule="auto"/>
              <w:ind w:firstLine="0"/>
              <w:jc w:val="left"/>
              <w:rPr>
                <w:rFonts w:eastAsia="Times New Roman" w:cs="Times New Roman"/>
                <w:color w:val="000000"/>
                <w:sz w:val="20"/>
                <w:szCs w:val="20"/>
                <w:lang w:eastAsia="lv-LV"/>
              </w:rPr>
            </w:pPr>
            <w:r>
              <w:rPr>
                <w:rFonts w:eastAsia="Times New Roman" w:cs="Times New Roman"/>
                <w:color w:val="000000"/>
                <w:sz w:val="20"/>
                <w:szCs w:val="20"/>
                <w:lang w:eastAsia="lv-LV"/>
              </w:rPr>
              <w:t xml:space="preserve">Sākot ar </w:t>
            </w:r>
            <w:r w:rsidR="000F1475" w:rsidRPr="0071249F">
              <w:rPr>
                <w:rFonts w:eastAsia="Times New Roman" w:cs="Times New Roman"/>
                <w:color w:val="000000"/>
                <w:sz w:val="20"/>
                <w:szCs w:val="20"/>
                <w:lang w:eastAsia="lv-LV"/>
              </w:rPr>
              <w:t>01.01.2025</w:t>
            </w:r>
          </w:p>
        </w:tc>
      </w:tr>
      <w:tr w:rsidR="000F1475" w:rsidRPr="002869EC" w14:paraId="630AC775" w14:textId="77777777" w:rsidTr="00315152">
        <w:trPr>
          <w:trHeight w:val="572"/>
          <w:jc w:val="center"/>
        </w:trPr>
        <w:tc>
          <w:tcPr>
            <w:tcW w:w="331" w:type="dxa"/>
            <w:tcBorders>
              <w:top w:val="nil"/>
              <w:left w:val="nil"/>
              <w:bottom w:val="nil"/>
              <w:right w:val="nil"/>
            </w:tcBorders>
            <w:shd w:val="clear" w:color="000000" w:fill="95B3D7"/>
            <w:noWrap/>
            <w:vAlign w:val="center"/>
            <w:hideMark/>
          </w:tcPr>
          <w:p w14:paraId="17E413D4" w14:textId="77777777" w:rsidR="000F1475" w:rsidRPr="0071249F" w:rsidRDefault="000F1475" w:rsidP="006357B3">
            <w:pPr>
              <w:spacing w:line="240" w:lineRule="auto"/>
              <w:ind w:firstLine="0"/>
              <w:jc w:val="right"/>
              <w:rPr>
                <w:rFonts w:eastAsia="Times New Roman" w:cs="Times New Roman"/>
                <w:color w:val="000000"/>
                <w:sz w:val="20"/>
                <w:szCs w:val="20"/>
                <w:lang w:eastAsia="lv-LV"/>
              </w:rPr>
            </w:pPr>
            <w:r w:rsidRPr="0071249F">
              <w:rPr>
                <w:rFonts w:eastAsia="Times New Roman" w:cs="Times New Roman"/>
                <w:color w:val="000000"/>
                <w:sz w:val="20"/>
                <w:szCs w:val="20"/>
                <w:lang w:eastAsia="lv-LV"/>
              </w:rPr>
              <w:t>2</w:t>
            </w:r>
          </w:p>
        </w:tc>
        <w:tc>
          <w:tcPr>
            <w:tcW w:w="3638" w:type="dxa"/>
            <w:tcBorders>
              <w:top w:val="nil"/>
              <w:left w:val="nil"/>
              <w:bottom w:val="nil"/>
              <w:right w:val="nil"/>
            </w:tcBorders>
            <w:shd w:val="clear" w:color="000000" w:fill="DCE6F1"/>
            <w:noWrap/>
            <w:vAlign w:val="center"/>
            <w:hideMark/>
          </w:tcPr>
          <w:p w14:paraId="2DBFBBF9" w14:textId="77777777" w:rsidR="000F1475" w:rsidRPr="00780CE0" w:rsidRDefault="000F1475" w:rsidP="006357B3">
            <w:pPr>
              <w:spacing w:line="240" w:lineRule="auto"/>
              <w:ind w:firstLine="0"/>
              <w:jc w:val="left"/>
              <w:rPr>
                <w:rFonts w:cs="Times New Roman"/>
                <w:sz w:val="20"/>
                <w:szCs w:val="20"/>
              </w:rPr>
            </w:pPr>
          </w:p>
          <w:p w14:paraId="23D964D0" w14:textId="463A5613" w:rsidR="000F1475" w:rsidRPr="0071249F" w:rsidRDefault="00780CE0" w:rsidP="006357B3">
            <w:pPr>
              <w:spacing w:line="240" w:lineRule="auto"/>
              <w:ind w:firstLine="0"/>
              <w:jc w:val="left"/>
              <w:rPr>
                <w:rFonts w:eastAsia="Times New Roman" w:cs="Times New Roman"/>
                <w:color w:val="000000"/>
                <w:sz w:val="20"/>
                <w:szCs w:val="20"/>
                <w:lang w:eastAsia="lv-LV"/>
              </w:rPr>
            </w:pPr>
            <w:r w:rsidRPr="00780CE0">
              <w:rPr>
                <w:rFonts w:cs="Times New Roman"/>
                <w:sz w:val="20"/>
                <w:szCs w:val="20"/>
              </w:rPr>
              <w:t>Prioritārie pasākumi 2025., 2026., 2027. un 2028. gadam</w:t>
            </w:r>
            <w:r w:rsidRPr="0071249F">
              <w:rPr>
                <w:rStyle w:val="FootnoteReference"/>
                <w:rFonts w:ascii="Times New Roman" w:hAnsi="Times New Roman" w:cs="Times New Roman"/>
                <w:szCs w:val="20"/>
              </w:rPr>
              <w:footnoteReference w:id="6"/>
            </w:r>
            <w:r>
              <w:rPr>
                <w:rFonts w:cs="Times New Roman"/>
                <w:sz w:val="20"/>
                <w:szCs w:val="20"/>
              </w:rPr>
              <w:t>.</w:t>
            </w:r>
          </w:p>
        </w:tc>
        <w:tc>
          <w:tcPr>
            <w:tcW w:w="2013" w:type="dxa"/>
            <w:tcBorders>
              <w:top w:val="nil"/>
              <w:left w:val="nil"/>
              <w:bottom w:val="nil"/>
              <w:right w:val="nil"/>
            </w:tcBorders>
            <w:shd w:val="clear" w:color="auto" w:fill="auto"/>
            <w:noWrap/>
            <w:vAlign w:val="center"/>
            <w:hideMark/>
          </w:tcPr>
          <w:p w14:paraId="4189EB0A" w14:textId="59301BE0" w:rsidR="000F1475" w:rsidRPr="0071249F" w:rsidRDefault="00315152" w:rsidP="006357B3">
            <w:pPr>
              <w:spacing w:line="240" w:lineRule="auto"/>
              <w:ind w:firstLine="0"/>
              <w:jc w:val="left"/>
              <w:rPr>
                <w:rFonts w:eastAsia="Times New Roman" w:cs="Times New Roman"/>
                <w:color w:val="000000"/>
                <w:sz w:val="20"/>
                <w:szCs w:val="20"/>
                <w:lang w:eastAsia="lv-LV"/>
              </w:rPr>
            </w:pPr>
            <w:r>
              <w:rPr>
                <w:rFonts w:eastAsia="Times New Roman" w:cs="Times New Roman"/>
                <w:color w:val="000000"/>
                <w:sz w:val="20"/>
                <w:szCs w:val="20"/>
                <w:lang w:eastAsia="lv-LV"/>
              </w:rPr>
              <w:t xml:space="preserve">Sākot ar </w:t>
            </w:r>
            <w:r w:rsidR="00780CE0" w:rsidRPr="0071249F">
              <w:rPr>
                <w:rFonts w:eastAsia="Times New Roman" w:cs="Times New Roman"/>
                <w:color w:val="000000"/>
                <w:sz w:val="20"/>
                <w:szCs w:val="20"/>
                <w:lang w:eastAsia="lv-LV"/>
              </w:rPr>
              <w:t>01.0</w:t>
            </w:r>
            <w:r w:rsidR="00780CE0">
              <w:rPr>
                <w:rFonts w:eastAsia="Times New Roman" w:cs="Times New Roman"/>
                <w:color w:val="000000"/>
                <w:sz w:val="20"/>
                <w:szCs w:val="20"/>
                <w:lang w:eastAsia="lv-LV"/>
              </w:rPr>
              <w:t>1</w:t>
            </w:r>
            <w:r w:rsidR="00780CE0" w:rsidRPr="0071249F">
              <w:rPr>
                <w:rFonts w:eastAsia="Times New Roman" w:cs="Times New Roman"/>
                <w:color w:val="000000"/>
                <w:sz w:val="20"/>
                <w:szCs w:val="20"/>
                <w:lang w:eastAsia="lv-LV"/>
              </w:rPr>
              <w:t>.2025</w:t>
            </w:r>
          </w:p>
        </w:tc>
      </w:tr>
    </w:tbl>
    <w:p w14:paraId="09C56955" w14:textId="77777777" w:rsidR="00EA1782" w:rsidRPr="002869EC" w:rsidRDefault="00EA1782" w:rsidP="006357B3">
      <w:pPr>
        <w:spacing w:after="160" w:line="240" w:lineRule="auto"/>
        <w:ind w:firstLine="0"/>
        <w:contextualSpacing/>
        <w:jc w:val="left"/>
        <w:rPr>
          <w:rFonts w:eastAsia="Aptos" w:cs="Times New Roman"/>
          <w:kern w:val="2"/>
          <w:szCs w:val="28"/>
          <w14:ligatures w14:val="standardContextual"/>
        </w:rPr>
        <w:sectPr w:rsidR="00EA1782" w:rsidRPr="002869EC" w:rsidSect="00992F16">
          <w:pgSz w:w="11906" w:h="16838" w:code="9"/>
          <w:pgMar w:top="1134" w:right="1134" w:bottom="1134" w:left="1418" w:header="0" w:footer="142" w:gutter="0"/>
          <w:cols w:space="708"/>
          <w:titlePg/>
          <w:docGrid w:linePitch="381"/>
        </w:sectPr>
      </w:pPr>
    </w:p>
    <w:p w14:paraId="726F1443" w14:textId="1A504A4B" w:rsidR="00692447" w:rsidRDefault="001E75E4" w:rsidP="006357B3">
      <w:pPr>
        <w:pStyle w:val="Heading1"/>
        <w:spacing w:before="0" w:line="240" w:lineRule="auto"/>
        <w:rPr>
          <w:sz w:val="32"/>
          <w:szCs w:val="32"/>
        </w:rPr>
      </w:pPr>
      <w:bookmarkStart w:id="50" w:name="_Toc179540643"/>
      <w:bookmarkStart w:id="51" w:name="_Hlk179466016"/>
      <w:r w:rsidRPr="0012487F">
        <w:rPr>
          <w:sz w:val="32"/>
          <w:szCs w:val="32"/>
        </w:rPr>
        <w:lastRenderedPageBreak/>
        <w:t>8</w:t>
      </w:r>
      <w:r w:rsidR="005A4348" w:rsidRPr="0012487F">
        <w:rPr>
          <w:sz w:val="32"/>
          <w:szCs w:val="32"/>
        </w:rPr>
        <w:t>. Valsts parāda ilgtermiņa prognozes</w:t>
      </w:r>
      <w:bookmarkEnd w:id="50"/>
    </w:p>
    <w:bookmarkEnd w:id="51"/>
    <w:p w14:paraId="7FD6E73E" w14:textId="20382880" w:rsidR="008159DC" w:rsidRPr="0012487F" w:rsidRDefault="008159DC" w:rsidP="00D16FDC">
      <w:pPr>
        <w:spacing w:line="240" w:lineRule="auto"/>
        <w:rPr>
          <w:rFonts w:cs="Times New Roman"/>
          <w:szCs w:val="24"/>
        </w:rPr>
      </w:pPr>
      <w:r>
        <w:rPr>
          <w:lang w:eastAsia="lv-LV"/>
        </w:rPr>
        <w:t xml:space="preserve">Viens no atbildīgas fiskālās politikas rādītājiem ir ilgtermiņa parāda prognozes. Lai analizētu vai ilgtermiņā parāda prognozes, atbilstoši FM pieņēmumiem, saglabājas zem 60% no IKP tiek veikta </w:t>
      </w:r>
      <w:r w:rsidRPr="00940337">
        <w:rPr>
          <w:rFonts w:cs="Times New Roman"/>
          <w:szCs w:val="24"/>
        </w:rPr>
        <w:t xml:space="preserve">vispārējās valdības parāda stohastiskā un </w:t>
      </w:r>
      <w:proofErr w:type="spellStart"/>
      <w:r w:rsidRPr="00940337">
        <w:rPr>
          <w:rFonts w:cs="Times New Roman"/>
          <w:szCs w:val="24"/>
        </w:rPr>
        <w:t>deterministiskā</w:t>
      </w:r>
      <w:proofErr w:type="spellEnd"/>
      <w:r>
        <w:rPr>
          <w:rFonts w:cs="Times New Roman"/>
          <w:szCs w:val="24"/>
        </w:rPr>
        <w:t xml:space="preserve"> analīze, novērtējot parāda attīstību</w:t>
      </w:r>
      <w:r w:rsidRPr="00940337">
        <w:rPr>
          <w:rFonts w:cs="Times New Roman"/>
          <w:szCs w:val="24"/>
        </w:rPr>
        <w:t xml:space="preserve"> līdz 2038. gadam. 2024. </w:t>
      </w:r>
      <w:r w:rsidRPr="469479B5">
        <w:rPr>
          <w:rFonts w:cs="Times New Roman"/>
          <w:color w:val="000000" w:themeColor="text1"/>
          <w:szCs w:val="24"/>
        </w:rPr>
        <w:t>–</w:t>
      </w:r>
      <w:r>
        <w:rPr>
          <w:rFonts w:cs="Times New Roman"/>
          <w:color w:val="000000" w:themeColor="text1"/>
          <w:szCs w:val="24"/>
        </w:rPr>
        <w:t xml:space="preserve"> </w:t>
      </w:r>
      <w:r w:rsidRPr="00940337">
        <w:rPr>
          <w:rFonts w:cs="Times New Roman"/>
          <w:szCs w:val="24"/>
        </w:rPr>
        <w:t xml:space="preserve">2028. gadam </w:t>
      </w:r>
      <w:r>
        <w:rPr>
          <w:rFonts w:cs="Times New Roman"/>
          <w:szCs w:val="24"/>
        </w:rPr>
        <w:t xml:space="preserve">tiek izmantotas aktuālākas FM vispārējās valdības parāda prognozes, savukārt </w:t>
      </w:r>
      <w:r w:rsidRPr="00940337">
        <w:rPr>
          <w:rFonts w:cs="Times New Roman"/>
          <w:szCs w:val="24"/>
        </w:rPr>
        <w:t xml:space="preserve">atlikušajiem 10 gadiem, vispārējās valdības parāda prognozes tika noteiktas atbilstoši </w:t>
      </w:r>
      <w:r w:rsidRPr="0012487F">
        <w:rPr>
          <w:rFonts w:cs="Times New Roman"/>
          <w:i/>
          <w:iCs/>
          <w:szCs w:val="24"/>
        </w:rPr>
        <w:t>Parāda ilgtspējas ziņojumā</w:t>
      </w:r>
      <w:r w:rsidRPr="0012487F">
        <w:rPr>
          <w:rStyle w:val="FootnoteReference"/>
          <w:rFonts w:ascii="Times New Roman" w:hAnsi="Times New Roman" w:cs="Times New Roman"/>
          <w:sz w:val="24"/>
          <w:szCs w:val="24"/>
        </w:rPr>
        <w:footnoteReference w:id="7"/>
      </w:r>
      <w:r w:rsidRPr="00940337">
        <w:rPr>
          <w:rFonts w:cs="Times New Roman"/>
          <w:szCs w:val="24"/>
        </w:rPr>
        <w:t xml:space="preserve"> aprakstīt</w:t>
      </w:r>
      <w:r>
        <w:rPr>
          <w:rFonts w:cs="Times New Roman"/>
          <w:szCs w:val="24"/>
        </w:rPr>
        <w:t>ai</w:t>
      </w:r>
      <w:r w:rsidRPr="00940337">
        <w:rPr>
          <w:rFonts w:cs="Times New Roman"/>
          <w:szCs w:val="24"/>
        </w:rPr>
        <w:t xml:space="preserve"> metodoloģij</w:t>
      </w:r>
      <w:r>
        <w:rPr>
          <w:rFonts w:cs="Times New Roman"/>
          <w:szCs w:val="24"/>
        </w:rPr>
        <w:t>ai</w:t>
      </w:r>
      <w:r w:rsidRPr="00940337">
        <w:rPr>
          <w:rFonts w:cs="Times New Roman"/>
          <w:szCs w:val="24"/>
        </w:rPr>
        <w:t xml:space="preserve">, pielāgojot to FM prognozētajām mainīgo vērtībām. </w:t>
      </w:r>
    </w:p>
    <w:p w14:paraId="7060A303" w14:textId="66CFE00D" w:rsidR="008159DC" w:rsidRPr="0012487F" w:rsidRDefault="008159DC" w:rsidP="00D16FDC">
      <w:pPr>
        <w:spacing w:line="240" w:lineRule="auto"/>
        <w:rPr>
          <w:szCs w:val="24"/>
        </w:rPr>
      </w:pPr>
      <w:r w:rsidRPr="00962A15">
        <w:rPr>
          <w:rFonts w:cs="Times New Roman"/>
          <w:szCs w:val="24"/>
        </w:rPr>
        <w:t xml:space="preserve"> Vispārējās valdības stohastiskās parāda prognozes ir atspoguļotas </w:t>
      </w:r>
      <w:r w:rsidR="00A615DD">
        <w:rPr>
          <w:rFonts w:cs="Times New Roman"/>
          <w:szCs w:val="24"/>
        </w:rPr>
        <w:t>8</w:t>
      </w:r>
      <w:r w:rsidRPr="00962A15">
        <w:rPr>
          <w:rFonts w:cs="Times New Roman"/>
          <w:szCs w:val="24"/>
        </w:rPr>
        <w:t>.1. attēlā</w:t>
      </w:r>
      <w:r w:rsidR="00A615DD">
        <w:rPr>
          <w:rFonts w:cs="Times New Roman"/>
          <w:szCs w:val="24"/>
        </w:rPr>
        <w:t xml:space="preserve">, savukārt </w:t>
      </w:r>
      <w:proofErr w:type="spellStart"/>
      <w:r w:rsidR="00A615DD">
        <w:rPr>
          <w:rFonts w:cs="Times New Roman"/>
          <w:szCs w:val="24"/>
        </w:rPr>
        <w:t>deterministiskās</w:t>
      </w:r>
      <w:proofErr w:type="spellEnd"/>
      <w:r w:rsidR="00A615DD">
        <w:rPr>
          <w:rFonts w:cs="Times New Roman"/>
          <w:szCs w:val="24"/>
        </w:rPr>
        <w:t xml:space="preserve"> parāda prognozes ir atspoguļotas 2.2 attēlā.</w:t>
      </w:r>
      <w:r w:rsidRPr="00962A15">
        <w:rPr>
          <w:rFonts w:cs="Times New Roman"/>
          <w:szCs w:val="24"/>
        </w:rPr>
        <w:t xml:space="preserve"> Vispārējās valdības parāda augstākā prognozētā vērtība tiks sasniegta 2027.</w:t>
      </w:r>
      <w:r w:rsidRPr="003B75CE">
        <w:rPr>
          <w:rFonts w:cs="Times New Roman"/>
          <w:b/>
          <w:bCs/>
          <w:szCs w:val="24"/>
        </w:rPr>
        <w:t xml:space="preserve"> </w:t>
      </w:r>
      <w:r w:rsidRPr="00962A15">
        <w:rPr>
          <w:rFonts w:cs="Times New Roman"/>
          <w:szCs w:val="24"/>
        </w:rPr>
        <w:t xml:space="preserve">gadā, kad tā sasniegs </w:t>
      </w:r>
      <w:r w:rsidR="00A615DD">
        <w:rPr>
          <w:rFonts w:cs="Times New Roman"/>
          <w:color w:val="000000" w:themeColor="text1"/>
          <w:szCs w:val="24"/>
        </w:rPr>
        <w:t>50,1</w:t>
      </w:r>
      <w:r w:rsidRPr="00962A15">
        <w:rPr>
          <w:rFonts w:cs="Times New Roman"/>
          <w:szCs w:val="24"/>
        </w:rPr>
        <w:t>% no IKP. Ilgtermiņā</w:t>
      </w:r>
      <w:r>
        <w:rPr>
          <w:rFonts w:cs="Times New Roman"/>
          <w:szCs w:val="24"/>
        </w:rPr>
        <w:t>,</w:t>
      </w:r>
      <w:r w:rsidRPr="00962A15">
        <w:rPr>
          <w:rFonts w:cs="Times New Roman"/>
          <w:szCs w:val="24"/>
        </w:rPr>
        <w:t xml:space="preserve"> parāda apjoms pakāpeniski samazināsies</w:t>
      </w:r>
      <w:r>
        <w:rPr>
          <w:rFonts w:cs="Times New Roman"/>
          <w:szCs w:val="24"/>
        </w:rPr>
        <w:t xml:space="preserve"> 2038. gadā tuvojoties 40% no IKP ar 50% varbūtību.</w:t>
      </w:r>
      <w:r w:rsidRPr="00962A15">
        <w:rPr>
          <w:rFonts w:cs="Times New Roman"/>
          <w:szCs w:val="24"/>
        </w:rPr>
        <w:t xml:space="preserve"> </w:t>
      </w:r>
      <w:r>
        <w:rPr>
          <w:rFonts w:cs="Times New Roman"/>
          <w:szCs w:val="24"/>
        </w:rPr>
        <w:t>A</w:t>
      </w:r>
      <w:r w:rsidRPr="00962A15">
        <w:rPr>
          <w:rFonts w:cs="Times New Roman"/>
          <w:szCs w:val="24"/>
        </w:rPr>
        <w:t xml:space="preserve">tbilstoši stohastiskās parāda analīzes rezultātiem parāda apjoms 2038. gadā </w:t>
      </w:r>
      <w:r>
        <w:rPr>
          <w:rFonts w:cs="Times New Roman"/>
          <w:szCs w:val="24"/>
        </w:rPr>
        <w:t xml:space="preserve">būs </w:t>
      </w:r>
      <w:r w:rsidR="00A615DD">
        <w:rPr>
          <w:rFonts w:cs="Times New Roman"/>
          <w:szCs w:val="24"/>
        </w:rPr>
        <w:t>mazliet virs</w:t>
      </w:r>
      <w:r>
        <w:rPr>
          <w:rFonts w:cs="Times New Roman"/>
          <w:szCs w:val="24"/>
        </w:rPr>
        <w:t xml:space="preserve"> </w:t>
      </w:r>
      <w:r w:rsidRPr="003A5E5A">
        <w:rPr>
          <w:rFonts w:cs="Times New Roman"/>
          <w:szCs w:val="24"/>
        </w:rPr>
        <w:t>50%</w:t>
      </w:r>
      <w:r w:rsidRPr="00962A15">
        <w:rPr>
          <w:rFonts w:cs="Times New Roman"/>
          <w:szCs w:val="24"/>
        </w:rPr>
        <w:t xml:space="preserve"> no IKP ar 70% varbūtību. Labvēlīgu parāda dinamiku nosaka augstāks izaugsmes temps, salīdzinājumā ar efektīvo procentu likmi. Veidojas tā saucamais sniega bumbas </w:t>
      </w:r>
      <w:r w:rsidRPr="00A615DD">
        <w:rPr>
          <w:rFonts w:cs="Times New Roman"/>
          <w:szCs w:val="24"/>
        </w:rPr>
        <w:t>efekts</w:t>
      </w:r>
      <w:r w:rsidRPr="00A615DD">
        <w:rPr>
          <w:rStyle w:val="FootnoteReference"/>
          <w:rFonts w:ascii="Times New Roman" w:hAnsi="Times New Roman" w:cs="Times New Roman"/>
          <w:sz w:val="24"/>
          <w:szCs w:val="24"/>
        </w:rPr>
        <w:footnoteReference w:id="8"/>
      </w:r>
      <w:r w:rsidRPr="00A615DD">
        <w:rPr>
          <w:rFonts w:cs="Times New Roman"/>
          <w:szCs w:val="24"/>
        </w:rPr>
        <w:t>.</w:t>
      </w:r>
      <w:r w:rsidRPr="00962A15">
        <w:rPr>
          <w:rFonts w:cs="Times New Roman"/>
          <w:szCs w:val="24"/>
        </w:rPr>
        <w:t xml:space="preserve"> Arī EK savā ziņojumā </w:t>
      </w:r>
      <w:r w:rsidRPr="00962A15">
        <w:rPr>
          <w:rFonts w:cs="Times New Roman"/>
          <w:i/>
          <w:iCs/>
          <w:szCs w:val="24"/>
        </w:rPr>
        <w:t xml:space="preserve">Parāda ilgtspējas ziņojumā </w:t>
      </w:r>
      <w:r w:rsidRPr="00962A15">
        <w:rPr>
          <w:rFonts w:cs="Times New Roman"/>
          <w:szCs w:val="24"/>
        </w:rPr>
        <w:t>novērtē, ka fiskālās un parāda ilgtspējas riski Latvijā ir zemi gan īstermiņā, gan vidējā termiņā, gan arī ilgtermiņā.</w:t>
      </w:r>
    </w:p>
    <w:p w14:paraId="28C2F861" w14:textId="165CEA39" w:rsidR="00A615DD" w:rsidRDefault="009167B3" w:rsidP="00D16FDC">
      <w:pPr>
        <w:spacing w:after="160" w:line="240" w:lineRule="auto"/>
        <w:ind w:firstLine="0"/>
        <w:jc w:val="center"/>
        <w:rPr>
          <w:rFonts w:eastAsia="Times New Roman" w:cs="Times New Roman"/>
          <w:b/>
          <w:bCs/>
          <w:smallCaps/>
          <w:color w:val="000000"/>
          <w:sz w:val="32"/>
          <w:szCs w:val="32"/>
          <w:lang w:eastAsia="lv-LV"/>
          <w14:textOutline w14:w="9525" w14:cap="rnd" w14:cmpd="sng" w14:algn="ctr">
            <w14:noFill/>
            <w14:prstDash w14:val="solid"/>
            <w14:bevel/>
          </w14:textOutline>
        </w:rPr>
      </w:pPr>
      <w:bookmarkStart w:id="52" w:name="_Toc179026067"/>
      <w:r>
        <w:rPr>
          <w:rFonts w:eastAsia="Times New Roman" w:cs="Times New Roman"/>
          <w:b/>
          <w:bCs/>
          <w:smallCaps/>
          <w:noProof/>
          <w:color w:val="000000"/>
          <w:sz w:val="32"/>
          <w:szCs w:val="32"/>
          <w:lang w:eastAsia="lv-LV"/>
          <w14:textOutline w14:w="9525" w14:cap="rnd" w14:cmpd="sng" w14:algn="ctr">
            <w14:noFill/>
            <w14:prstDash w14:val="solid"/>
            <w14:bevel/>
          </w14:textOutline>
        </w:rPr>
        <w:drawing>
          <wp:inline distT="0" distB="0" distL="0" distR="0" wp14:anchorId="3A8892FB" wp14:editId="70336203">
            <wp:extent cx="5967765" cy="2971800"/>
            <wp:effectExtent l="0" t="0" r="0" b="0"/>
            <wp:docPr id="3462907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97758" cy="2986736"/>
                    </a:xfrm>
                    <a:prstGeom prst="rect">
                      <a:avLst/>
                    </a:prstGeom>
                    <a:noFill/>
                  </pic:spPr>
                </pic:pic>
              </a:graphicData>
            </a:graphic>
          </wp:inline>
        </w:drawing>
      </w:r>
    </w:p>
    <w:p w14:paraId="44BBEA55" w14:textId="6791DA56" w:rsidR="00A615DD" w:rsidRPr="00D16FDC" w:rsidRDefault="00A615DD" w:rsidP="006357B3">
      <w:pPr>
        <w:spacing w:line="240" w:lineRule="auto"/>
        <w:ind w:firstLine="0"/>
        <w:jc w:val="center"/>
        <w:rPr>
          <w:rFonts w:cs="Times New Roman"/>
          <w:b/>
          <w:bCs/>
          <w:i/>
          <w:iCs/>
          <w:szCs w:val="20"/>
          <w:lang w:eastAsia="lv-LV"/>
        </w:rPr>
      </w:pPr>
      <w:r w:rsidRPr="00D16FDC">
        <w:rPr>
          <w:rFonts w:cs="Times New Roman"/>
          <w:b/>
          <w:bCs/>
          <w:i/>
          <w:iCs/>
          <w:szCs w:val="20"/>
          <w:lang w:eastAsia="lv-LV"/>
        </w:rPr>
        <w:t>8.1. att. Vispārējās valdības parāda stohastiskās prognozes līdz 2038. gadam, % no IKP</w:t>
      </w:r>
    </w:p>
    <w:p w14:paraId="7D044C78" w14:textId="77777777" w:rsidR="00A615DD" w:rsidRDefault="00A615DD" w:rsidP="006357B3">
      <w:pPr>
        <w:spacing w:after="160" w:line="240"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sectPr w:rsidR="00A615DD" w:rsidSect="0012487F">
          <w:footerReference w:type="default" r:id="rId25"/>
          <w:pgSz w:w="11906" w:h="16838" w:code="9"/>
          <w:pgMar w:top="1134" w:right="1134" w:bottom="1134" w:left="1418" w:header="0" w:footer="142" w:gutter="0"/>
          <w:cols w:space="708"/>
          <w:titlePg/>
          <w:docGrid w:linePitch="381"/>
        </w:sectPr>
      </w:pPr>
    </w:p>
    <w:p w14:paraId="1790A952" w14:textId="22B7EDD9" w:rsidR="009B1486" w:rsidRDefault="009B1486" w:rsidP="006357B3">
      <w:pPr>
        <w:pStyle w:val="Heading1"/>
        <w:spacing w:before="0" w:line="240" w:lineRule="auto"/>
        <w:rPr>
          <w:sz w:val="32"/>
          <w:szCs w:val="32"/>
        </w:rPr>
      </w:pPr>
      <w:bookmarkStart w:id="53" w:name="_Toc179540644"/>
      <w:r>
        <w:rPr>
          <w:sz w:val="32"/>
          <w:szCs w:val="32"/>
        </w:rPr>
        <w:lastRenderedPageBreak/>
        <w:t>9</w:t>
      </w:r>
      <w:r w:rsidRPr="0012487F">
        <w:rPr>
          <w:sz w:val="32"/>
          <w:szCs w:val="32"/>
        </w:rPr>
        <w:t xml:space="preserve">. </w:t>
      </w:r>
      <w:r>
        <w:rPr>
          <w:sz w:val="32"/>
          <w:szCs w:val="32"/>
        </w:rPr>
        <w:t>Reformas un investīcijas</w:t>
      </w:r>
      <w:bookmarkEnd w:id="53"/>
    </w:p>
    <w:p w14:paraId="0B6649DD" w14:textId="77777777" w:rsidR="00BF055E" w:rsidRPr="00BF055E" w:rsidRDefault="00BF055E" w:rsidP="006357B3">
      <w:pPr>
        <w:pStyle w:val="Heading2"/>
        <w:numPr>
          <w:ilvl w:val="0"/>
          <w:numId w:val="0"/>
        </w:numPr>
        <w:spacing w:before="240" w:after="240" w:line="240" w:lineRule="auto"/>
        <w:ind w:left="576" w:hanging="576"/>
        <w:rPr>
          <w:rFonts w:eastAsia="Times New Roman" w:cs="Times New Roman"/>
          <w:sz w:val="28"/>
          <w:szCs w:val="24"/>
        </w:rPr>
      </w:pPr>
      <w:bookmarkStart w:id="54" w:name="_Toc179026068"/>
      <w:bookmarkStart w:id="55" w:name="_Toc179540645"/>
      <w:bookmarkEnd w:id="52"/>
      <w:r w:rsidRPr="00BF055E">
        <w:rPr>
          <w:rFonts w:eastAsia="Times New Roman" w:cs="Times New Roman"/>
          <w:sz w:val="28"/>
          <w:szCs w:val="24"/>
        </w:rPr>
        <w:t>9.1. Reformu un investīciju pasākumi</w:t>
      </w:r>
      <w:bookmarkEnd w:id="54"/>
      <w:bookmarkEnd w:id="55"/>
    </w:p>
    <w:p w14:paraId="6E2C5EA0" w14:textId="598743F6"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Latvijas FSP 9. nodaļa un 9. tabula ietver informāciju par pasākumiem, reformām un investīcijām, kas tiek īstenotas lai izpildītu 2019.-2024. gadu periodā Latvijai adresētas ES Padomes valstu specifiskās rekomendācijas un ES kopīgas prioritātes. 9. tabulā ir atspoguļota detalizēta informācija par visiem pasākumiem, reformām un investīcijām, kā arī to saistība, kur tas ir saistoši, ar ES daudzgadu budžetu 2021.</w:t>
      </w:r>
      <w:r w:rsidR="000E6E94">
        <w:rPr>
          <w:rFonts w:eastAsia="Calibri" w:cs="Times New Roman"/>
          <w:kern w:val="2"/>
          <w:szCs w:val="24"/>
          <w14:ligatures w14:val="standardContextual"/>
        </w:rPr>
        <w:t xml:space="preserve"> – </w:t>
      </w:r>
      <w:r w:rsidRPr="00BF055E">
        <w:rPr>
          <w:rFonts w:eastAsia="Calibri" w:cs="Times New Roman"/>
          <w:kern w:val="2"/>
          <w:szCs w:val="24"/>
          <w14:ligatures w14:val="standardContextual"/>
        </w:rPr>
        <w:t>2027. gadam, Latvijas ANM plānu, Eiropas Sociālo tiesību pīlāru un ANO ilgtspējīgas attīstības mērķiem</w:t>
      </w:r>
      <w:r w:rsidR="000E6E94">
        <w:rPr>
          <w:rFonts w:eastAsia="Calibri" w:cs="Times New Roman"/>
          <w:kern w:val="2"/>
          <w:szCs w:val="24"/>
          <w14:ligatures w14:val="standardContextual"/>
        </w:rPr>
        <w:t xml:space="preserve"> (IAM)</w:t>
      </w:r>
      <w:r w:rsidRPr="00BF055E">
        <w:rPr>
          <w:rFonts w:eastAsia="Calibri" w:cs="Times New Roman"/>
          <w:kern w:val="2"/>
          <w:szCs w:val="24"/>
          <w14:ligatures w14:val="standardContextual"/>
        </w:rPr>
        <w:t>. Šī nodaļa ietver kopsavilkumu par 9. tabulā iekļautajiem pasākumiem.</w:t>
      </w:r>
    </w:p>
    <w:p w14:paraId="37371AEF" w14:textId="49674160"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Ņemot vērā 2019.</w:t>
      </w:r>
      <w:r w:rsidR="000E6E94">
        <w:rPr>
          <w:rFonts w:eastAsia="Calibri" w:cs="Times New Roman"/>
          <w:kern w:val="2"/>
          <w:szCs w:val="24"/>
          <w14:ligatures w14:val="standardContextual"/>
        </w:rPr>
        <w:t xml:space="preserve"> – </w:t>
      </w:r>
      <w:r w:rsidRPr="00BF055E">
        <w:rPr>
          <w:rFonts w:eastAsia="Calibri" w:cs="Times New Roman"/>
          <w:kern w:val="2"/>
          <w:szCs w:val="24"/>
          <w14:ligatures w14:val="standardContextual"/>
        </w:rPr>
        <w:t xml:space="preserve">2024. gadu periodā Latvijai adresētas ES Padomes valstu specifiskās rekomendācijas un ES kopīgas prioritātes, Latvijas FSP strukturālās sadaļas pasākumu, reformu un investīciju īstenošana notiek šādos </w:t>
      </w:r>
      <w:r w:rsidRPr="00BF055E">
        <w:rPr>
          <w:rFonts w:eastAsia="Calibri" w:cs="Times New Roman"/>
          <w:b/>
          <w:bCs/>
          <w:kern w:val="2"/>
          <w:szCs w:val="24"/>
          <w14:ligatures w14:val="standardContextual"/>
        </w:rPr>
        <w:t>politikas virzienos</w:t>
      </w:r>
      <w:r w:rsidRPr="00BF055E">
        <w:rPr>
          <w:rFonts w:eastAsia="Calibri" w:cs="Times New Roman"/>
          <w:kern w:val="2"/>
          <w:szCs w:val="24"/>
          <w14:ligatures w14:val="standardContextual"/>
        </w:rPr>
        <w:t>:</w:t>
      </w:r>
    </w:p>
    <w:p w14:paraId="58111193" w14:textId="77777777" w:rsidR="00BF055E" w:rsidRPr="00BF055E" w:rsidRDefault="00BF055E" w:rsidP="006357B3">
      <w:pPr>
        <w:numPr>
          <w:ilvl w:val="0"/>
          <w:numId w:val="4"/>
        </w:numPr>
        <w:spacing w:after="0" w:line="240" w:lineRule="auto"/>
        <w:ind w:left="567"/>
        <w:jc w:val="left"/>
        <w:rPr>
          <w:rFonts w:eastAsia="Calibri" w:cs="Times New Roman"/>
          <w:kern w:val="2"/>
          <w:szCs w:val="24"/>
          <w14:ligatures w14:val="standardContextual"/>
        </w:rPr>
      </w:pPr>
      <w:r w:rsidRPr="00BF055E">
        <w:rPr>
          <w:rFonts w:eastAsia="Calibri" w:cs="Times New Roman"/>
          <w:kern w:val="2"/>
          <w:szCs w:val="24"/>
          <w14:ligatures w14:val="standardContextual"/>
        </w:rPr>
        <w:t>nodokļu politika;</w:t>
      </w:r>
    </w:p>
    <w:p w14:paraId="21DC0A92"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sociālā aizsardzība un drošība;</w:t>
      </w:r>
    </w:p>
    <w:p w14:paraId="118E5889"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veselības aprūpe;</w:t>
      </w:r>
    </w:p>
    <w:p w14:paraId="1CE73CEA"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bookmarkStart w:id="56" w:name="_Hlk175831007"/>
      <w:r w:rsidRPr="00BF055E">
        <w:rPr>
          <w:rFonts w:eastAsia="Calibri" w:cs="Times New Roman"/>
          <w:kern w:val="2"/>
          <w:szCs w:val="24"/>
          <w14:ligatures w14:val="standardContextual"/>
        </w:rPr>
        <w:t>izglītība un prasmes (kvalitatīva izglītība; zaļo prasmju attīstība; digitālo prasmju attīstība)</w:t>
      </w:r>
      <w:bookmarkEnd w:id="56"/>
      <w:r w:rsidRPr="00BF055E">
        <w:rPr>
          <w:rFonts w:eastAsia="Calibri" w:cs="Times New Roman"/>
          <w:kern w:val="2"/>
          <w:szCs w:val="24"/>
          <w14:ligatures w14:val="standardContextual"/>
        </w:rPr>
        <w:t>;</w:t>
      </w:r>
    </w:p>
    <w:p w14:paraId="6E1898DF"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nodarbinātības politika;</w:t>
      </w:r>
    </w:p>
    <w:p w14:paraId="40ADA83C"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uzņēmējdarbības vide;</w:t>
      </w:r>
    </w:p>
    <w:p w14:paraId="611BDE23"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investīciju veicināšana;</w:t>
      </w:r>
    </w:p>
    <w:p w14:paraId="0525C47A"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enerģētika un energoefektivitāte;</w:t>
      </w:r>
    </w:p>
    <w:p w14:paraId="14EF350B"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mājokļu pieejamība;</w:t>
      </w:r>
    </w:p>
    <w:p w14:paraId="37D2ADBB"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transporta ilgtspēja;</w:t>
      </w:r>
    </w:p>
    <w:p w14:paraId="285FA465"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digitālā infrastruktūra;</w:t>
      </w:r>
    </w:p>
    <w:p w14:paraId="783278C6"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pāreja uz aprites ekonomiku;</w:t>
      </w:r>
    </w:p>
    <w:p w14:paraId="43504C13"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publiskās pārvaldes efektivitāte;</w:t>
      </w:r>
    </w:p>
    <w:p w14:paraId="7A835063" w14:textId="77777777" w:rsidR="00BF055E" w:rsidRPr="00BF055E" w:rsidRDefault="00BF055E" w:rsidP="006357B3">
      <w:pPr>
        <w:numPr>
          <w:ilvl w:val="0"/>
          <w:numId w:val="4"/>
        </w:numPr>
        <w:spacing w:before="120" w:line="240" w:lineRule="auto"/>
        <w:ind w:left="567"/>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citas reformas un investīcijas, kas vērstas uz ES kopīgu prioritāšu īstenošanu (taisnīga zaļā un digitālā pārkārtošanās; sociālā un ekonomikas noturība, t.sk. Eiropas Sociālo tiesību pīlārs; enerģētikas drošība (reformas un investīcijas ir atspoguļotas sadaļā par enerģētikas un energoefektivitātes politikas virzienu); aizsardzības spēju veidošana).</w:t>
      </w:r>
    </w:p>
    <w:p w14:paraId="1AAFDDDA" w14:textId="77777777" w:rsidR="00BF055E" w:rsidRPr="00BF055E" w:rsidRDefault="00BF055E" w:rsidP="006357B3">
      <w:pPr>
        <w:spacing w:before="120" w:line="240" w:lineRule="auto"/>
        <w:contextualSpacing/>
        <w:jc w:val="left"/>
        <w:rPr>
          <w:rFonts w:eastAsia="Calibri" w:cs="Times New Roman"/>
          <w:kern w:val="2"/>
          <w:szCs w:val="24"/>
          <w14:ligatures w14:val="standardContextual"/>
        </w:rPr>
      </w:pPr>
    </w:p>
    <w:p w14:paraId="12C88BF0" w14:textId="254FA5D7" w:rsidR="00BF055E" w:rsidRPr="000E6E94" w:rsidRDefault="00BF055E" w:rsidP="006357B3">
      <w:pPr>
        <w:spacing w:before="120" w:line="240" w:lineRule="auto"/>
        <w:contextualSpacing/>
        <w:jc w:val="left"/>
        <w:rPr>
          <w:rFonts w:eastAsia="Calibri" w:cs="Times New Roman"/>
          <w:kern w:val="2"/>
          <w:szCs w:val="24"/>
          <w14:ligatures w14:val="standardContextual"/>
        </w:rPr>
      </w:pPr>
      <w:r w:rsidRPr="00BF055E">
        <w:rPr>
          <w:rFonts w:eastAsia="Calibri" w:cs="Times New Roman"/>
          <w:kern w:val="2"/>
          <w:szCs w:val="24"/>
          <w14:ligatures w14:val="standardContextual"/>
        </w:rPr>
        <w:t>Zemāk ir atspoguļots katra augstākminētā politikas virzienā iekļauto pasākumu kopsavilkums.</w:t>
      </w:r>
    </w:p>
    <w:p w14:paraId="3E6088EB" w14:textId="77777777" w:rsidR="002201EA" w:rsidRDefault="002201EA" w:rsidP="006357B3">
      <w:pPr>
        <w:spacing w:line="240" w:lineRule="auto"/>
        <w:rPr>
          <w:rFonts w:eastAsia="Calibri" w:cs="Times New Roman"/>
          <w:b/>
          <w:bCs/>
          <w:i/>
          <w:iCs/>
          <w:kern w:val="2"/>
          <w:szCs w:val="24"/>
          <w14:ligatures w14:val="standardContextual"/>
        </w:rPr>
      </w:pPr>
    </w:p>
    <w:p w14:paraId="52A8D0C8" w14:textId="77777777" w:rsidR="002201EA" w:rsidRDefault="002201EA" w:rsidP="006357B3">
      <w:pPr>
        <w:spacing w:line="240" w:lineRule="auto"/>
        <w:rPr>
          <w:rFonts w:eastAsia="Calibri" w:cs="Times New Roman"/>
          <w:b/>
          <w:bCs/>
          <w:i/>
          <w:iCs/>
          <w:kern w:val="2"/>
          <w:szCs w:val="24"/>
          <w14:ligatures w14:val="standardContextual"/>
        </w:rPr>
      </w:pPr>
    </w:p>
    <w:p w14:paraId="32AD22D9" w14:textId="18716E80"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lastRenderedPageBreak/>
        <w:t>9</w:t>
      </w:r>
      <w:r w:rsidR="00BF055E" w:rsidRPr="00BF055E">
        <w:rPr>
          <w:rFonts w:eastAsia="Calibri" w:cs="Times New Roman"/>
          <w:b/>
          <w:bCs/>
          <w:i/>
          <w:iCs/>
          <w:kern w:val="2"/>
          <w:szCs w:val="24"/>
          <w14:ligatures w14:val="standardContextual"/>
        </w:rPr>
        <w:t>.1.1. Nodokļu politika</w:t>
      </w:r>
    </w:p>
    <w:p w14:paraId="371E9C33"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Galvenie nodokļu politikas pasākumi ir vērsti uz nodokļu sloga mazināšanu zemo un vidējo algu saņēmējiem, nodokļu sloga novirzīšanu uz kapitāla un netiešajiem nodokļiem, kā arī nodokļu nomaksas un saistību izpildes uzlabošanu (finanšu dokumentu </w:t>
      </w:r>
      <w:proofErr w:type="spellStart"/>
      <w:r w:rsidRPr="00BF055E">
        <w:rPr>
          <w:rFonts w:eastAsia="Calibri" w:cs="Times New Roman"/>
          <w:kern w:val="2"/>
          <w:szCs w:val="24"/>
          <w14:ligatures w14:val="standardContextual"/>
        </w:rPr>
        <w:t>digitalizācija</w:t>
      </w:r>
      <w:proofErr w:type="spellEnd"/>
      <w:r w:rsidRPr="00BF055E">
        <w:rPr>
          <w:rFonts w:eastAsia="Calibri" w:cs="Times New Roman"/>
          <w:kern w:val="2"/>
          <w:szCs w:val="24"/>
          <w14:ligatures w14:val="standardContextual"/>
        </w:rPr>
        <w:t>, pārrobežu sadarbība, VID klientu apkalpošanas uzlabošana, e-muitas pilnveidošana, gada ienākumu deklarācijas modernizācija, VID analītisko risinājumu pilnveidošana u.c.).</w:t>
      </w:r>
    </w:p>
    <w:p w14:paraId="2C5B214D" w14:textId="3A68B671"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nodokļu politika</w:t>
      </w:r>
    </w:p>
    <w:tbl>
      <w:tblPr>
        <w:tblW w:w="0" w:type="auto"/>
        <w:tblInd w:w="-147" w:type="dxa"/>
        <w:tblLayout w:type="fixed"/>
        <w:tblLook w:val="04A0" w:firstRow="1" w:lastRow="0" w:firstColumn="1" w:lastColumn="0" w:noHBand="0" w:noVBand="1"/>
      </w:tblPr>
      <w:tblGrid>
        <w:gridCol w:w="1876"/>
        <w:gridCol w:w="2026"/>
        <w:gridCol w:w="2194"/>
        <w:gridCol w:w="1110"/>
        <w:gridCol w:w="1323"/>
        <w:gridCol w:w="1229"/>
        <w:gridCol w:w="807"/>
        <w:gridCol w:w="837"/>
        <w:gridCol w:w="1086"/>
        <w:gridCol w:w="1056"/>
        <w:gridCol w:w="1186"/>
      </w:tblGrid>
      <w:tr w:rsidR="00F238CC" w:rsidRPr="00BF055E" w14:paraId="5336BF55" w14:textId="77777777" w:rsidTr="00F238CC">
        <w:trPr>
          <w:trHeight w:val="20"/>
          <w:tblHeader/>
        </w:trPr>
        <w:tc>
          <w:tcPr>
            <w:tcW w:w="1876"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3F19597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2026" w:type="dxa"/>
            <w:tcBorders>
              <w:top w:val="single" w:sz="4" w:space="0" w:color="auto"/>
              <w:left w:val="nil"/>
              <w:bottom w:val="single" w:sz="4" w:space="0" w:color="auto"/>
              <w:right w:val="single" w:sz="4" w:space="0" w:color="auto"/>
            </w:tcBorders>
            <w:shd w:val="clear" w:color="000000" w:fill="95B3D7"/>
            <w:vAlign w:val="center"/>
            <w:hideMark/>
          </w:tcPr>
          <w:p w14:paraId="4A8A29E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Mērķis </w:t>
            </w:r>
          </w:p>
          <w:p w14:paraId="317696E7"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(ko ar pasākumu </w:t>
            </w:r>
          </w:p>
          <w:p w14:paraId="2D87EBC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vēlas sasniegt?)</w:t>
            </w:r>
          </w:p>
        </w:tc>
        <w:tc>
          <w:tcPr>
            <w:tcW w:w="2194" w:type="dxa"/>
            <w:tcBorders>
              <w:top w:val="single" w:sz="4" w:space="0" w:color="auto"/>
              <w:left w:val="nil"/>
              <w:bottom w:val="single" w:sz="4" w:space="0" w:color="auto"/>
              <w:right w:val="single" w:sz="4" w:space="0" w:color="auto"/>
            </w:tcBorders>
            <w:shd w:val="clear" w:color="000000" w:fill="95B3D7"/>
            <w:vAlign w:val="center"/>
            <w:hideMark/>
          </w:tcPr>
          <w:p w14:paraId="526D9659"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087" w:type="dxa"/>
            <w:tcBorders>
              <w:top w:val="single" w:sz="4" w:space="0" w:color="auto"/>
              <w:left w:val="nil"/>
              <w:bottom w:val="single" w:sz="4" w:space="0" w:color="auto"/>
              <w:right w:val="single" w:sz="4" w:space="0" w:color="auto"/>
            </w:tcBorders>
            <w:shd w:val="clear" w:color="000000" w:fill="95B3D7"/>
            <w:vAlign w:val="center"/>
            <w:hideMark/>
          </w:tcPr>
          <w:p w14:paraId="512DB8B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323" w:type="dxa"/>
            <w:tcBorders>
              <w:top w:val="single" w:sz="4" w:space="0" w:color="auto"/>
              <w:left w:val="nil"/>
              <w:bottom w:val="single" w:sz="4" w:space="0" w:color="auto"/>
              <w:right w:val="single" w:sz="4" w:space="0" w:color="auto"/>
            </w:tcBorders>
            <w:shd w:val="clear" w:color="000000" w:fill="95B3D7"/>
            <w:vAlign w:val="center"/>
            <w:hideMark/>
          </w:tcPr>
          <w:p w14:paraId="6214ED6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229" w:type="dxa"/>
            <w:tcBorders>
              <w:top w:val="single" w:sz="4" w:space="0" w:color="auto"/>
              <w:left w:val="nil"/>
              <w:bottom w:val="single" w:sz="4" w:space="0" w:color="auto"/>
              <w:right w:val="single" w:sz="4" w:space="0" w:color="auto"/>
            </w:tcBorders>
            <w:shd w:val="clear" w:color="000000" w:fill="95B3D7"/>
            <w:vAlign w:val="center"/>
            <w:hideMark/>
          </w:tcPr>
          <w:p w14:paraId="57E51C0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807" w:type="dxa"/>
            <w:tcBorders>
              <w:top w:val="single" w:sz="4" w:space="0" w:color="auto"/>
              <w:left w:val="nil"/>
              <w:bottom w:val="single" w:sz="4" w:space="0" w:color="auto"/>
              <w:right w:val="single" w:sz="4" w:space="0" w:color="auto"/>
            </w:tcBorders>
            <w:shd w:val="clear" w:color="000000" w:fill="95B3D7"/>
            <w:vAlign w:val="center"/>
            <w:hideMark/>
          </w:tcPr>
          <w:p w14:paraId="5DE49090" w14:textId="77777777" w:rsidR="00F238CC"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0B702F0E" w14:textId="4709CC04"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837" w:type="dxa"/>
            <w:tcBorders>
              <w:top w:val="single" w:sz="4" w:space="0" w:color="auto"/>
              <w:left w:val="nil"/>
              <w:bottom w:val="single" w:sz="4" w:space="0" w:color="auto"/>
              <w:right w:val="single" w:sz="4" w:space="0" w:color="auto"/>
            </w:tcBorders>
            <w:shd w:val="clear" w:color="000000" w:fill="95B3D7"/>
            <w:vAlign w:val="center"/>
            <w:hideMark/>
          </w:tcPr>
          <w:p w14:paraId="69C9D3A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1086" w:type="dxa"/>
            <w:tcBorders>
              <w:top w:val="single" w:sz="4" w:space="0" w:color="auto"/>
              <w:left w:val="nil"/>
              <w:bottom w:val="single" w:sz="4" w:space="0" w:color="auto"/>
              <w:right w:val="single" w:sz="4" w:space="0" w:color="auto"/>
            </w:tcBorders>
            <w:shd w:val="clear" w:color="000000" w:fill="95B3D7"/>
            <w:vAlign w:val="center"/>
            <w:hideMark/>
          </w:tcPr>
          <w:p w14:paraId="7EC95D8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1056" w:type="dxa"/>
            <w:tcBorders>
              <w:top w:val="single" w:sz="4" w:space="0" w:color="auto"/>
              <w:left w:val="nil"/>
              <w:bottom w:val="single" w:sz="4" w:space="0" w:color="auto"/>
              <w:right w:val="single" w:sz="4" w:space="0" w:color="auto"/>
            </w:tcBorders>
            <w:shd w:val="clear" w:color="000000" w:fill="95B3D7"/>
            <w:vAlign w:val="center"/>
            <w:hideMark/>
          </w:tcPr>
          <w:p w14:paraId="0E16A053"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1186" w:type="dxa"/>
            <w:tcBorders>
              <w:top w:val="single" w:sz="4" w:space="0" w:color="auto"/>
              <w:left w:val="nil"/>
              <w:bottom w:val="single" w:sz="4" w:space="0" w:color="auto"/>
              <w:right w:val="single" w:sz="4" w:space="0" w:color="auto"/>
            </w:tcBorders>
            <w:shd w:val="clear" w:color="000000" w:fill="95B3D7"/>
            <w:vAlign w:val="center"/>
            <w:hideMark/>
          </w:tcPr>
          <w:p w14:paraId="15114953"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00B42529" w14:textId="77777777" w:rsidTr="00F238CC">
        <w:trPr>
          <w:trHeight w:val="20"/>
          <w:tblHeader/>
        </w:trPr>
        <w:tc>
          <w:tcPr>
            <w:tcW w:w="14707" w:type="dxa"/>
            <w:gridSpan w:val="11"/>
            <w:tcBorders>
              <w:top w:val="single" w:sz="4" w:space="0" w:color="auto"/>
              <w:left w:val="single" w:sz="4" w:space="0" w:color="auto"/>
              <w:bottom w:val="single" w:sz="4" w:space="0" w:color="auto"/>
              <w:right w:val="single" w:sz="4" w:space="0" w:color="auto"/>
            </w:tcBorders>
            <w:shd w:val="clear" w:color="000000" w:fill="F2DCDB"/>
            <w:vAlign w:val="center"/>
            <w:hideMark/>
          </w:tcPr>
          <w:p w14:paraId="7656F2F9" w14:textId="77777777" w:rsidR="00BF055E" w:rsidRPr="00BF055E" w:rsidRDefault="00BF055E" w:rsidP="006357B3">
            <w:pPr>
              <w:spacing w:after="0" w:line="240" w:lineRule="auto"/>
              <w:ind w:firstLine="0"/>
              <w:jc w:val="left"/>
              <w:rPr>
                <w:rFonts w:eastAsia="Times New Roman" w:cs="Times New Roman"/>
                <w:b/>
                <w:bCs/>
                <w:i/>
                <w:iCs/>
                <w:color w:val="000000"/>
                <w:sz w:val="18"/>
                <w:szCs w:val="18"/>
                <w:lang w:eastAsia="lv-LV"/>
              </w:rPr>
            </w:pPr>
            <w:r w:rsidRPr="00BF055E">
              <w:rPr>
                <w:rFonts w:eastAsia="Times New Roman" w:cs="Times New Roman"/>
                <w:b/>
                <w:bCs/>
                <w:i/>
                <w:iCs/>
                <w:color w:val="000000"/>
                <w:sz w:val="18"/>
                <w:szCs w:val="18"/>
                <w:lang w:eastAsia="lv-LV"/>
              </w:rPr>
              <w:t>Politikas virziens - Nodokļu politika</w:t>
            </w:r>
          </w:p>
        </w:tc>
      </w:tr>
      <w:tr w:rsidR="00F238CC" w:rsidRPr="00BF055E" w14:paraId="02F75A43" w14:textId="77777777" w:rsidTr="00F238CC">
        <w:trPr>
          <w:trHeight w:val="20"/>
        </w:trPr>
        <w:tc>
          <w:tcPr>
            <w:tcW w:w="1876" w:type="dxa"/>
            <w:tcBorders>
              <w:top w:val="nil"/>
              <w:left w:val="single" w:sz="4" w:space="0" w:color="auto"/>
              <w:bottom w:val="single" w:sz="4" w:space="0" w:color="auto"/>
              <w:right w:val="single" w:sz="4" w:space="0" w:color="auto"/>
            </w:tcBorders>
            <w:shd w:val="clear" w:color="auto" w:fill="auto"/>
            <w:hideMark/>
          </w:tcPr>
          <w:p w14:paraId="1A023C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sloga mazināšana zemo algu saņēmējiem</w:t>
            </w:r>
          </w:p>
        </w:tc>
        <w:tc>
          <w:tcPr>
            <w:tcW w:w="2026" w:type="dxa"/>
            <w:tcBorders>
              <w:top w:val="nil"/>
              <w:left w:val="nil"/>
              <w:bottom w:val="single" w:sz="4" w:space="0" w:color="auto"/>
              <w:right w:val="single" w:sz="4" w:space="0" w:color="auto"/>
            </w:tcBorders>
            <w:shd w:val="clear" w:color="auto" w:fill="auto"/>
            <w:hideMark/>
          </w:tcPr>
          <w:p w14:paraId="62CBA9F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Rīcībā esošā ienākuma palielināšana zemo un vidējo algu saņēmējiem.</w:t>
            </w:r>
          </w:p>
        </w:tc>
        <w:tc>
          <w:tcPr>
            <w:tcW w:w="2171" w:type="dxa"/>
            <w:tcBorders>
              <w:top w:val="nil"/>
              <w:left w:val="nil"/>
              <w:bottom w:val="single" w:sz="4" w:space="0" w:color="auto"/>
              <w:right w:val="single" w:sz="4" w:space="0" w:color="auto"/>
            </w:tcBorders>
            <w:shd w:val="clear" w:color="auto" w:fill="auto"/>
            <w:hideMark/>
          </w:tcPr>
          <w:p w14:paraId="1611B812" w14:textId="4E8CD069" w:rsidR="00E10E25" w:rsidRPr="00E10E25"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M</w:t>
            </w:r>
            <w:r>
              <w:rPr>
                <w:rFonts w:eastAsia="Times New Roman" w:cs="Times New Roman"/>
                <w:sz w:val="18"/>
                <w:szCs w:val="18"/>
                <w:lang w:eastAsia="lv-LV"/>
              </w:rPr>
              <w:t>K</w:t>
            </w:r>
            <w:r w:rsidRPr="00E10E25">
              <w:rPr>
                <w:rFonts w:eastAsia="Times New Roman" w:cs="Times New Roman"/>
                <w:sz w:val="18"/>
                <w:szCs w:val="18"/>
                <w:lang w:eastAsia="lv-LV"/>
              </w:rPr>
              <w:t xml:space="preserve"> apstiprinātas izmaiņas: </w:t>
            </w:r>
          </w:p>
          <w:p w14:paraId="40CF4F19" w14:textId="535BADBD" w:rsidR="00E10E25" w:rsidRPr="00E10E25"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xml:space="preserve">- Diferencētā neapliekamā minimuma aizstāšana ar vienotu (fiksētu) neapliekamo minimumu, kas tiek piemērots visiem darba ņēmējiem neatkarīgi no bruto ienākuma apmēra, no 2025. gada nosakot to 510 </w:t>
            </w:r>
            <w:proofErr w:type="spellStart"/>
            <w:r w:rsidRPr="00E10E25">
              <w:rPr>
                <w:rFonts w:eastAsia="Times New Roman" w:cs="Times New Roman"/>
                <w:i/>
                <w:iCs/>
                <w:sz w:val="18"/>
                <w:szCs w:val="18"/>
                <w:lang w:eastAsia="lv-LV"/>
              </w:rPr>
              <w:t>euro</w:t>
            </w:r>
            <w:proofErr w:type="spellEnd"/>
            <w:r w:rsidRPr="00E10E25">
              <w:rPr>
                <w:rFonts w:eastAsia="Times New Roman" w:cs="Times New Roman"/>
                <w:sz w:val="18"/>
                <w:szCs w:val="18"/>
                <w:lang w:eastAsia="lv-LV"/>
              </w:rPr>
              <w:t xml:space="preserve"> apmērā mēnesī, kā arī turpmāka neapliekamā minimuma paaugstināšana uz 550 </w:t>
            </w:r>
            <w:proofErr w:type="spellStart"/>
            <w:r w:rsidRPr="00E10E25">
              <w:rPr>
                <w:rFonts w:eastAsia="Times New Roman" w:cs="Times New Roman"/>
                <w:i/>
                <w:iCs/>
                <w:sz w:val="18"/>
                <w:szCs w:val="18"/>
                <w:lang w:eastAsia="lv-LV"/>
              </w:rPr>
              <w:t>euro</w:t>
            </w:r>
            <w:proofErr w:type="spellEnd"/>
            <w:r w:rsidRPr="00E10E25">
              <w:rPr>
                <w:rFonts w:eastAsia="Times New Roman" w:cs="Times New Roman"/>
                <w:sz w:val="18"/>
                <w:szCs w:val="18"/>
                <w:lang w:eastAsia="lv-LV"/>
              </w:rPr>
              <w:t xml:space="preserve"> mēnesī no 2026. gada, un uz 570 </w:t>
            </w:r>
            <w:proofErr w:type="spellStart"/>
            <w:r w:rsidRPr="00E10E25">
              <w:rPr>
                <w:rFonts w:eastAsia="Times New Roman" w:cs="Times New Roman"/>
                <w:i/>
                <w:iCs/>
                <w:sz w:val="18"/>
                <w:szCs w:val="18"/>
                <w:lang w:eastAsia="lv-LV"/>
              </w:rPr>
              <w:t>euro</w:t>
            </w:r>
            <w:proofErr w:type="spellEnd"/>
            <w:r w:rsidRPr="00E10E25">
              <w:rPr>
                <w:rFonts w:eastAsia="Times New Roman" w:cs="Times New Roman"/>
                <w:sz w:val="18"/>
                <w:szCs w:val="18"/>
                <w:lang w:eastAsia="lv-LV"/>
              </w:rPr>
              <w:t xml:space="preserve"> mēnesī no 2027. gada.</w:t>
            </w:r>
          </w:p>
          <w:p w14:paraId="6C1A53A3" w14:textId="7F250978" w:rsidR="00E10E25" w:rsidRPr="00E10E25"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xml:space="preserve"> - No 2025. gada </w:t>
            </w:r>
            <w:r>
              <w:rPr>
                <w:rFonts w:eastAsia="Times New Roman" w:cs="Times New Roman"/>
                <w:sz w:val="18"/>
                <w:szCs w:val="18"/>
                <w:lang w:eastAsia="lv-LV"/>
              </w:rPr>
              <w:t>IIN</w:t>
            </w:r>
            <w:r w:rsidRPr="00E10E25">
              <w:rPr>
                <w:rFonts w:eastAsia="Times New Roman" w:cs="Times New Roman"/>
                <w:sz w:val="18"/>
                <w:szCs w:val="18"/>
                <w:lang w:eastAsia="lv-LV"/>
              </w:rPr>
              <w:t xml:space="preserve"> likmes noteikšana 25,5% apmērā gada ienākumam līdz 105 300 </w:t>
            </w:r>
            <w:proofErr w:type="spellStart"/>
            <w:r w:rsidRPr="00E10E25">
              <w:rPr>
                <w:rFonts w:eastAsia="Times New Roman" w:cs="Times New Roman"/>
                <w:i/>
                <w:iCs/>
                <w:sz w:val="18"/>
                <w:szCs w:val="18"/>
                <w:lang w:eastAsia="lv-LV"/>
              </w:rPr>
              <w:t>euro</w:t>
            </w:r>
            <w:proofErr w:type="spellEnd"/>
            <w:r w:rsidRPr="00E10E25">
              <w:rPr>
                <w:rFonts w:eastAsia="Times New Roman" w:cs="Times New Roman"/>
                <w:sz w:val="18"/>
                <w:szCs w:val="18"/>
                <w:lang w:eastAsia="lv-LV"/>
              </w:rPr>
              <w:t xml:space="preserve"> un 33% apmērā gada ienākuma daļai, kas pārsniedz 105 300 </w:t>
            </w:r>
            <w:proofErr w:type="spellStart"/>
            <w:r w:rsidRPr="00E10E25">
              <w:rPr>
                <w:rFonts w:eastAsia="Times New Roman" w:cs="Times New Roman"/>
                <w:i/>
                <w:iCs/>
                <w:sz w:val="18"/>
                <w:szCs w:val="18"/>
                <w:lang w:eastAsia="lv-LV"/>
              </w:rPr>
              <w:t>euro</w:t>
            </w:r>
            <w:proofErr w:type="spellEnd"/>
            <w:r w:rsidRPr="00E10E25">
              <w:rPr>
                <w:rFonts w:eastAsia="Times New Roman" w:cs="Times New Roman"/>
                <w:sz w:val="18"/>
                <w:szCs w:val="18"/>
                <w:lang w:eastAsia="lv-LV"/>
              </w:rPr>
              <w:t>, kas faktiski tiek iekasēts, samaksājot solidaritātes nodokli.</w:t>
            </w:r>
          </w:p>
          <w:p w14:paraId="49078116" w14:textId="77777777" w:rsidR="00E10E25" w:rsidRPr="00E10E25"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xml:space="preserve"> - No 2025. gada pensionāra neapliekamā minimuma paaugstināšana </w:t>
            </w:r>
            <w:r w:rsidRPr="00E10E25">
              <w:rPr>
                <w:rFonts w:eastAsia="Times New Roman" w:cs="Times New Roman"/>
                <w:sz w:val="18"/>
                <w:szCs w:val="18"/>
                <w:lang w:eastAsia="lv-LV"/>
              </w:rPr>
              <w:lastRenderedPageBreak/>
              <w:t xml:space="preserve">no 500 uz 1000 </w:t>
            </w:r>
            <w:proofErr w:type="spellStart"/>
            <w:r w:rsidRPr="00E10E25">
              <w:rPr>
                <w:rFonts w:eastAsia="Times New Roman" w:cs="Times New Roman"/>
                <w:i/>
                <w:iCs/>
                <w:sz w:val="18"/>
                <w:szCs w:val="18"/>
                <w:lang w:eastAsia="lv-LV"/>
              </w:rPr>
              <w:t>euro</w:t>
            </w:r>
            <w:proofErr w:type="spellEnd"/>
            <w:r w:rsidRPr="00E10E25">
              <w:rPr>
                <w:rFonts w:eastAsia="Times New Roman" w:cs="Times New Roman"/>
                <w:sz w:val="18"/>
                <w:szCs w:val="18"/>
                <w:lang w:eastAsia="lv-LV"/>
              </w:rPr>
              <w:t xml:space="preserve"> mēnesī.</w:t>
            </w:r>
          </w:p>
          <w:p w14:paraId="3A438A36" w14:textId="3FEFFFFC" w:rsidR="00BF055E" w:rsidRPr="00BF055E"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Ikgadēja minimālās mēneša darba algas paaugstināšana.</w:t>
            </w:r>
          </w:p>
        </w:tc>
        <w:tc>
          <w:tcPr>
            <w:tcW w:w="1110" w:type="dxa"/>
            <w:tcBorders>
              <w:top w:val="nil"/>
              <w:left w:val="nil"/>
              <w:bottom w:val="single" w:sz="4" w:space="0" w:color="auto"/>
              <w:right w:val="single" w:sz="4" w:space="0" w:color="auto"/>
            </w:tcBorders>
            <w:shd w:val="clear" w:color="000000" w:fill="FFFFFF"/>
            <w:hideMark/>
          </w:tcPr>
          <w:p w14:paraId="4C19FA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2025-2027</w:t>
            </w:r>
          </w:p>
        </w:tc>
        <w:tc>
          <w:tcPr>
            <w:tcW w:w="1323" w:type="dxa"/>
            <w:tcBorders>
              <w:top w:val="nil"/>
              <w:left w:val="nil"/>
              <w:bottom w:val="single" w:sz="4" w:space="0" w:color="auto"/>
              <w:right w:val="single" w:sz="4" w:space="0" w:color="auto"/>
            </w:tcBorders>
            <w:shd w:val="clear" w:color="000000" w:fill="FFFFFF"/>
            <w:hideMark/>
          </w:tcPr>
          <w:p w14:paraId="1BBD4B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budžets</w:t>
            </w:r>
          </w:p>
        </w:tc>
        <w:tc>
          <w:tcPr>
            <w:tcW w:w="1229" w:type="dxa"/>
            <w:tcBorders>
              <w:top w:val="nil"/>
              <w:left w:val="nil"/>
              <w:bottom w:val="single" w:sz="4" w:space="0" w:color="auto"/>
              <w:right w:val="single" w:sz="4" w:space="0" w:color="auto"/>
            </w:tcBorders>
            <w:shd w:val="clear" w:color="000000" w:fill="FFFFFF"/>
            <w:hideMark/>
          </w:tcPr>
          <w:p w14:paraId="4804F27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w:t>
            </w:r>
          </w:p>
        </w:tc>
        <w:tc>
          <w:tcPr>
            <w:tcW w:w="807" w:type="dxa"/>
            <w:tcBorders>
              <w:top w:val="nil"/>
              <w:left w:val="nil"/>
              <w:bottom w:val="single" w:sz="4" w:space="0" w:color="auto"/>
              <w:right w:val="single" w:sz="4" w:space="0" w:color="auto"/>
            </w:tcBorders>
            <w:shd w:val="clear" w:color="000000" w:fill="FFFFFF"/>
            <w:hideMark/>
          </w:tcPr>
          <w:p w14:paraId="00D792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7" w:type="dxa"/>
            <w:tcBorders>
              <w:top w:val="nil"/>
              <w:left w:val="nil"/>
              <w:bottom w:val="single" w:sz="4" w:space="0" w:color="auto"/>
              <w:right w:val="single" w:sz="4" w:space="0" w:color="auto"/>
            </w:tcBorders>
            <w:shd w:val="clear" w:color="000000" w:fill="FFFFFF"/>
            <w:hideMark/>
          </w:tcPr>
          <w:p w14:paraId="691F2A8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 2022(1); 2023(1); 2024(1)</w:t>
            </w:r>
          </w:p>
        </w:tc>
        <w:tc>
          <w:tcPr>
            <w:tcW w:w="1086" w:type="dxa"/>
            <w:tcBorders>
              <w:top w:val="nil"/>
              <w:left w:val="nil"/>
              <w:bottom w:val="single" w:sz="4" w:space="0" w:color="auto"/>
              <w:right w:val="single" w:sz="4" w:space="0" w:color="auto"/>
            </w:tcBorders>
            <w:shd w:val="clear" w:color="000000" w:fill="FFFFFF"/>
            <w:hideMark/>
          </w:tcPr>
          <w:p w14:paraId="6BB06D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000000" w:fill="FFFFFF"/>
            <w:hideMark/>
          </w:tcPr>
          <w:p w14:paraId="6A7597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Taisnīgi darba apstākļi</w:t>
            </w:r>
          </w:p>
        </w:tc>
        <w:tc>
          <w:tcPr>
            <w:tcW w:w="1186" w:type="dxa"/>
            <w:tcBorders>
              <w:top w:val="nil"/>
              <w:left w:val="nil"/>
              <w:bottom w:val="single" w:sz="4" w:space="0" w:color="auto"/>
              <w:right w:val="single" w:sz="4" w:space="0" w:color="auto"/>
            </w:tcBorders>
            <w:shd w:val="clear" w:color="000000" w:fill="FFFFFF"/>
            <w:hideMark/>
          </w:tcPr>
          <w:p w14:paraId="3C46CB7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 8. Cienīgs darbs un ekonomiskā izaugsme; 10. Mazināta nevienlīdzība</w:t>
            </w:r>
          </w:p>
        </w:tc>
      </w:tr>
      <w:tr w:rsidR="00F238CC" w:rsidRPr="00BF055E" w14:paraId="79C0F61D" w14:textId="77777777" w:rsidTr="00F238CC">
        <w:trPr>
          <w:trHeight w:val="20"/>
        </w:trPr>
        <w:tc>
          <w:tcPr>
            <w:tcW w:w="1876" w:type="dxa"/>
            <w:tcBorders>
              <w:top w:val="nil"/>
              <w:left w:val="single" w:sz="4" w:space="0" w:color="auto"/>
              <w:bottom w:val="single" w:sz="4" w:space="0" w:color="auto"/>
              <w:right w:val="single" w:sz="4" w:space="0" w:color="auto"/>
            </w:tcBorders>
            <w:shd w:val="clear" w:color="auto" w:fill="auto"/>
            <w:hideMark/>
          </w:tcPr>
          <w:p w14:paraId="664E76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sloga novirzīšana uz kapitāla un īpašuma nodokļiem</w:t>
            </w:r>
          </w:p>
        </w:tc>
        <w:tc>
          <w:tcPr>
            <w:tcW w:w="2026" w:type="dxa"/>
            <w:tcBorders>
              <w:top w:val="nil"/>
              <w:left w:val="nil"/>
              <w:bottom w:val="single" w:sz="4" w:space="0" w:color="auto"/>
              <w:right w:val="single" w:sz="4" w:space="0" w:color="auto"/>
            </w:tcBorders>
            <w:shd w:val="clear" w:color="000000" w:fill="FFFFFF"/>
            <w:hideMark/>
          </w:tcPr>
          <w:p w14:paraId="6B1BAB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Mazināt darbaspēka nodokļu slogu, novirzot to uz citiem avotiem, kas mazāk kaitē izaugsmei.</w:t>
            </w:r>
          </w:p>
        </w:tc>
        <w:tc>
          <w:tcPr>
            <w:tcW w:w="2171" w:type="dxa"/>
            <w:tcBorders>
              <w:top w:val="nil"/>
              <w:left w:val="nil"/>
              <w:bottom w:val="single" w:sz="4" w:space="0" w:color="auto"/>
              <w:right w:val="single" w:sz="4" w:space="0" w:color="auto"/>
            </w:tcBorders>
            <w:shd w:val="clear" w:color="auto" w:fill="auto"/>
            <w:hideMark/>
          </w:tcPr>
          <w:p w14:paraId="27424F24" w14:textId="03AD8B23" w:rsidR="00E10E25" w:rsidRPr="00E10E25" w:rsidRDefault="00E10E25" w:rsidP="006357B3">
            <w:pPr>
              <w:spacing w:after="0" w:line="240" w:lineRule="auto"/>
              <w:ind w:firstLine="0"/>
              <w:jc w:val="left"/>
              <w:rPr>
                <w:rFonts w:eastAsia="Times New Roman" w:cs="Times New Roman"/>
                <w:sz w:val="18"/>
                <w:szCs w:val="18"/>
                <w:lang w:eastAsia="lv-LV"/>
              </w:rPr>
            </w:pPr>
            <w:r>
              <w:rPr>
                <w:rFonts w:eastAsia="Times New Roman" w:cs="Times New Roman"/>
                <w:sz w:val="18"/>
                <w:szCs w:val="18"/>
                <w:lang w:eastAsia="lv-LV"/>
              </w:rPr>
              <w:t>MK</w:t>
            </w:r>
            <w:r w:rsidRPr="00E10E25">
              <w:rPr>
                <w:rFonts w:eastAsia="Times New Roman" w:cs="Times New Roman"/>
                <w:sz w:val="18"/>
                <w:szCs w:val="18"/>
                <w:lang w:eastAsia="lv-LV"/>
              </w:rPr>
              <w:t xml:space="preserve"> apstiprinātas izmaiņas: </w:t>
            </w:r>
          </w:p>
          <w:p w14:paraId="35E2D3B9" w14:textId="7014731D" w:rsidR="00E10E25" w:rsidRPr="00E10E25"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xml:space="preserve">- No 2025. gada papildu </w:t>
            </w:r>
            <w:r>
              <w:rPr>
                <w:rFonts w:eastAsia="Times New Roman" w:cs="Times New Roman"/>
                <w:sz w:val="18"/>
                <w:szCs w:val="18"/>
                <w:lang w:eastAsia="lv-LV"/>
              </w:rPr>
              <w:t>IIN</w:t>
            </w:r>
            <w:r w:rsidRPr="00E10E25">
              <w:rPr>
                <w:rFonts w:eastAsia="Times New Roman" w:cs="Times New Roman"/>
                <w:sz w:val="18"/>
                <w:szCs w:val="18"/>
                <w:lang w:eastAsia="lv-LV"/>
              </w:rPr>
              <w:t xml:space="preserve"> likmes 3% apmērā ieviešana ienākumiem (taksācijas gada ar </w:t>
            </w:r>
            <w:r>
              <w:rPr>
                <w:rFonts w:eastAsia="Times New Roman" w:cs="Times New Roman"/>
                <w:sz w:val="18"/>
                <w:szCs w:val="18"/>
                <w:lang w:eastAsia="lv-LV"/>
              </w:rPr>
              <w:t>IIN</w:t>
            </w:r>
            <w:r w:rsidRPr="00E10E25">
              <w:rPr>
                <w:rFonts w:eastAsia="Times New Roman" w:cs="Times New Roman"/>
                <w:sz w:val="18"/>
                <w:szCs w:val="18"/>
                <w:lang w:eastAsia="lv-LV"/>
              </w:rPr>
              <w:t xml:space="preserve"> apliekamajiem ienākumiem (t.sk. ienākumiem no kapitāla pieauguma un ienākumiem no kapitāla, kas nav kapitāla pieaugums) un no </w:t>
            </w:r>
            <w:r>
              <w:rPr>
                <w:rFonts w:eastAsia="Times New Roman" w:cs="Times New Roman"/>
                <w:sz w:val="18"/>
                <w:szCs w:val="18"/>
                <w:lang w:eastAsia="lv-LV"/>
              </w:rPr>
              <w:t>IIN</w:t>
            </w:r>
            <w:r w:rsidRPr="00E10E25">
              <w:rPr>
                <w:rFonts w:eastAsia="Times New Roman" w:cs="Times New Roman"/>
                <w:sz w:val="18"/>
                <w:szCs w:val="18"/>
                <w:lang w:eastAsia="lv-LV"/>
              </w:rPr>
              <w:t xml:space="preserve"> atbrīvotajām dividendēm un likvidācijas kvotai) virs 200 000 </w:t>
            </w:r>
            <w:proofErr w:type="spellStart"/>
            <w:r w:rsidRPr="00E10E25">
              <w:rPr>
                <w:rFonts w:eastAsia="Times New Roman" w:cs="Times New Roman"/>
                <w:i/>
                <w:iCs/>
                <w:sz w:val="18"/>
                <w:szCs w:val="18"/>
                <w:lang w:eastAsia="lv-LV"/>
              </w:rPr>
              <w:t>euro</w:t>
            </w:r>
            <w:proofErr w:type="spellEnd"/>
            <w:r w:rsidRPr="00E10E25">
              <w:rPr>
                <w:rFonts w:eastAsia="Times New Roman" w:cs="Times New Roman"/>
                <w:sz w:val="18"/>
                <w:szCs w:val="18"/>
                <w:lang w:eastAsia="lv-LV"/>
              </w:rPr>
              <w:t xml:space="preserve"> gadā, deklarējot ienākumus.</w:t>
            </w:r>
          </w:p>
          <w:p w14:paraId="59E1412A" w14:textId="37BEE3E9" w:rsidR="00E10E25" w:rsidRPr="00E10E25"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xml:space="preserve"> - No 2025. gada akcīzes nodokļa likmju paaugstināšana degvielai, dabasgāzei, naftas gāzēm, bezalkoholiskajiem dzērieniem ar cukura saturu līdz 8g</w:t>
            </w:r>
            <w:r w:rsidR="00E94854" w:rsidRPr="00E94854">
              <w:rPr>
                <w:rFonts w:eastAsia="Times New Roman" w:cs="Times New Roman"/>
                <w:sz w:val="18"/>
                <w:szCs w:val="18"/>
                <w:lang w:eastAsia="lv-LV"/>
              </w:rPr>
              <w:t xml:space="preserve"> (neieskaitot) uz 100ml</w:t>
            </w:r>
            <w:r w:rsidRPr="00E10E25">
              <w:rPr>
                <w:rFonts w:eastAsia="Times New Roman" w:cs="Times New Roman"/>
                <w:sz w:val="18"/>
                <w:szCs w:val="18"/>
                <w:lang w:eastAsia="lv-LV"/>
              </w:rPr>
              <w:t xml:space="preserve">, alkoholiskajiem dzērieniem, tabakas izstrādājumiem, karsējamai tabakai, tabakas lapām, elektroniskajās smēķēšanas ierīcēs izmantojamam šķidrumam un tabakas </w:t>
            </w:r>
            <w:r w:rsidRPr="00E10E25">
              <w:rPr>
                <w:rFonts w:eastAsia="Times New Roman" w:cs="Times New Roman"/>
                <w:sz w:val="18"/>
                <w:szCs w:val="18"/>
                <w:lang w:eastAsia="lv-LV"/>
              </w:rPr>
              <w:lastRenderedPageBreak/>
              <w:t>aizstājējproduktiem, akcīzes nodokļa atbrīvojuma atcelšana naftas produktiem, kurus izmanto elektroenerģijas ražošanā un koģenerācijā.</w:t>
            </w:r>
          </w:p>
          <w:p w14:paraId="318DC3BF" w14:textId="77777777" w:rsidR="00E10E25" w:rsidRPr="00E10E25"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xml:space="preserve">- No 2025. gada transportlīdzekļu ekspluatācijas, uzņēmumu vieglo transportlīdzekļu, izložu nodokļa, azartspēļu nodevas par azartspēļu organizēšanas licences </w:t>
            </w:r>
            <w:proofErr w:type="spellStart"/>
            <w:r w:rsidRPr="00E10E25">
              <w:rPr>
                <w:rFonts w:eastAsia="Times New Roman" w:cs="Times New Roman"/>
                <w:sz w:val="18"/>
                <w:szCs w:val="18"/>
                <w:lang w:eastAsia="lv-LV"/>
              </w:rPr>
              <w:t>pārreģistrāciju</w:t>
            </w:r>
            <w:proofErr w:type="spellEnd"/>
            <w:r w:rsidRPr="00E10E25">
              <w:rPr>
                <w:rFonts w:eastAsia="Times New Roman" w:cs="Times New Roman"/>
                <w:sz w:val="18"/>
                <w:szCs w:val="18"/>
                <w:lang w:eastAsia="lv-LV"/>
              </w:rPr>
              <w:t>, dabas resursu nodokļa likmju paaugstināšana.</w:t>
            </w:r>
          </w:p>
          <w:p w14:paraId="6C739586" w14:textId="77777777" w:rsidR="00EB0FCC"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xml:space="preserve">- No 2025. gada </w:t>
            </w:r>
          </w:p>
          <w:p w14:paraId="269B47E9" w14:textId="2FCE2A2E" w:rsidR="00E10E25" w:rsidRPr="00E10E25" w:rsidRDefault="00EB0FCC" w:rsidP="006357B3">
            <w:pPr>
              <w:spacing w:after="0" w:line="240" w:lineRule="auto"/>
              <w:ind w:firstLine="0"/>
              <w:jc w:val="left"/>
              <w:rPr>
                <w:rFonts w:eastAsia="Times New Roman" w:cs="Times New Roman"/>
                <w:sz w:val="18"/>
                <w:szCs w:val="18"/>
                <w:lang w:eastAsia="lv-LV"/>
              </w:rPr>
            </w:pPr>
            <w:r>
              <w:rPr>
                <w:rFonts w:eastAsia="Times New Roman" w:cs="Times New Roman"/>
                <w:sz w:val="18"/>
                <w:szCs w:val="18"/>
                <w:lang w:eastAsia="lv-LV"/>
              </w:rPr>
              <w:t xml:space="preserve">IIN </w:t>
            </w:r>
            <w:r w:rsidR="00E10E25" w:rsidRPr="00E10E25">
              <w:rPr>
                <w:rFonts w:eastAsia="Times New Roman" w:cs="Times New Roman"/>
                <w:sz w:val="18"/>
                <w:szCs w:val="18"/>
                <w:lang w:eastAsia="lv-LV"/>
              </w:rPr>
              <w:t xml:space="preserve">likmju izlīdzināšana pārējiem ienākumiem (kuriem nepiemēro progresīvās </w:t>
            </w:r>
            <w:r>
              <w:rPr>
                <w:rFonts w:eastAsia="Times New Roman" w:cs="Times New Roman"/>
                <w:sz w:val="18"/>
                <w:szCs w:val="18"/>
                <w:lang w:eastAsia="lv-LV"/>
              </w:rPr>
              <w:t>IIN</w:t>
            </w:r>
            <w:r w:rsidR="00E10E25" w:rsidRPr="00E10E25">
              <w:rPr>
                <w:rFonts w:eastAsia="Times New Roman" w:cs="Times New Roman"/>
                <w:sz w:val="18"/>
                <w:szCs w:val="18"/>
                <w:lang w:eastAsia="lv-LV"/>
              </w:rPr>
              <w:t xml:space="preserve"> likmes), paaugstinot tās no 20% uz 25,5% (t.sk. ienākumam no kapitāla, kapitāla pieauguma, dividendēm, kuras jau līdz šim bija apliekamas ar </w:t>
            </w:r>
            <w:r w:rsidR="00E10E25">
              <w:rPr>
                <w:rFonts w:eastAsia="Times New Roman" w:cs="Times New Roman"/>
                <w:sz w:val="18"/>
                <w:szCs w:val="18"/>
                <w:lang w:eastAsia="lv-LV"/>
              </w:rPr>
              <w:t>IIN</w:t>
            </w:r>
            <w:r w:rsidR="00E10E25" w:rsidRPr="00E10E25">
              <w:rPr>
                <w:rFonts w:eastAsia="Times New Roman" w:cs="Times New Roman"/>
                <w:sz w:val="18"/>
                <w:szCs w:val="18"/>
                <w:lang w:eastAsia="lv-LV"/>
              </w:rPr>
              <w:t>);</w:t>
            </w:r>
          </w:p>
          <w:p w14:paraId="1F8E4E93" w14:textId="54D23B2A" w:rsidR="00BF055E" w:rsidRPr="00BF055E" w:rsidRDefault="00E10E25" w:rsidP="006357B3">
            <w:pPr>
              <w:spacing w:after="0" w:line="240" w:lineRule="auto"/>
              <w:ind w:firstLine="0"/>
              <w:jc w:val="left"/>
              <w:rPr>
                <w:rFonts w:eastAsia="Times New Roman" w:cs="Times New Roman"/>
                <w:sz w:val="18"/>
                <w:szCs w:val="18"/>
                <w:lang w:eastAsia="lv-LV"/>
              </w:rPr>
            </w:pPr>
            <w:r w:rsidRPr="00E10E25">
              <w:rPr>
                <w:rFonts w:eastAsia="Times New Roman" w:cs="Times New Roman"/>
                <w:sz w:val="18"/>
                <w:szCs w:val="18"/>
                <w:lang w:eastAsia="lv-LV"/>
              </w:rPr>
              <w:t>- No 2027. gada azartspēļu nodokļa likmju paaugstināšana.</w:t>
            </w:r>
          </w:p>
        </w:tc>
        <w:tc>
          <w:tcPr>
            <w:tcW w:w="1110" w:type="dxa"/>
            <w:tcBorders>
              <w:top w:val="nil"/>
              <w:left w:val="nil"/>
              <w:bottom w:val="single" w:sz="4" w:space="0" w:color="auto"/>
              <w:right w:val="single" w:sz="4" w:space="0" w:color="auto"/>
            </w:tcBorders>
            <w:shd w:val="clear" w:color="000000" w:fill="FFFFFF"/>
            <w:hideMark/>
          </w:tcPr>
          <w:p w14:paraId="31691C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2025-2027</w:t>
            </w:r>
          </w:p>
        </w:tc>
        <w:tc>
          <w:tcPr>
            <w:tcW w:w="1323" w:type="dxa"/>
            <w:tcBorders>
              <w:top w:val="nil"/>
              <w:left w:val="nil"/>
              <w:bottom w:val="single" w:sz="4" w:space="0" w:color="auto"/>
              <w:right w:val="single" w:sz="4" w:space="0" w:color="auto"/>
            </w:tcBorders>
            <w:shd w:val="clear" w:color="000000" w:fill="FFFFFF"/>
            <w:hideMark/>
          </w:tcPr>
          <w:p w14:paraId="2879C5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budžets</w:t>
            </w:r>
          </w:p>
        </w:tc>
        <w:tc>
          <w:tcPr>
            <w:tcW w:w="1229" w:type="dxa"/>
            <w:tcBorders>
              <w:top w:val="nil"/>
              <w:left w:val="nil"/>
              <w:bottom w:val="single" w:sz="4" w:space="0" w:color="auto"/>
              <w:right w:val="single" w:sz="4" w:space="0" w:color="auto"/>
            </w:tcBorders>
            <w:shd w:val="clear" w:color="000000" w:fill="FFFFFF"/>
            <w:hideMark/>
          </w:tcPr>
          <w:p w14:paraId="629071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w:t>
            </w:r>
          </w:p>
        </w:tc>
        <w:tc>
          <w:tcPr>
            <w:tcW w:w="807" w:type="dxa"/>
            <w:tcBorders>
              <w:top w:val="nil"/>
              <w:left w:val="nil"/>
              <w:bottom w:val="single" w:sz="4" w:space="0" w:color="auto"/>
              <w:right w:val="single" w:sz="4" w:space="0" w:color="auto"/>
            </w:tcBorders>
            <w:shd w:val="clear" w:color="000000" w:fill="FFFFFF"/>
            <w:hideMark/>
          </w:tcPr>
          <w:p w14:paraId="5A5E37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7" w:type="dxa"/>
            <w:tcBorders>
              <w:top w:val="nil"/>
              <w:left w:val="nil"/>
              <w:bottom w:val="single" w:sz="4" w:space="0" w:color="auto"/>
              <w:right w:val="single" w:sz="4" w:space="0" w:color="auto"/>
            </w:tcBorders>
            <w:shd w:val="clear" w:color="000000" w:fill="FFFFFF"/>
            <w:hideMark/>
          </w:tcPr>
          <w:p w14:paraId="6B88DA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 2022(1); 2023(1); 2024(1)</w:t>
            </w:r>
          </w:p>
        </w:tc>
        <w:tc>
          <w:tcPr>
            <w:tcW w:w="1086" w:type="dxa"/>
            <w:tcBorders>
              <w:top w:val="nil"/>
              <w:left w:val="nil"/>
              <w:bottom w:val="single" w:sz="4" w:space="0" w:color="auto"/>
              <w:right w:val="single" w:sz="4" w:space="0" w:color="auto"/>
            </w:tcBorders>
            <w:shd w:val="clear" w:color="000000" w:fill="FFFFFF"/>
            <w:hideMark/>
          </w:tcPr>
          <w:p w14:paraId="7C4496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6E5696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0AD71E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04111B95"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7AAEAED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nomaksas un saistību izpildes uzlabošana</w:t>
            </w:r>
            <w:r w:rsidRPr="00BF055E">
              <w:rPr>
                <w:rFonts w:eastAsia="Times New Roman" w:cs="Times New Roman"/>
                <w:sz w:val="18"/>
                <w:szCs w:val="18"/>
                <w:lang w:eastAsia="lv-LV"/>
              </w:rPr>
              <w:br/>
              <w:t>(Pārrobežu sadarbību nodokļu jomā veicinošo digitālo pakalpojumu attīstība)</w:t>
            </w:r>
          </w:p>
        </w:tc>
        <w:tc>
          <w:tcPr>
            <w:tcW w:w="2026" w:type="dxa"/>
            <w:tcBorders>
              <w:top w:val="nil"/>
              <w:left w:val="nil"/>
              <w:bottom w:val="single" w:sz="4" w:space="0" w:color="auto"/>
              <w:right w:val="single" w:sz="4" w:space="0" w:color="auto"/>
            </w:tcBorders>
            <w:shd w:val="clear" w:color="000000" w:fill="FFFFFF"/>
            <w:hideMark/>
          </w:tcPr>
          <w:p w14:paraId="1A7770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Nodrošināt starptautiskās datu apmaiņas moduļu tehnisko modernizāciju, lai nodrošinātu datu apstrādi un apmaiņu ar </w:t>
            </w:r>
            <w:r w:rsidRPr="00BF055E">
              <w:rPr>
                <w:rFonts w:eastAsia="Times New Roman" w:cs="Times New Roman"/>
                <w:sz w:val="18"/>
                <w:szCs w:val="18"/>
                <w:lang w:eastAsia="lv-LV"/>
              </w:rPr>
              <w:lastRenderedPageBreak/>
              <w:t>ES dalībvalstīm ES normatīvo aktu izpildē.</w:t>
            </w:r>
          </w:p>
        </w:tc>
        <w:tc>
          <w:tcPr>
            <w:tcW w:w="2171" w:type="dxa"/>
            <w:tcBorders>
              <w:top w:val="nil"/>
              <w:left w:val="nil"/>
              <w:bottom w:val="single" w:sz="4" w:space="0" w:color="auto"/>
              <w:right w:val="single" w:sz="4" w:space="0" w:color="auto"/>
            </w:tcBorders>
            <w:shd w:val="clear" w:color="000000" w:fill="FFFFFF"/>
            <w:hideMark/>
          </w:tcPr>
          <w:p w14:paraId="7312E1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Plānots modernizēt: ES datu sagatavošanas sistēmu; PVN atmaksas iesniegumu un lēmumu apstrādes un datu apmaiņas ar citām ES dalībvalstīm moduli; akcīzes preču </w:t>
            </w:r>
            <w:r w:rsidRPr="00BF055E">
              <w:rPr>
                <w:rFonts w:eastAsia="Times New Roman" w:cs="Times New Roman"/>
                <w:sz w:val="18"/>
                <w:szCs w:val="18"/>
                <w:lang w:eastAsia="lv-LV"/>
              </w:rPr>
              <w:lastRenderedPageBreak/>
              <w:t>apritē iesaistīto personu reģistrācijas datu apmaiņas moduli, kopā veidojot ES nodokļu datu apmaiņas informācijas sistēmu.</w:t>
            </w:r>
          </w:p>
        </w:tc>
        <w:tc>
          <w:tcPr>
            <w:tcW w:w="1110" w:type="dxa"/>
            <w:tcBorders>
              <w:top w:val="nil"/>
              <w:left w:val="nil"/>
              <w:bottom w:val="single" w:sz="4" w:space="0" w:color="auto"/>
              <w:right w:val="single" w:sz="4" w:space="0" w:color="auto"/>
            </w:tcBorders>
            <w:shd w:val="clear" w:color="000000" w:fill="FFFFFF"/>
            <w:hideMark/>
          </w:tcPr>
          <w:p w14:paraId="366443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2022.gads - 2026.gada 3.ceturksnis</w:t>
            </w:r>
          </w:p>
        </w:tc>
        <w:tc>
          <w:tcPr>
            <w:tcW w:w="1323" w:type="dxa"/>
            <w:tcBorders>
              <w:top w:val="nil"/>
              <w:left w:val="nil"/>
              <w:bottom w:val="single" w:sz="4" w:space="0" w:color="auto"/>
              <w:right w:val="single" w:sz="4" w:space="0" w:color="auto"/>
            </w:tcBorders>
            <w:shd w:val="clear" w:color="auto" w:fill="auto"/>
            <w:hideMark/>
          </w:tcPr>
          <w:p w14:paraId="3F843EB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1,68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(ANM)</w:t>
            </w:r>
            <w:r w:rsidRPr="00BF055E">
              <w:rPr>
                <w:rFonts w:eastAsia="Times New Roman" w:cs="Times New Roman"/>
                <w:sz w:val="18"/>
                <w:szCs w:val="18"/>
                <w:lang w:eastAsia="lv-LV"/>
              </w:rPr>
              <w:br/>
              <w:t xml:space="preserve">0,35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w:t>
            </w:r>
          </w:p>
        </w:tc>
        <w:tc>
          <w:tcPr>
            <w:tcW w:w="1229" w:type="dxa"/>
            <w:tcBorders>
              <w:top w:val="nil"/>
              <w:left w:val="nil"/>
              <w:bottom w:val="single" w:sz="4" w:space="0" w:color="auto"/>
              <w:right w:val="single" w:sz="4" w:space="0" w:color="auto"/>
            </w:tcBorders>
            <w:shd w:val="clear" w:color="000000" w:fill="FFFFFF"/>
            <w:hideMark/>
          </w:tcPr>
          <w:p w14:paraId="4F663B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000000" w:fill="FFFFFF"/>
            <w:hideMark/>
          </w:tcPr>
          <w:p w14:paraId="2004D1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37" w:type="dxa"/>
            <w:tcBorders>
              <w:top w:val="nil"/>
              <w:left w:val="nil"/>
              <w:bottom w:val="single" w:sz="4" w:space="0" w:color="auto"/>
              <w:right w:val="single" w:sz="4" w:space="0" w:color="auto"/>
            </w:tcBorders>
            <w:shd w:val="clear" w:color="000000" w:fill="FFFFFF"/>
            <w:hideMark/>
          </w:tcPr>
          <w:p w14:paraId="73E3F4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0B2BB1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263BE7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632B02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64B68BF7"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1F5BD9F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nomaksas un saistību izpildes uzlabošana</w:t>
            </w:r>
            <w:r w:rsidRPr="00BF055E">
              <w:rPr>
                <w:rFonts w:eastAsia="Times New Roman" w:cs="Times New Roman"/>
                <w:sz w:val="18"/>
                <w:szCs w:val="18"/>
                <w:lang w:eastAsia="lv-LV"/>
              </w:rPr>
              <w:br/>
              <w:t xml:space="preserve">(Finanšu dokumentu aprites </w:t>
            </w:r>
            <w:proofErr w:type="spellStart"/>
            <w:r w:rsidRPr="00BF055E">
              <w:rPr>
                <w:rFonts w:eastAsia="Times New Roman" w:cs="Times New Roman"/>
                <w:sz w:val="18"/>
                <w:szCs w:val="18"/>
                <w:lang w:eastAsia="lv-LV"/>
              </w:rPr>
              <w:t>digitalizācija</w:t>
            </w:r>
            <w:proofErr w:type="spellEnd"/>
            <w:r w:rsidRPr="00BF055E">
              <w:rPr>
                <w:rFonts w:eastAsia="Times New Roman" w:cs="Times New Roman"/>
                <w:sz w:val="18"/>
                <w:szCs w:val="18"/>
                <w:lang w:eastAsia="lv-LV"/>
              </w:rPr>
              <w:t xml:space="preserve">, izveidojot centralizētu finanšu dokumentu </w:t>
            </w:r>
            <w:proofErr w:type="spellStart"/>
            <w:r w:rsidRPr="00BF055E">
              <w:rPr>
                <w:rFonts w:eastAsia="Times New Roman" w:cs="Times New Roman"/>
                <w:sz w:val="18"/>
                <w:szCs w:val="18"/>
                <w:lang w:eastAsia="lv-LV"/>
              </w:rPr>
              <w:t>maiņvietu</w:t>
            </w:r>
            <w:proofErr w:type="spellEnd"/>
            <w:r w:rsidRPr="00BF055E">
              <w:rPr>
                <w:rFonts w:eastAsia="Times New Roman" w:cs="Times New Roman"/>
                <w:sz w:val="18"/>
                <w:szCs w:val="18"/>
                <w:lang w:eastAsia="lv-LV"/>
              </w:rPr>
              <w:t>)</w:t>
            </w:r>
          </w:p>
        </w:tc>
        <w:tc>
          <w:tcPr>
            <w:tcW w:w="2026" w:type="dxa"/>
            <w:tcBorders>
              <w:top w:val="nil"/>
              <w:left w:val="nil"/>
              <w:bottom w:val="single" w:sz="4" w:space="0" w:color="auto"/>
              <w:right w:val="single" w:sz="4" w:space="0" w:color="auto"/>
            </w:tcBorders>
            <w:shd w:val="clear" w:color="000000" w:fill="FFFFFF"/>
            <w:hideMark/>
          </w:tcPr>
          <w:p w14:paraId="21C624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Īstenot attaisnojuma dokumentu (e-rēķinu) elektroniskās aprites sistēmas ieviešanu Latvijā, lai noteiktu obligātu prasību e-rēķinu lietošanai B2B (</w:t>
            </w:r>
            <w:proofErr w:type="spellStart"/>
            <w:r w:rsidRPr="00BF055E">
              <w:rPr>
                <w:rFonts w:eastAsia="Times New Roman" w:cs="Times New Roman"/>
                <w:sz w:val="18"/>
                <w:szCs w:val="18"/>
                <w:lang w:eastAsia="lv-LV"/>
              </w:rPr>
              <w:t>Business</w:t>
            </w:r>
            <w:proofErr w:type="spellEnd"/>
            <w:r w:rsidRPr="00BF055E">
              <w:rPr>
                <w:rFonts w:eastAsia="Times New Roman" w:cs="Times New Roman"/>
                <w:sz w:val="18"/>
                <w:szCs w:val="18"/>
                <w:lang w:eastAsia="lv-LV"/>
              </w:rPr>
              <w:t xml:space="preserve"> to </w:t>
            </w:r>
            <w:proofErr w:type="spellStart"/>
            <w:r w:rsidRPr="00BF055E">
              <w:rPr>
                <w:rFonts w:eastAsia="Times New Roman" w:cs="Times New Roman"/>
                <w:sz w:val="18"/>
                <w:szCs w:val="18"/>
                <w:lang w:eastAsia="lv-LV"/>
              </w:rPr>
              <w:t>Business</w:t>
            </w:r>
            <w:proofErr w:type="spellEnd"/>
            <w:r w:rsidRPr="00BF055E">
              <w:rPr>
                <w:rFonts w:eastAsia="Times New Roman" w:cs="Times New Roman"/>
                <w:sz w:val="18"/>
                <w:szCs w:val="18"/>
                <w:lang w:eastAsia="lv-LV"/>
              </w:rPr>
              <w:t>) segmentā strukturētā elektroniskā formā.</w:t>
            </w:r>
          </w:p>
        </w:tc>
        <w:tc>
          <w:tcPr>
            <w:tcW w:w="2171" w:type="dxa"/>
            <w:tcBorders>
              <w:top w:val="nil"/>
              <w:left w:val="nil"/>
              <w:bottom w:val="single" w:sz="4" w:space="0" w:color="auto"/>
              <w:right w:val="single" w:sz="4" w:space="0" w:color="auto"/>
            </w:tcBorders>
            <w:shd w:val="clear" w:color="000000" w:fill="FFFFFF"/>
            <w:hideMark/>
          </w:tcPr>
          <w:p w14:paraId="496618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Plānots izveidot: centralizēti pārvaldītas nozaru datu kopas; centralizētās funkcijas un koplietošanas pakalpojumus; modernizētus pārvaldes procesu IKT risinājumus.</w:t>
            </w:r>
          </w:p>
        </w:tc>
        <w:tc>
          <w:tcPr>
            <w:tcW w:w="1110" w:type="dxa"/>
            <w:tcBorders>
              <w:top w:val="nil"/>
              <w:left w:val="nil"/>
              <w:bottom w:val="single" w:sz="4" w:space="0" w:color="auto"/>
              <w:right w:val="single" w:sz="4" w:space="0" w:color="auto"/>
            </w:tcBorders>
            <w:shd w:val="clear" w:color="000000" w:fill="FFFFFF"/>
            <w:hideMark/>
          </w:tcPr>
          <w:p w14:paraId="6CCC9D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2023.gads - 2026.gada 3.ceturksnis</w:t>
            </w:r>
          </w:p>
        </w:tc>
        <w:tc>
          <w:tcPr>
            <w:tcW w:w="1323" w:type="dxa"/>
            <w:tcBorders>
              <w:top w:val="nil"/>
              <w:left w:val="nil"/>
              <w:bottom w:val="single" w:sz="4" w:space="0" w:color="auto"/>
              <w:right w:val="single" w:sz="4" w:space="0" w:color="auto"/>
            </w:tcBorders>
            <w:shd w:val="clear" w:color="auto" w:fill="auto"/>
            <w:hideMark/>
          </w:tcPr>
          <w:p w14:paraId="00CCBB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1,68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(ANM)</w:t>
            </w:r>
            <w:r w:rsidRPr="00BF055E">
              <w:rPr>
                <w:rFonts w:eastAsia="Times New Roman" w:cs="Times New Roman"/>
                <w:sz w:val="18"/>
                <w:szCs w:val="18"/>
                <w:lang w:eastAsia="lv-LV"/>
              </w:rPr>
              <w:br/>
              <w:t xml:space="preserve">0,35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w:t>
            </w:r>
          </w:p>
        </w:tc>
        <w:tc>
          <w:tcPr>
            <w:tcW w:w="1229" w:type="dxa"/>
            <w:tcBorders>
              <w:top w:val="nil"/>
              <w:left w:val="nil"/>
              <w:bottom w:val="single" w:sz="4" w:space="0" w:color="auto"/>
              <w:right w:val="single" w:sz="4" w:space="0" w:color="auto"/>
            </w:tcBorders>
            <w:shd w:val="clear" w:color="000000" w:fill="FFFFFF"/>
            <w:hideMark/>
          </w:tcPr>
          <w:p w14:paraId="494F39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auto" w:fill="auto"/>
            <w:hideMark/>
          </w:tcPr>
          <w:p w14:paraId="7F55B45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37" w:type="dxa"/>
            <w:tcBorders>
              <w:top w:val="nil"/>
              <w:left w:val="nil"/>
              <w:bottom w:val="single" w:sz="4" w:space="0" w:color="auto"/>
              <w:right w:val="single" w:sz="4" w:space="0" w:color="auto"/>
            </w:tcBorders>
            <w:shd w:val="clear" w:color="000000" w:fill="FFFFFF"/>
            <w:hideMark/>
          </w:tcPr>
          <w:p w14:paraId="15F40E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4ECEB5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6B0920C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583AD9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72E16864"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4A2470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nomaksas un saistību izpildes uzlabošana</w:t>
            </w:r>
            <w:r w:rsidRPr="00BF055E">
              <w:rPr>
                <w:rFonts w:eastAsia="Times New Roman" w:cs="Times New Roman"/>
                <w:sz w:val="18"/>
                <w:szCs w:val="18"/>
                <w:lang w:eastAsia="lv-LV"/>
              </w:rPr>
              <w:br/>
              <w:t>(Nodokļu pakalpojumu automatizācija 2.kārta)</w:t>
            </w:r>
          </w:p>
        </w:tc>
        <w:tc>
          <w:tcPr>
            <w:tcW w:w="2026" w:type="dxa"/>
            <w:tcBorders>
              <w:top w:val="nil"/>
              <w:left w:val="nil"/>
              <w:bottom w:val="single" w:sz="4" w:space="0" w:color="auto"/>
              <w:right w:val="single" w:sz="4" w:space="0" w:color="auto"/>
            </w:tcBorders>
            <w:shd w:val="clear" w:color="000000" w:fill="FFFFFF"/>
            <w:hideMark/>
          </w:tcPr>
          <w:p w14:paraId="73055B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Samazināt administratīvo slogu uzņēmējdarbības veicējiem un citiem VID nodokļu pakalpojumu saņēmējiem, </w:t>
            </w:r>
            <w:proofErr w:type="spellStart"/>
            <w:r w:rsidRPr="00BF055E">
              <w:rPr>
                <w:rFonts w:eastAsia="Times New Roman" w:cs="Times New Roman"/>
                <w:sz w:val="18"/>
                <w:szCs w:val="18"/>
                <w:lang w:eastAsia="lv-LV"/>
              </w:rPr>
              <w:t>digitalizējot</w:t>
            </w:r>
            <w:proofErr w:type="spellEnd"/>
            <w:r w:rsidRPr="00BF055E">
              <w:rPr>
                <w:rFonts w:eastAsia="Times New Roman" w:cs="Times New Roman"/>
                <w:sz w:val="18"/>
                <w:szCs w:val="18"/>
                <w:lang w:eastAsia="lv-LV"/>
              </w:rPr>
              <w:t xml:space="preserve"> un vienkāršojot pakalpojumus, nodrošinot ātrāku procesu izpildi un lēmumu pieņemšanu, pilnīgāku un kvalitatīvāku datu pieejamību pakalpojuma saņēmējiem, veicinot stabilu datu apriti starp iestādēm un sekmējot modernu, uz klientiem orientētu un atvērtu valsts pārvaldi. </w:t>
            </w:r>
          </w:p>
        </w:tc>
        <w:tc>
          <w:tcPr>
            <w:tcW w:w="2171" w:type="dxa"/>
            <w:tcBorders>
              <w:top w:val="nil"/>
              <w:left w:val="nil"/>
              <w:bottom w:val="single" w:sz="4" w:space="0" w:color="auto"/>
              <w:right w:val="single" w:sz="4" w:space="0" w:color="auto"/>
            </w:tcBorders>
            <w:shd w:val="clear" w:color="000000" w:fill="FFFFFF"/>
            <w:hideMark/>
          </w:tcPr>
          <w:p w14:paraId="2FA44A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Plānots veikt izmaiņas VID informācijas sistēmās, lai vienkāršotu nodokļu deklarāciju iesniegšanu, nodrošinātu ātrāku datu apstrādi un nodokļu pārmaksas atmaksu, ieviestu automatizētus risinājumus nodokļu nomaksas veicināšanas procesā.</w:t>
            </w:r>
          </w:p>
        </w:tc>
        <w:tc>
          <w:tcPr>
            <w:tcW w:w="1110" w:type="dxa"/>
            <w:tcBorders>
              <w:top w:val="nil"/>
              <w:left w:val="nil"/>
              <w:bottom w:val="single" w:sz="4" w:space="0" w:color="auto"/>
              <w:right w:val="single" w:sz="4" w:space="0" w:color="auto"/>
            </w:tcBorders>
            <w:shd w:val="clear" w:color="000000" w:fill="FFFFFF"/>
            <w:hideMark/>
          </w:tcPr>
          <w:p w14:paraId="4CBB61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 gads - 2028. gads</w:t>
            </w:r>
          </w:p>
        </w:tc>
        <w:tc>
          <w:tcPr>
            <w:tcW w:w="1323" w:type="dxa"/>
            <w:tcBorders>
              <w:top w:val="nil"/>
              <w:left w:val="nil"/>
              <w:bottom w:val="single" w:sz="4" w:space="0" w:color="auto"/>
              <w:right w:val="single" w:sz="4" w:space="0" w:color="auto"/>
            </w:tcBorders>
            <w:shd w:val="clear" w:color="auto" w:fill="auto"/>
            <w:hideMark/>
          </w:tcPr>
          <w:p w14:paraId="4B8AAD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3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(ERAF)</w:t>
            </w:r>
          </w:p>
        </w:tc>
        <w:tc>
          <w:tcPr>
            <w:tcW w:w="1229" w:type="dxa"/>
            <w:tcBorders>
              <w:top w:val="nil"/>
              <w:left w:val="nil"/>
              <w:bottom w:val="single" w:sz="4" w:space="0" w:color="auto"/>
              <w:right w:val="single" w:sz="4" w:space="0" w:color="auto"/>
            </w:tcBorders>
            <w:shd w:val="clear" w:color="000000" w:fill="FFFFFF"/>
            <w:hideMark/>
          </w:tcPr>
          <w:p w14:paraId="223E01C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000000" w:fill="FFFFFF"/>
            <w:hideMark/>
          </w:tcPr>
          <w:p w14:paraId="3FD73C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37" w:type="dxa"/>
            <w:tcBorders>
              <w:top w:val="nil"/>
              <w:left w:val="nil"/>
              <w:bottom w:val="single" w:sz="4" w:space="0" w:color="auto"/>
              <w:right w:val="single" w:sz="4" w:space="0" w:color="auto"/>
            </w:tcBorders>
            <w:shd w:val="clear" w:color="000000" w:fill="FFFFFF"/>
            <w:hideMark/>
          </w:tcPr>
          <w:p w14:paraId="3F37367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443029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06BB94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652FB93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383CE8FB"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4C6EB65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Nodokļu nomaksas un saistību izpildes </w:t>
            </w:r>
            <w:r w:rsidRPr="00BF055E">
              <w:rPr>
                <w:rFonts w:eastAsia="Times New Roman" w:cs="Times New Roman"/>
                <w:sz w:val="18"/>
                <w:szCs w:val="18"/>
                <w:lang w:eastAsia="lv-LV"/>
              </w:rPr>
              <w:lastRenderedPageBreak/>
              <w:t>uzlabošana</w:t>
            </w:r>
            <w:r w:rsidRPr="00BF055E">
              <w:rPr>
                <w:rFonts w:eastAsia="Times New Roman" w:cs="Times New Roman"/>
                <w:sz w:val="18"/>
                <w:szCs w:val="18"/>
                <w:lang w:eastAsia="lv-LV"/>
              </w:rPr>
              <w:br/>
              <w:t>(VID klientu pašapkalpošanās vides attīstība)</w:t>
            </w:r>
          </w:p>
        </w:tc>
        <w:tc>
          <w:tcPr>
            <w:tcW w:w="2026" w:type="dxa"/>
            <w:tcBorders>
              <w:top w:val="nil"/>
              <w:left w:val="nil"/>
              <w:bottom w:val="single" w:sz="4" w:space="0" w:color="auto"/>
              <w:right w:val="single" w:sz="4" w:space="0" w:color="auto"/>
            </w:tcBorders>
            <w:shd w:val="clear" w:color="000000" w:fill="FFFFFF"/>
            <w:hideMark/>
          </w:tcPr>
          <w:p w14:paraId="4E571F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Attīstīt ērtu VID klientu pašapkalpošanās vidi, </w:t>
            </w:r>
            <w:r w:rsidRPr="00BF055E">
              <w:rPr>
                <w:rFonts w:eastAsia="Times New Roman" w:cs="Times New Roman"/>
                <w:sz w:val="18"/>
                <w:szCs w:val="18"/>
                <w:lang w:eastAsia="lv-LV"/>
              </w:rPr>
              <w:lastRenderedPageBreak/>
              <w:t xml:space="preserve">veidojot savstarpēji integrētus, </w:t>
            </w:r>
            <w:proofErr w:type="spellStart"/>
            <w:r w:rsidRPr="00BF055E">
              <w:rPr>
                <w:rFonts w:eastAsia="Times New Roman" w:cs="Times New Roman"/>
                <w:sz w:val="18"/>
                <w:szCs w:val="18"/>
                <w:lang w:eastAsia="lv-LV"/>
              </w:rPr>
              <w:t>klientorientētus</w:t>
            </w:r>
            <w:proofErr w:type="spellEnd"/>
            <w:r w:rsidRPr="00BF055E">
              <w:rPr>
                <w:rFonts w:eastAsia="Times New Roman" w:cs="Times New Roman"/>
                <w:sz w:val="18"/>
                <w:szCs w:val="18"/>
                <w:lang w:eastAsia="lv-LV"/>
              </w:rPr>
              <w:t xml:space="preserve"> un datos balstītus VID procesus, lai radītu produktīvu darba vidi digitālo pakalpojumu saņemšanai, piegādei un nodrošinātu vienotu un personalizētu sadarbību ar klientu </w:t>
            </w:r>
            <w:proofErr w:type="spellStart"/>
            <w:r w:rsidRPr="00BF055E">
              <w:rPr>
                <w:rFonts w:eastAsia="Times New Roman" w:cs="Times New Roman"/>
                <w:sz w:val="18"/>
                <w:szCs w:val="18"/>
                <w:lang w:eastAsia="lv-LV"/>
              </w:rPr>
              <w:t>daudzkanālu</w:t>
            </w:r>
            <w:proofErr w:type="spellEnd"/>
            <w:r w:rsidRPr="00BF055E">
              <w:rPr>
                <w:rFonts w:eastAsia="Times New Roman" w:cs="Times New Roman"/>
                <w:sz w:val="18"/>
                <w:szCs w:val="18"/>
                <w:lang w:eastAsia="lv-LV"/>
              </w:rPr>
              <w:t xml:space="preserve"> režīmā, orientētu uz klienta vērtību.</w:t>
            </w:r>
          </w:p>
        </w:tc>
        <w:tc>
          <w:tcPr>
            <w:tcW w:w="2171" w:type="dxa"/>
            <w:tcBorders>
              <w:top w:val="nil"/>
              <w:left w:val="nil"/>
              <w:bottom w:val="single" w:sz="4" w:space="0" w:color="auto"/>
              <w:right w:val="single" w:sz="4" w:space="0" w:color="auto"/>
            </w:tcBorders>
            <w:shd w:val="clear" w:color="000000" w:fill="FFFFFF"/>
            <w:hideMark/>
          </w:tcPr>
          <w:p w14:paraId="7F66D6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Plānots izveidot vienotu digitālo pakalpojumu </w:t>
            </w:r>
            <w:r w:rsidRPr="00BF055E">
              <w:rPr>
                <w:rFonts w:eastAsia="Times New Roman" w:cs="Times New Roman"/>
                <w:sz w:val="18"/>
                <w:szCs w:val="18"/>
                <w:lang w:eastAsia="lv-LV"/>
              </w:rPr>
              <w:lastRenderedPageBreak/>
              <w:t>ekosistēmu kā papildināmu pašapkalpošanās servisu platformu, ko atbalsta inteliģenti servisi, automatizācija un datu analītikas risinājumi.</w:t>
            </w:r>
          </w:p>
        </w:tc>
        <w:tc>
          <w:tcPr>
            <w:tcW w:w="1110" w:type="dxa"/>
            <w:tcBorders>
              <w:top w:val="nil"/>
              <w:left w:val="nil"/>
              <w:bottom w:val="single" w:sz="4" w:space="0" w:color="auto"/>
              <w:right w:val="single" w:sz="4" w:space="0" w:color="auto"/>
            </w:tcBorders>
            <w:shd w:val="clear" w:color="000000" w:fill="FFFFFF"/>
            <w:hideMark/>
          </w:tcPr>
          <w:p w14:paraId="272EEF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2025. gads - 2028. gads</w:t>
            </w:r>
          </w:p>
        </w:tc>
        <w:tc>
          <w:tcPr>
            <w:tcW w:w="1323" w:type="dxa"/>
            <w:tcBorders>
              <w:top w:val="nil"/>
              <w:left w:val="nil"/>
              <w:bottom w:val="single" w:sz="4" w:space="0" w:color="auto"/>
              <w:right w:val="single" w:sz="4" w:space="0" w:color="auto"/>
            </w:tcBorders>
            <w:shd w:val="clear" w:color="auto" w:fill="auto"/>
            <w:hideMark/>
          </w:tcPr>
          <w:p w14:paraId="4EAF19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(ERAF)</w:t>
            </w:r>
          </w:p>
        </w:tc>
        <w:tc>
          <w:tcPr>
            <w:tcW w:w="1229" w:type="dxa"/>
            <w:tcBorders>
              <w:top w:val="nil"/>
              <w:left w:val="nil"/>
              <w:bottom w:val="single" w:sz="4" w:space="0" w:color="auto"/>
              <w:right w:val="single" w:sz="4" w:space="0" w:color="auto"/>
            </w:tcBorders>
            <w:shd w:val="clear" w:color="000000" w:fill="FFFFFF"/>
            <w:hideMark/>
          </w:tcPr>
          <w:p w14:paraId="2E70F0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000000" w:fill="FFFFFF"/>
            <w:hideMark/>
          </w:tcPr>
          <w:p w14:paraId="3DBBCC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37" w:type="dxa"/>
            <w:tcBorders>
              <w:top w:val="nil"/>
              <w:left w:val="nil"/>
              <w:bottom w:val="single" w:sz="4" w:space="0" w:color="auto"/>
              <w:right w:val="single" w:sz="4" w:space="0" w:color="auto"/>
            </w:tcBorders>
            <w:shd w:val="clear" w:color="000000" w:fill="FFFFFF"/>
            <w:hideMark/>
          </w:tcPr>
          <w:p w14:paraId="688F6A9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60F9A76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649723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1542A1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17349D54"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13C2AC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nomaksas un saistību izpildes uzlabošana</w:t>
            </w:r>
            <w:r w:rsidRPr="00BF055E">
              <w:rPr>
                <w:rFonts w:eastAsia="Times New Roman" w:cs="Times New Roman"/>
                <w:sz w:val="18"/>
                <w:szCs w:val="18"/>
                <w:lang w:eastAsia="lv-LV"/>
              </w:rPr>
              <w:br/>
              <w:t>(Pārrobežu sadarbību nodokļu jomā veicinošo digitālo pakalpojumu attīstība 2.kārta)</w:t>
            </w:r>
          </w:p>
        </w:tc>
        <w:tc>
          <w:tcPr>
            <w:tcW w:w="2026" w:type="dxa"/>
            <w:tcBorders>
              <w:top w:val="nil"/>
              <w:left w:val="nil"/>
              <w:bottom w:val="single" w:sz="4" w:space="0" w:color="auto"/>
              <w:right w:val="single" w:sz="4" w:space="0" w:color="auto"/>
            </w:tcBorders>
            <w:shd w:val="clear" w:color="000000" w:fill="FFFFFF"/>
            <w:hideMark/>
          </w:tcPr>
          <w:p w14:paraId="2E63FA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Turpināt analīzes rezultātā noteikto modernizējamo informācijas sistēmu tehnisko modernizāciju, nodrošinot tehnoloģiski un ekonomiski pamatotu, efektīvu, arhitektūru, lai nodrošinātu datu apstrādi un apmaiņu ar ES dalībvalstīm ES normatīvo aktu izpildē.</w:t>
            </w:r>
          </w:p>
        </w:tc>
        <w:tc>
          <w:tcPr>
            <w:tcW w:w="2171" w:type="dxa"/>
            <w:tcBorders>
              <w:top w:val="nil"/>
              <w:left w:val="nil"/>
              <w:bottom w:val="single" w:sz="4" w:space="0" w:color="auto"/>
              <w:right w:val="single" w:sz="4" w:space="0" w:color="auto"/>
            </w:tcBorders>
            <w:shd w:val="clear" w:color="000000" w:fill="FFFFFF"/>
            <w:hideMark/>
          </w:tcPr>
          <w:p w14:paraId="4C9435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Plānots veikt informācijas sistēmu tehnisko modernizāciju.</w:t>
            </w:r>
          </w:p>
        </w:tc>
        <w:tc>
          <w:tcPr>
            <w:tcW w:w="1110" w:type="dxa"/>
            <w:tcBorders>
              <w:top w:val="nil"/>
              <w:left w:val="nil"/>
              <w:bottom w:val="single" w:sz="4" w:space="0" w:color="auto"/>
              <w:right w:val="single" w:sz="4" w:space="0" w:color="auto"/>
            </w:tcBorders>
            <w:shd w:val="clear" w:color="000000" w:fill="FFFFFF"/>
            <w:hideMark/>
          </w:tcPr>
          <w:p w14:paraId="6CD494D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 gads - 2028. gads</w:t>
            </w:r>
          </w:p>
        </w:tc>
        <w:tc>
          <w:tcPr>
            <w:tcW w:w="1323" w:type="dxa"/>
            <w:tcBorders>
              <w:top w:val="nil"/>
              <w:left w:val="nil"/>
              <w:bottom w:val="single" w:sz="4" w:space="0" w:color="auto"/>
              <w:right w:val="single" w:sz="4" w:space="0" w:color="auto"/>
            </w:tcBorders>
            <w:shd w:val="clear" w:color="auto" w:fill="auto"/>
            <w:hideMark/>
          </w:tcPr>
          <w:p w14:paraId="325EB7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0,99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(ERAF)</w:t>
            </w:r>
          </w:p>
        </w:tc>
        <w:tc>
          <w:tcPr>
            <w:tcW w:w="1229" w:type="dxa"/>
            <w:tcBorders>
              <w:top w:val="nil"/>
              <w:left w:val="nil"/>
              <w:bottom w:val="single" w:sz="4" w:space="0" w:color="auto"/>
              <w:right w:val="single" w:sz="4" w:space="0" w:color="auto"/>
            </w:tcBorders>
            <w:shd w:val="clear" w:color="000000" w:fill="FFFFFF"/>
            <w:hideMark/>
          </w:tcPr>
          <w:p w14:paraId="76BEEAA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000000" w:fill="FFFFFF"/>
            <w:hideMark/>
          </w:tcPr>
          <w:p w14:paraId="153CC9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37" w:type="dxa"/>
            <w:tcBorders>
              <w:top w:val="nil"/>
              <w:left w:val="nil"/>
              <w:bottom w:val="single" w:sz="4" w:space="0" w:color="auto"/>
              <w:right w:val="single" w:sz="4" w:space="0" w:color="auto"/>
            </w:tcBorders>
            <w:shd w:val="clear" w:color="000000" w:fill="FFFFFF"/>
            <w:hideMark/>
          </w:tcPr>
          <w:p w14:paraId="5812F1B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69CF75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56CD850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257511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3DB50A8D"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588453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nomaksas un saistību izpildes uzlabošana</w:t>
            </w:r>
            <w:r w:rsidRPr="00BF055E">
              <w:rPr>
                <w:rFonts w:eastAsia="Times New Roman" w:cs="Times New Roman"/>
                <w:sz w:val="18"/>
                <w:szCs w:val="18"/>
                <w:lang w:eastAsia="lv-LV"/>
              </w:rPr>
              <w:br/>
              <w:t>(E-muita (3.kārta))</w:t>
            </w:r>
          </w:p>
        </w:tc>
        <w:tc>
          <w:tcPr>
            <w:tcW w:w="2026" w:type="dxa"/>
            <w:tcBorders>
              <w:top w:val="nil"/>
              <w:left w:val="nil"/>
              <w:bottom w:val="single" w:sz="4" w:space="0" w:color="auto"/>
              <w:right w:val="single" w:sz="4" w:space="0" w:color="auto"/>
            </w:tcBorders>
            <w:shd w:val="clear" w:color="000000" w:fill="FFFFFF"/>
            <w:hideMark/>
          </w:tcPr>
          <w:p w14:paraId="67904A85" w14:textId="5B9119D1"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Nodrošināt Latvijas uzņēmēju līdzdalību ES ārējā tirdzniecībā, samazinot administratīvo slogu un paaugstinot ES komersantu konkurētspēju kopējā tirgū;</w:t>
            </w:r>
            <w:r w:rsidRPr="00BF055E">
              <w:rPr>
                <w:rFonts w:eastAsia="Times New Roman" w:cs="Times New Roman"/>
                <w:sz w:val="18"/>
                <w:szCs w:val="18"/>
                <w:lang w:eastAsia="lv-LV"/>
              </w:rPr>
              <w:br/>
              <w:t xml:space="preserve">2. Uzlabot esošo muitas procesu un procedūru </w:t>
            </w:r>
            <w:r w:rsidRPr="00BF055E">
              <w:rPr>
                <w:rFonts w:eastAsia="Times New Roman" w:cs="Times New Roman"/>
                <w:sz w:val="18"/>
                <w:szCs w:val="18"/>
                <w:lang w:eastAsia="lv-LV"/>
              </w:rPr>
              <w:lastRenderedPageBreak/>
              <w:t xml:space="preserve">efektivitāti, tādējādi paātrinot un vienkāršojot muitas formalitāšu kārtošanu komersantiem. </w:t>
            </w:r>
          </w:p>
        </w:tc>
        <w:tc>
          <w:tcPr>
            <w:tcW w:w="2171" w:type="dxa"/>
            <w:tcBorders>
              <w:top w:val="nil"/>
              <w:left w:val="nil"/>
              <w:bottom w:val="single" w:sz="4" w:space="0" w:color="auto"/>
              <w:right w:val="single" w:sz="4" w:space="0" w:color="auto"/>
            </w:tcBorders>
            <w:shd w:val="clear" w:color="000000" w:fill="FFFFFF"/>
            <w:hideMark/>
          </w:tcPr>
          <w:p w14:paraId="2587C91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Plānots izveidot </w:t>
            </w:r>
            <w:proofErr w:type="spellStart"/>
            <w:r w:rsidRPr="00BF055E">
              <w:rPr>
                <w:rFonts w:eastAsia="Times New Roman" w:cs="Times New Roman"/>
                <w:sz w:val="18"/>
                <w:szCs w:val="18"/>
                <w:lang w:eastAsia="lv-LV"/>
              </w:rPr>
              <w:t>Vienloga</w:t>
            </w:r>
            <w:proofErr w:type="spellEnd"/>
            <w:r w:rsidRPr="00BF055E">
              <w:rPr>
                <w:rFonts w:eastAsia="Times New Roman" w:cs="Times New Roman"/>
                <w:sz w:val="18"/>
                <w:szCs w:val="18"/>
                <w:lang w:eastAsia="lv-LV"/>
              </w:rPr>
              <w:t xml:space="preserve"> vidi muitas jomā ES līmenī, tādejādi mazinot muitas un ne-muitas formalitāšu nesaskaņotību, kas rada sarežģītus un apgrūtinošus pienākumus un papildu izmaksas uzņēmējiem.</w:t>
            </w:r>
          </w:p>
        </w:tc>
        <w:tc>
          <w:tcPr>
            <w:tcW w:w="1110" w:type="dxa"/>
            <w:tcBorders>
              <w:top w:val="nil"/>
              <w:left w:val="nil"/>
              <w:bottom w:val="single" w:sz="4" w:space="0" w:color="auto"/>
              <w:right w:val="single" w:sz="4" w:space="0" w:color="auto"/>
            </w:tcBorders>
            <w:shd w:val="clear" w:color="000000" w:fill="FFFFFF"/>
            <w:hideMark/>
          </w:tcPr>
          <w:p w14:paraId="653ABC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 gads - 2028. gads</w:t>
            </w:r>
          </w:p>
        </w:tc>
        <w:tc>
          <w:tcPr>
            <w:tcW w:w="1323" w:type="dxa"/>
            <w:tcBorders>
              <w:top w:val="nil"/>
              <w:left w:val="nil"/>
              <w:bottom w:val="single" w:sz="4" w:space="0" w:color="auto"/>
              <w:right w:val="single" w:sz="4" w:space="0" w:color="auto"/>
            </w:tcBorders>
            <w:shd w:val="clear" w:color="auto" w:fill="auto"/>
            <w:hideMark/>
          </w:tcPr>
          <w:p w14:paraId="196983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11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(ERAF)</w:t>
            </w:r>
          </w:p>
        </w:tc>
        <w:tc>
          <w:tcPr>
            <w:tcW w:w="1229" w:type="dxa"/>
            <w:tcBorders>
              <w:top w:val="nil"/>
              <w:left w:val="nil"/>
              <w:bottom w:val="single" w:sz="4" w:space="0" w:color="auto"/>
              <w:right w:val="single" w:sz="4" w:space="0" w:color="auto"/>
            </w:tcBorders>
            <w:shd w:val="clear" w:color="000000" w:fill="FFFFFF"/>
            <w:hideMark/>
          </w:tcPr>
          <w:p w14:paraId="7FD8321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000000" w:fill="FFFFFF"/>
            <w:hideMark/>
          </w:tcPr>
          <w:p w14:paraId="2407C4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37" w:type="dxa"/>
            <w:tcBorders>
              <w:top w:val="nil"/>
              <w:left w:val="nil"/>
              <w:bottom w:val="single" w:sz="4" w:space="0" w:color="auto"/>
              <w:right w:val="single" w:sz="4" w:space="0" w:color="auto"/>
            </w:tcBorders>
            <w:shd w:val="clear" w:color="000000" w:fill="FFFFFF"/>
            <w:hideMark/>
          </w:tcPr>
          <w:p w14:paraId="5913CC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679525F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5FDD73E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4DB5421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40D82E58"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6562A4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nomaksas un saistību izpildes uzlabošana</w:t>
            </w:r>
            <w:r w:rsidRPr="00BF055E">
              <w:rPr>
                <w:rFonts w:eastAsia="Times New Roman" w:cs="Times New Roman"/>
                <w:sz w:val="18"/>
                <w:szCs w:val="18"/>
                <w:lang w:eastAsia="lv-LV"/>
              </w:rPr>
              <w:br/>
              <w:t>(Gada ienākumu deklarācijas modernizācija)</w:t>
            </w:r>
          </w:p>
        </w:tc>
        <w:tc>
          <w:tcPr>
            <w:tcW w:w="2026" w:type="dxa"/>
            <w:tcBorders>
              <w:top w:val="nil"/>
              <w:left w:val="nil"/>
              <w:bottom w:val="single" w:sz="4" w:space="0" w:color="auto"/>
              <w:right w:val="single" w:sz="4" w:space="0" w:color="auto"/>
            </w:tcBorders>
            <w:shd w:val="clear" w:color="000000" w:fill="FFFFFF"/>
            <w:hideMark/>
          </w:tcPr>
          <w:p w14:paraId="145853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Īstenot GID funkcionalitātes pārnešanu uz Maksājumu administrēšanas informācijas sistēmu un saistītajām informācijas sistēmām (Datu noliktavas sistēmu un EDS) un </w:t>
            </w:r>
            <w:proofErr w:type="spellStart"/>
            <w:r w:rsidRPr="00BF055E">
              <w:rPr>
                <w:rFonts w:eastAsia="Times New Roman" w:cs="Times New Roman"/>
                <w:sz w:val="18"/>
                <w:szCs w:val="18"/>
                <w:lang w:eastAsia="lv-LV"/>
              </w:rPr>
              <w:t>zveidot</w:t>
            </w:r>
            <w:proofErr w:type="spellEnd"/>
            <w:r w:rsidRPr="00BF055E">
              <w:rPr>
                <w:rFonts w:eastAsia="Times New Roman" w:cs="Times New Roman"/>
                <w:sz w:val="18"/>
                <w:szCs w:val="18"/>
                <w:lang w:eastAsia="lv-LV"/>
              </w:rPr>
              <w:t xml:space="preserve"> jaunu, modernizētu uz riskiem balstītu GID analīzes sistēmu, nodrošinot GID pieņemšanas un apstrādes procesu veikšanu mūsdienīgas un datu drošības prasībām atbilstošās informācijas sistēmās un lielāku automatizācijas un efektivitātes pakāpi.</w:t>
            </w:r>
          </w:p>
        </w:tc>
        <w:tc>
          <w:tcPr>
            <w:tcW w:w="2171" w:type="dxa"/>
            <w:tcBorders>
              <w:top w:val="nil"/>
              <w:left w:val="nil"/>
              <w:bottom w:val="single" w:sz="4" w:space="0" w:color="auto"/>
              <w:right w:val="single" w:sz="4" w:space="0" w:color="auto"/>
            </w:tcBorders>
            <w:shd w:val="clear" w:color="000000" w:fill="FFFFFF"/>
            <w:hideMark/>
          </w:tcPr>
          <w:p w14:paraId="1B7B492D" w14:textId="6898518C"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Modernizēt GID pieņemšanas un apstrādes procesu, tādējādi nodrošinot augstākās lietojamības pakalpojumu nodokļu maksātājiem EDS, kur tiek iesniegtas GID, un automatizēto GID apstrādi Maksājumu administrēšanas informācijas sistēmā un padarot efektīvāku IIN summas aprēķinu, izmantojot VID rīcībā esošo SAP HANA risinājumu. Modernizācija paredz jaunu pieeju GID apstrādē, pamatojoties uz datu lokalizācijas principiem. Modernizācijas rezultātā tiks harmonizēta GID pieņemšanas un apstrādes procesā iesaistīto IKT risinājumu kopa, samazinot sistēmiskos šķēršļus vienkāršākai, pārredzamākai nodokļu administrēšanai, kā arī stiprinot spēju pielāgoties likumdošanas izmaiņām. Vienlaikus tiks nodrošināta procesu pēctecība </w:t>
            </w:r>
            <w:r w:rsidRPr="00BF055E">
              <w:rPr>
                <w:rFonts w:eastAsia="Times New Roman" w:cs="Times New Roman"/>
                <w:sz w:val="18"/>
                <w:szCs w:val="18"/>
                <w:lang w:eastAsia="lv-LV"/>
              </w:rPr>
              <w:lastRenderedPageBreak/>
              <w:t xml:space="preserve">nepalielinoties administratīvajam slogam nodokļu maksātājiem vai VID. </w:t>
            </w:r>
          </w:p>
        </w:tc>
        <w:tc>
          <w:tcPr>
            <w:tcW w:w="1110" w:type="dxa"/>
            <w:tcBorders>
              <w:top w:val="nil"/>
              <w:left w:val="nil"/>
              <w:bottom w:val="single" w:sz="4" w:space="0" w:color="auto"/>
              <w:right w:val="single" w:sz="4" w:space="0" w:color="auto"/>
            </w:tcBorders>
            <w:shd w:val="clear" w:color="000000" w:fill="FFFFFF"/>
            <w:hideMark/>
          </w:tcPr>
          <w:p w14:paraId="63B311C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2023. gads - 2027. gada 3. ceturksnis</w:t>
            </w:r>
          </w:p>
        </w:tc>
        <w:tc>
          <w:tcPr>
            <w:tcW w:w="1323" w:type="dxa"/>
            <w:tcBorders>
              <w:top w:val="nil"/>
              <w:left w:val="nil"/>
              <w:bottom w:val="single" w:sz="4" w:space="0" w:color="auto"/>
              <w:right w:val="single" w:sz="4" w:space="0" w:color="auto"/>
            </w:tcBorders>
            <w:shd w:val="clear" w:color="auto" w:fill="auto"/>
            <w:hideMark/>
          </w:tcPr>
          <w:p w14:paraId="67BE9F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7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w:t>
            </w:r>
          </w:p>
        </w:tc>
        <w:tc>
          <w:tcPr>
            <w:tcW w:w="1229" w:type="dxa"/>
            <w:tcBorders>
              <w:top w:val="nil"/>
              <w:left w:val="nil"/>
              <w:bottom w:val="single" w:sz="4" w:space="0" w:color="auto"/>
              <w:right w:val="single" w:sz="4" w:space="0" w:color="auto"/>
            </w:tcBorders>
            <w:shd w:val="clear" w:color="000000" w:fill="FFFFFF"/>
            <w:hideMark/>
          </w:tcPr>
          <w:p w14:paraId="170408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000000" w:fill="FFFFFF"/>
            <w:hideMark/>
          </w:tcPr>
          <w:p w14:paraId="10BAAE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7" w:type="dxa"/>
            <w:tcBorders>
              <w:top w:val="nil"/>
              <w:left w:val="nil"/>
              <w:bottom w:val="single" w:sz="4" w:space="0" w:color="auto"/>
              <w:right w:val="single" w:sz="4" w:space="0" w:color="auto"/>
            </w:tcBorders>
            <w:shd w:val="clear" w:color="000000" w:fill="FFFFFF"/>
            <w:hideMark/>
          </w:tcPr>
          <w:p w14:paraId="64CD92C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3D8580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45A5CA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0454B6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F238CC" w:rsidRPr="00BF055E" w14:paraId="45D95C00" w14:textId="77777777" w:rsidTr="00F238CC">
        <w:trPr>
          <w:trHeight w:val="20"/>
        </w:trPr>
        <w:tc>
          <w:tcPr>
            <w:tcW w:w="1876" w:type="dxa"/>
            <w:tcBorders>
              <w:top w:val="nil"/>
              <w:left w:val="single" w:sz="4" w:space="0" w:color="auto"/>
              <w:bottom w:val="single" w:sz="4" w:space="0" w:color="auto"/>
              <w:right w:val="single" w:sz="4" w:space="0" w:color="auto"/>
            </w:tcBorders>
            <w:shd w:val="clear" w:color="000000" w:fill="FFFFFF"/>
            <w:hideMark/>
          </w:tcPr>
          <w:p w14:paraId="4076AC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Nodokļu nomaksas un saistību izpildes uzlabošana</w:t>
            </w:r>
            <w:r w:rsidRPr="00BF055E">
              <w:rPr>
                <w:rFonts w:eastAsia="Times New Roman" w:cs="Times New Roman"/>
                <w:sz w:val="18"/>
                <w:szCs w:val="18"/>
                <w:lang w:eastAsia="lv-LV"/>
              </w:rPr>
              <w:br/>
              <w:t>(VID analītisko risinājumu pilnveidošana, nodrošinot datos balstītu lēmumu pieņemšanu)</w:t>
            </w:r>
          </w:p>
        </w:tc>
        <w:tc>
          <w:tcPr>
            <w:tcW w:w="2026" w:type="dxa"/>
            <w:tcBorders>
              <w:top w:val="nil"/>
              <w:left w:val="nil"/>
              <w:bottom w:val="single" w:sz="4" w:space="0" w:color="auto"/>
              <w:right w:val="single" w:sz="4" w:space="0" w:color="auto"/>
            </w:tcBorders>
            <w:shd w:val="clear" w:color="000000" w:fill="FFFFFF"/>
            <w:hideMark/>
          </w:tcPr>
          <w:p w14:paraId="23D1FA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Jaunu analīzes objektu integrēšana vienotā analītikas risinājumā, pieslēdzot jaunus datu avotus, lai nodrošinātu </w:t>
            </w:r>
            <w:proofErr w:type="spellStart"/>
            <w:r w:rsidRPr="00BF055E">
              <w:rPr>
                <w:rFonts w:eastAsia="Times New Roman" w:cs="Times New Roman"/>
                <w:sz w:val="18"/>
                <w:szCs w:val="18"/>
                <w:lang w:eastAsia="lv-LV"/>
              </w:rPr>
              <w:t>vispusēju</w:t>
            </w:r>
            <w:proofErr w:type="spellEnd"/>
            <w:r w:rsidRPr="00BF055E">
              <w:rPr>
                <w:rFonts w:eastAsia="Times New Roman" w:cs="Times New Roman"/>
                <w:sz w:val="18"/>
                <w:szCs w:val="18"/>
                <w:lang w:eastAsia="lv-LV"/>
              </w:rPr>
              <w:t xml:space="preserve"> informāciju par nodokļu nomaksas un muitošanas procesiem tālākai šo procesu </w:t>
            </w:r>
            <w:proofErr w:type="spellStart"/>
            <w:r w:rsidRPr="00BF055E">
              <w:rPr>
                <w:rFonts w:eastAsia="Times New Roman" w:cs="Times New Roman"/>
                <w:sz w:val="18"/>
                <w:szCs w:val="18"/>
                <w:lang w:eastAsia="lv-LV"/>
              </w:rPr>
              <w:t>digitalizācijai</w:t>
            </w:r>
            <w:proofErr w:type="spellEnd"/>
            <w:r w:rsidRPr="00BF055E">
              <w:rPr>
                <w:rFonts w:eastAsia="Times New Roman" w:cs="Times New Roman"/>
                <w:sz w:val="18"/>
                <w:szCs w:val="18"/>
                <w:lang w:eastAsia="lv-LV"/>
              </w:rPr>
              <w:t xml:space="preserve"> un efektivitātes celšanai.</w:t>
            </w:r>
          </w:p>
        </w:tc>
        <w:tc>
          <w:tcPr>
            <w:tcW w:w="2171" w:type="dxa"/>
            <w:tcBorders>
              <w:top w:val="nil"/>
              <w:left w:val="nil"/>
              <w:bottom w:val="single" w:sz="4" w:space="0" w:color="auto"/>
              <w:right w:val="single" w:sz="4" w:space="0" w:color="auto"/>
            </w:tcBorders>
            <w:shd w:val="clear" w:color="000000" w:fill="FFFFFF"/>
            <w:hideMark/>
          </w:tcPr>
          <w:p w14:paraId="498753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Plānots nodrošināt nodokļu nomaksas veicināšanas procesu atbalstu, </w:t>
            </w:r>
            <w:proofErr w:type="spellStart"/>
            <w:r w:rsidRPr="00BF055E">
              <w:rPr>
                <w:rFonts w:eastAsia="Times New Roman" w:cs="Times New Roman"/>
                <w:sz w:val="18"/>
                <w:szCs w:val="18"/>
                <w:lang w:eastAsia="lv-LV"/>
              </w:rPr>
              <w:t>starprobežu</w:t>
            </w:r>
            <w:proofErr w:type="spellEnd"/>
            <w:r w:rsidRPr="00BF055E">
              <w:rPr>
                <w:rFonts w:eastAsia="Times New Roman" w:cs="Times New Roman"/>
                <w:sz w:val="18"/>
                <w:szCs w:val="18"/>
                <w:lang w:eastAsia="lv-LV"/>
              </w:rPr>
              <w:t xml:space="preserve"> informācijas kvalitātes pārbaudi ar maksimālu informācijas atpazīšanu un piesaisti nodokļu maksātājam, ieviesto risinājumu funkcionālu paplašināšanu, kas balstās uz jauniem datu avotiem, vai esošo datu analīzi citos datu griezumos.</w:t>
            </w:r>
          </w:p>
        </w:tc>
        <w:tc>
          <w:tcPr>
            <w:tcW w:w="1110" w:type="dxa"/>
            <w:tcBorders>
              <w:top w:val="nil"/>
              <w:left w:val="nil"/>
              <w:bottom w:val="single" w:sz="4" w:space="0" w:color="auto"/>
              <w:right w:val="single" w:sz="4" w:space="0" w:color="auto"/>
            </w:tcBorders>
            <w:shd w:val="clear" w:color="000000" w:fill="FFFFFF"/>
            <w:hideMark/>
          </w:tcPr>
          <w:p w14:paraId="678A6F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 gads - 2028. gads</w:t>
            </w:r>
          </w:p>
        </w:tc>
        <w:tc>
          <w:tcPr>
            <w:tcW w:w="1323" w:type="dxa"/>
            <w:tcBorders>
              <w:top w:val="nil"/>
              <w:left w:val="nil"/>
              <w:bottom w:val="single" w:sz="4" w:space="0" w:color="auto"/>
              <w:right w:val="single" w:sz="4" w:space="0" w:color="auto"/>
            </w:tcBorders>
            <w:shd w:val="clear" w:color="auto" w:fill="auto"/>
            <w:hideMark/>
          </w:tcPr>
          <w:p w14:paraId="44DE57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1,8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 )</w:t>
            </w:r>
          </w:p>
        </w:tc>
        <w:tc>
          <w:tcPr>
            <w:tcW w:w="1229" w:type="dxa"/>
            <w:tcBorders>
              <w:top w:val="nil"/>
              <w:left w:val="nil"/>
              <w:bottom w:val="single" w:sz="4" w:space="0" w:color="auto"/>
              <w:right w:val="single" w:sz="4" w:space="0" w:color="auto"/>
            </w:tcBorders>
            <w:shd w:val="clear" w:color="000000" w:fill="FFFFFF"/>
            <w:hideMark/>
          </w:tcPr>
          <w:p w14:paraId="20C96C5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FM/VID</w:t>
            </w:r>
          </w:p>
        </w:tc>
        <w:tc>
          <w:tcPr>
            <w:tcW w:w="807" w:type="dxa"/>
            <w:tcBorders>
              <w:top w:val="nil"/>
              <w:left w:val="nil"/>
              <w:bottom w:val="single" w:sz="4" w:space="0" w:color="auto"/>
              <w:right w:val="single" w:sz="4" w:space="0" w:color="auto"/>
            </w:tcBorders>
            <w:shd w:val="clear" w:color="000000" w:fill="FFFFFF"/>
            <w:hideMark/>
          </w:tcPr>
          <w:p w14:paraId="6A4D0C6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7" w:type="dxa"/>
            <w:tcBorders>
              <w:top w:val="nil"/>
              <w:left w:val="nil"/>
              <w:bottom w:val="single" w:sz="4" w:space="0" w:color="auto"/>
              <w:right w:val="single" w:sz="4" w:space="0" w:color="auto"/>
            </w:tcBorders>
            <w:shd w:val="clear" w:color="000000" w:fill="FFFFFF"/>
            <w:hideMark/>
          </w:tcPr>
          <w:p w14:paraId="28E0E4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w:t>
            </w:r>
          </w:p>
        </w:tc>
        <w:tc>
          <w:tcPr>
            <w:tcW w:w="1086" w:type="dxa"/>
            <w:tcBorders>
              <w:top w:val="nil"/>
              <w:left w:val="nil"/>
              <w:bottom w:val="single" w:sz="4" w:space="0" w:color="auto"/>
              <w:right w:val="single" w:sz="4" w:space="0" w:color="auto"/>
            </w:tcBorders>
            <w:shd w:val="clear" w:color="000000" w:fill="FFFFFF"/>
            <w:hideMark/>
          </w:tcPr>
          <w:p w14:paraId="56B7F2C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56" w:type="dxa"/>
            <w:tcBorders>
              <w:top w:val="nil"/>
              <w:left w:val="nil"/>
              <w:bottom w:val="single" w:sz="4" w:space="0" w:color="auto"/>
              <w:right w:val="single" w:sz="4" w:space="0" w:color="auto"/>
            </w:tcBorders>
            <w:shd w:val="clear" w:color="000000" w:fill="FFFFFF"/>
            <w:hideMark/>
          </w:tcPr>
          <w:p w14:paraId="69E8D0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86" w:type="dxa"/>
            <w:tcBorders>
              <w:top w:val="nil"/>
              <w:left w:val="nil"/>
              <w:bottom w:val="single" w:sz="4" w:space="0" w:color="auto"/>
              <w:right w:val="single" w:sz="4" w:space="0" w:color="auto"/>
            </w:tcBorders>
            <w:shd w:val="clear" w:color="000000" w:fill="FFFFFF"/>
            <w:hideMark/>
          </w:tcPr>
          <w:p w14:paraId="23927D3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bl>
    <w:p w14:paraId="3EAB435E" w14:textId="77777777" w:rsidR="00BF055E" w:rsidRPr="00BF055E" w:rsidRDefault="00BF055E" w:rsidP="006357B3">
      <w:pPr>
        <w:spacing w:before="120" w:line="240" w:lineRule="auto"/>
        <w:rPr>
          <w:rFonts w:eastAsia="Calibri" w:cs="Times New Roman"/>
          <w:kern w:val="2"/>
          <w:sz w:val="18"/>
          <w:szCs w:val="18"/>
          <w14:ligatures w14:val="standardContextual"/>
        </w:rPr>
      </w:pPr>
    </w:p>
    <w:p w14:paraId="4B443F0B" w14:textId="1A35C68B" w:rsidR="00BF055E" w:rsidRPr="00BF055E" w:rsidRDefault="00D16FDC" w:rsidP="006357B3">
      <w:pPr>
        <w:spacing w:before="120"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.1.2. Sociālā aizsardzība un drošība</w:t>
      </w:r>
    </w:p>
    <w:p w14:paraId="1433774B"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Šajā politikas virzienā iekļautie pasākumi galvenokārt koncentrējas uz minimālo ienākumu uzlabošanu, atbalstu pensionāriem un personām ar invaliditāti, sociālā darba attīstību, atbalstu </w:t>
      </w:r>
      <w:proofErr w:type="spellStart"/>
      <w:r w:rsidRPr="00BF055E">
        <w:rPr>
          <w:rFonts w:eastAsia="Calibri" w:cs="Times New Roman"/>
          <w:kern w:val="2"/>
          <w:szCs w:val="24"/>
          <w14:ligatures w14:val="standardContextual"/>
        </w:rPr>
        <w:t>ārpusģimenes</w:t>
      </w:r>
      <w:proofErr w:type="spellEnd"/>
      <w:r w:rsidRPr="00BF055E">
        <w:rPr>
          <w:rFonts w:eastAsia="Calibri" w:cs="Times New Roman"/>
          <w:kern w:val="2"/>
          <w:szCs w:val="24"/>
          <w14:ligatures w14:val="standardContextual"/>
        </w:rPr>
        <w:t xml:space="preserve"> aprūpē bijušajam bērnam pēc pilngadības sasniegšanas, minimālā sociālo pakalpojumu groza ieviešanu.</w:t>
      </w:r>
    </w:p>
    <w:p w14:paraId="2D2BF236" w14:textId="77777777" w:rsidR="0058560C" w:rsidRDefault="0058560C">
      <w:pPr>
        <w:spacing w:after="160" w:line="259" w:lineRule="auto"/>
        <w:ind w:firstLine="0"/>
        <w:jc w:val="left"/>
        <w:rPr>
          <w:rFonts w:eastAsia="Calibri" w:cs="Times New Roman"/>
          <w:b/>
          <w:bCs/>
          <w:kern w:val="2"/>
          <w:szCs w:val="24"/>
          <w14:ligatures w14:val="standardContextual"/>
        </w:rPr>
      </w:pPr>
      <w:r>
        <w:rPr>
          <w:rFonts w:eastAsia="Calibri" w:cs="Times New Roman"/>
          <w:b/>
          <w:bCs/>
          <w:kern w:val="2"/>
          <w:szCs w:val="24"/>
          <w14:ligatures w14:val="standardContextual"/>
        </w:rPr>
        <w:br w:type="page"/>
      </w:r>
    </w:p>
    <w:p w14:paraId="15743A1C" w14:textId="19BE1B59"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lastRenderedPageBreak/>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sociālā aizsardzība un drošība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1487"/>
        <w:gridCol w:w="1868"/>
        <w:gridCol w:w="1181"/>
        <w:gridCol w:w="1360"/>
        <w:gridCol w:w="1206"/>
        <w:gridCol w:w="807"/>
        <w:gridCol w:w="1016"/>
        <w:gridCol w:w="1416"/>
        <w:gridCol w:w="1096"/>
        <w:gridCol w:w="1246"/>
      </w:tblGrid>
      <w:tr w:rsidR="00A70F57" w:rsidRPr="00BF055E" w14:paraId="734C87BB" w14:textId="77777777" w:rsidTr="00E9616D">
        <w:trPr>
          <w:trHeight w:val="20"/>
          <w:tblHeader/>
          <w:jc w:val="center"/>
        </w:trPr>
        <w:tc>
          <w:tcPr>
            <w:tcW w:w="1877" w:type="dxa"/>
            <w:shd w:val="clear" w:color="000000" w:fill="95B3D7"/>
            <w:vAlign w:val="center"/>
            <w:hideMark/>
          </w:tcPr>
          <w:p w14:paraId="26E6110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1487" w:type="dxa"/>
            <w:shd w:val="clear" w:color="000000" w:fill="95B3D7"/>
            <w:vAlign w:val="center"/>
            <w:hideMark/>
          </w:tcPr>
          <w:p w14:paraId="6328E12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1868" w:type="dxa"/>
            <w:shd w:val="clear" w:color="000000" w:fill="95B3D7"/>
            <w:vAlign w:val="center"/>
            <w:hideMark/>
          </w:tcPr>
          <w:p w14:paraId="3251C52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181" w:type="dxa"/>
            <w:shd w:val="clear" w:color="000000" w:fill="95B3D7"/>
            <w:vAlign w:val="center"/>
            <w:hideMark/>
          </w:tcPr>
          <w:p w14:paraId="0604F69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360" w:type="dxa"/>
            <w:shd w:val="clear" w:color="000000" w:fill="95B3D7"/>
            <w:vAlign w:val="center"/>
            <w:hideMark/>
          </w:tcPr>
          <w:p w14:paraId="0774795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206" w:type="dxa"/>
            <w:shd w:val="clear" w:color="000000" w:fill="95B3D7"/>
            <w:vAlign w:val="center"/>
            <w:hideMark/>
          </w:tcPr>
          <w:p w14:paraId="1A5EBAF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807" w:type="dxa"/>
            <w:shd w:val="clear" w:color="000000" w:fill="95B3D7"/>
            <w:vAlign w:val="center"/>
            <w:hideMark/>
          </w:tcPr>
          <w:p w14:paraId="3F378BD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50FBB4F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0" w:type="auto"/>
            <w:shd w:val="clear" w:color="000000" w:fill="95B3D7"/>
            <w:vAlign w:val="center"/>
            <w:hideMark/>
          </w:tcPr>
          <w:p w14:paraId="6359E149"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1416" w:type="dxa"/>
            <w:shd w:val="clear" w:color="000000" w:fill="95B3D7"/>
            <w:vAlign w:val="center"/>
            <w:hideMark/>
          </w:tcPr>
          <w:p w14:paraId="0A2495E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1096" w:type="dxa"/>
            <w:shd w:val="clear" w:color="000000" w:fill="95B3D7"/>
            <w:vAlign w:val="center"/>
            <w:hideMark/>
          </w:tcPr>
          <w:p w14:paraId="38974D0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1246" w:type="dxa"/>
            <w:shd w:val="clear" w:color="000000" w:fill="95B3D7"/>
            <w:vAlign w:val="center"/>
            <w:hideMark/>
          </w:tcPr>
          <w:p w14:paraId="1F71FEE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4E9B891A" w14:textId="77777777" w:rsidTr="00E9616D">
        <w:trPr>
          <w:trHeight w:val="20"/>
          <w:tblHeader/>
          <w:jc w:val="center"/>
        </w:trPr>
        <w:tc>
          <w:tcPr>
            <w:tcW w:w="14560" w:type="dxa"/>
            <w:gridSpan w:val="11"/>
            <w:shd w:val="clear" w:color="000000" w:fill="F2DCDB"/>
            <w:hideMark/>
          </w:tcPr>
          <w:p w14:paraId="5A000A64"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Sociālā aizsardzība un drošība</w:t>
            </w:r>
          </w:p>
        </w:tc>
      </w:tr>
      <w:tr w:rsidR="00A70F57" w:rsidRPr="00BF055E" w14:paraId="6549B208" w14:textId="77777777" w:rsidTr="00E9616D">
        <w:trPr>
          <w:trHeight w:val="20"/>
          <w:jc w:val="center"/>
        </w:trPr>
        <w:tc>
          <w:tcPr>
            <w:tcW w:w="1877" w:type="dxa"/>
            <w:shd w:val="clear" w:color="auto" w:fill="auto"/>
          </w:tcPr>
          <w:p w14:paraId="32F24ED3" w14:textId="2EC9BF39" w:rsidR="004621A2" w:rsidRPr="004621A2" w:rsidRDefault="004621A2" w:rsidP="006357B3">
            <w:pPr>
              <w:spacing w:after="0" w:line="240" w:lineRule="auto"/>
              <w:ind w:firstLine="0"/>
              <w:jc w:val="left"/>
              <w:rPr>
                <w:rFonts w:eastAsia="Times New Roman" w:cs="Times New Roman"/>
                <w:sz w:val="18"/>
                <w:szCs w:val="18"/>
                <w:lang w:eastAsia="lv-LV"/>
              </w:rPr>
            </w:pPr>
            <w:r w:rsidRPr="004621A2">
              <w:rPr>
                <w:rFonts w:cs="Times New Roman"/>
                <w:sz w:val="18"/>
                <w:szCs w:val="18"/>
              </w:rPr>
              <w:t>Minimālo ienākumu uzlabošana</w:t>
            </w:r>
          </w:p>
        </w:tc>
        <w:tc>
          <w:tcPr>
            <w:tcW w:w="1487" w:type="dxa"/>
            <w:shd w:val="clear" w:color="000000" w:fill="FFFFFF"/>
          </w:tcPr>
          <w:p w14:paraId="14C6C175" w14:textId="0108C247" w:rsidR="004621A2" w:rsidRPr="00A70F57" w:rsidRDefault="004621A2" w:rsidP="006357B3">
            <w:pPr>
              <w:spacing w:after="0" w:line="240" w:lineRule="auto"/>
              <w:ind w:firstLine="0"/>
              <w:jc w:val="left"/>
              <w:rPr>
                <w:rFonts w:eastAsia="Times New Roman" w:cs="Times New Roman"/>
                <w:sz w:val="18"/>
                <w:szCs w:val="18"/>
                <w:lang w:eastAsia="lv-LV"/>
              </w:rPr>
            </w:pPr>
            <w:r w:rsidRPr="00A70F57">
              <w:rPr>
                <w:rFonts w:cs="Times New Roman"/>
                <w:sz w:val="18"/>
                <w:szCs w:val="18"/>
              </w:rPr>
              <w:t>Sociālās aizsardzības adekvātuma palielināšana, samazinot personu īpatsvaru zem trūcīgas mājsaimniecības ienākumu sliekšņa līdz 11 % 2027. gadā</w:t>
            </w:r>
          </w:p>
        </w:tc>
        <w:tc>
          <w:tcPr>
            <w:tcW w:w="1868" w:type="dxa"/>
            <w:shd w:val="clear" w:color="auto" w:fill="auto"/>
          </w:tcPr>
          <w:p w14:paraId="27F85FF3" w14:textId="4C770B0F" w:rsidR="004621A2" w:rsidRPr="00A70F57" w:rsidRDefault="004621A2" w:rsidP="006357B3">
            <w:pPr>
              <w:spacing w:after="0" w:line="240" w:lineRule="auto"/>
              <w:ind w:firstLine="0"/>
              <w:jc w:val="left"/>
              <w:rPr>
                <w:rFonts w:eastAsia="Times New Roman" w:cs="Times New Roman"/>
                <w:sz w:val="18"/>
                <w:szCs w:val="18"/>
                <w:lang w:eastAsia="lv-LV"/>
              </w:rPr>
            </w:pPr>
            <w:r w:rsidRPr="00A70F57">
              <w:rPr>
                <w:rFonts w:cs="Times New Roman"/>
                <w:sz w:val="18"/>
                <w:szCs w:val="18"/>
              </w:rPr>
              <w:t>Paaugstināt zemāko minimālo ienākumu slieksni no 20% uz 22%, attiecīgi palielinot ar to saistītos pabalstu un atlīdzību apmērus</w:t>
            </w:r>
          </w:p>
        </w:tc>
        <w:tc>
          <w:tcPr>
            <w:tcW w:w="1181" w:type="dxa"/>
            <w:shd w:val="clear" w:color="000000" w:fill="FFFFFF"/>
          </w:tcPr>
          <w:p w14:paraId="7E85BAD3" w14:textId="3A76B8F6" w:rsidR="004621A2" w:rsidRPr="004621A2" w:rsidRDefault="004621A2" w:rsidP="006357B3">
            <w:pPr>
              <w:spacing w:after="0" w:line="240" w:lineRule="auto"/>
              <w:ind w:firstLine="0"/>
              <w:jc w:val="left"/>
              <w:rPr>
                <w:rFonts w:eastAsia="Times New Roman" w:cs="Times New Roman"/>
                <w:sz w:val="18"/>
                <w:szCs w:val="18"/>
                <w:lang w:eastAsia="lv-LV"/>
              </w:rPr>
            </w:pPr>
            <w:r w:rsidRPr="004621A2">
              <w:rPr>
                <w:rFonts w:cs="Times New Roman"/>
                <w:sz w:val="18"/>
                <w:szCs w:val="18"/>
              </w:rPr>
              <w:t xml:space="preserve">Grozījumi normatīvajos aktos </w:t>
            </w:r>
            <w:r>
              <w:rPr>
                <w:rFonts w:cs="Times New Roman"/>
                <w:sz w:val="18"/>
                <w:szCs w:val="18"/>
              </w:rPr>
              <w:t>–</w:t>
            </w:r>
            <w:r w:rsidRPr="004621A2">
              <w:rPr>
                <w:rFonts w:cs="Times New Roman"/>
                <w:sz w:val="18"/>
                <w:szCs w:val="18"/>
              </w:rPr>
              <w:t xml:space="preserve"> 2024.</w:t>
            </w:r>
            <w:r>
              <w:rPr>
                <w:rFonts w:cs="Times New Roman"/>
                <w:sz w:val="18"/>
                <w:szCs w:val="18"/>
              </w:rPr>
              <w:t xml:space="preserve"> </w:t>
            </w:r>
            <w:r w:rsidRPr="004621A2">
              <w:rPr>
                <w:rFonts w:cs="Times New Roman"/>
                <w:sz w:val="18"/>
                <w:szCs w:val="18"/>
              </w:rPr>
              <w:t>gadā, ieviešana no 2025.</w:t>
            </w:r>
            <w:r>
              <w:rPr>
                <w:rFonts w:cs="Times New Roman"/>
                <w:sz w:val="18"/>
                <w:szCs w:val="18"/>
              </w:rPr>
              <w:t xml:space="preserve"> </w:t>
            </w:r>
            <w:r w:rsidRPr="004621A2">
              <w:rPr>
                <w:rFonts w:cs="Times New Roman"/>
                <w:sz w:val="18"/>
                <w:szCs w:val="18"/>
              </w:rPr>
              <w:t>gada 1.</w:t>
            </w:r>
            <w:r>
              <w:rPr>
                <w:rFonts w:cs="Times New Roman"/>
                <w:sz w:val="18"/>
                <w:szCs w:val="18"/>
              </w:rPr>
              <w:t xml:space="preserve"> </w:t>
            </w:r>
            <w:r w:rsidRPr="004621A2">
              <w:rPr>
                <w:rFonts w:cs="Times New Roman"/>
                <w:sz w:val="18"/>
                <w:szCs w:val="18"/>
              </w:rPr>
              <w:t>janvāra, pasākums neterminēts</w:t>
            </w:r>
          </w:p>
        </w:tc>
        <w:tc>
          <w:tcPr>
            <w:tcW w:w="1360" w:type="dxa"/>
            <w:shd w:val="clear" w:color="auto" w:fill="auto"/>
          </w:tcPr>
          <w:p w14:paraId="6B5D30C7" w14:textId="21865BA6" w:rsidR="004621A2" w:rsidRPr="004621A2" w:rsidRDefault="004621A2" w:rsidP="006357B3">
            <w:pPr>
              <w:spacing w:after="0" w:line="240" w:lineRule="auto"/>
              <w:ind w:firstLine="0"/>
              <w:jc w:val="left"/>
              <w:rPr>
                <w:rFonts w:eastAsia="Times New Roman" w:cs="Times New Roman"/>
                <w:sz w:val="18"/>
                <w:szCs w:val="18"/>
                <w:lang w:eastAsia="lv-LV"/>
              </w:rPr>
            </w:pPr>
            <w:r w:rsidRPr="004621A2">
              <w:rPr>
                <w:rFonts w:cs="Times New Roman"/>
                <w:sz w:val="18"/>
                <w:szCs w:val="18"/>
              </w:rPr>
              <w:t>"Likumprojektā par valsts budžetu 2025.gadam un budžeta ietvaru 2025., 2026., 2027.</w:t>
            </w:r>
            <w:r>
              <w:rPr>
                <w:rFonts w:cs="Times New Roman"/>
                <w:sz w:val="18"/>
                <w:szCs w:val="18"/>
              </w:rPr>
              <w:t xml:space="preserve"> </w:t>
            </w:r>
            <w:r w:rsidRPr="004621A2">
              <w:rPr>
                <w:rFonts w:cs="Times New Roman"/>
                <w:sz w:val="18"/>
                <w:szCs w:val="18"/>
              </w:rPr>
              <w:t>gadam iekļautais finansējums:</w:t>
            </w:r>
          </w:p>
        </w:tc>
        <w:tc>
          <w:tcPr>
            <w:tcW w:w="1206" w:type="dxa"/>
            <w:shd w:val="clear" w:color="000000" w:fill="FFFFFF"/>
          </w:tcPr>
          <w:p w14:paraId="71253382" w14:textId="77777777" w:rsidR="004621A2" w:rsidRPr="004621A2" w:rsidRDefault="004621A2" w:rsidP="006357B3">
            <w:pPr>
              <w:spacing w:after="0" w:line="240" w:lineRule="auto"/>
              <w:ind w:firstLine="0"/>
              <w:jc w:val="left"/>
              <w:rPr>
                <w:rFonts w:eastAsia="Times New Roman" w:cs="Times New Roman"/>
                <w:sz w:val="18"/>
                <w:szCs w:val="18"/>
                <w:lang w:eastAsia="lv-LV"/>
              </w:rPr>
            </w:pPr>
          </w:p>
        </w:tc>
        <w:tc>
          <w:tcPr>
            <w:tcW w:w="807" w:type="dxa"/>
            <w:shd w:val="clear" w:color="000000" w:fill="FFFFFF"/>
          </w:tcPr>
          <w:p w14:paraId="3B35EDC0" w14:textId="77777777" w:rsidR="004621A2" w:rsidRPr="004621A2" w:rsidRDefault="004621A2" w:rsidP="006357B3">
            <w:pPr>
              <w:spacing w:after="0" w:line="240" w:lineRule="auto"/>
              <w:ind w:firstLine="0"/>
              <w:jc w:val="left"/>
              <w:rPr>
                <w:rFonts w:eastAsia="Times New Roman" w:cs="Times New Roman"/>
                <w:sz w:val="18"/>
                <w:szCs w:val="18"/>
                <w:lang w:eastAsia="lv-LV"/>
              </w:rPr>
            </w:pPr>
          </w:p>
        </w:tc>
        <w:tc>
          <w:tcPr>
            <w:tcW w:w="0" w:type="auto"/>
            <w:shd w:val="clear" w:color="000000" w:fill="FFFFFF"/>
          </w:tcPr>
          <w:p w14:paraId="1EEEAB67" w14:textId="31EA8347" w:rsidR="004621A2" w:rsidRPr="004621A2" w:rsidRDefault="004621A2" w:rsidP="006357B3">
            <w:pPr>
              <w:spacing w:after="0" w:line="240" w:lineRule="auto"/>
              <w:ind w:firstLine="0"/>
              <w:jc w:val="left"/>
              <w:rPr>
                <w:rFonts w:eastAsia="Times New Roman" w:cs="Times New Roman"/>
                <w:sz w:val="18"/>
                <w:szCs w:val="18"/>
                <w:lang w:eastAsia="lv-LV"/>
              </w:rPr>
            </w:pPr>
            <w:r w:rsidRPr="004621A2">
              <w:rPr>
                <w:rFonts w:cs="Times New Roman"/>
                <w:sz w:val="18"/>
                <w:szCs w:val="18"/>
              </w:rPr>
              <w:t>Minimālo ienākumu uzlabošana</w:t>
            </w:r>
          </w:p>
        </w:tc>
        <w:tc>
          <w:tcPr>
            <w:tcW w:w="1416" w:type="dxa"/>
            <w:shd w:val="clear" w:color="000000" w:fill="FFFFFF"/>
          </w:tcPr>
          <w:p w14:paraId="4532614A" w14:textId="367D53E8" w:rsidR="004621A2" w:rsidRPr="004621A2" w:rsidRDefault="004621A2" w:rsidP="006357B3">
            <w:pPr>
              <w:spacing w:after="0" w:line="240" w:lineRule="auto"/>
              <w:ind w:firstLine="0"/>
              <w:jc w:val="left"/>
              <w:rPr>
                <w:rFonts w:eastAsia="Times New Roman" w:cs="Times New Roman"/>
                <w:sz w:val="18"/>
                <w:szCs w:val="18"/>
                <w:lang w:eastAsia="lv-LV"/>
              </w:rPr>
            </w:pPr>
            <w:r w:rsidRPr="004621A2">
              <w:rPr>
                <w:rFonts w:cs="Times New Roman"/>
                <w:sz w:val="18"/>
                <w:szCs w:val="18"/>
              </w:rPr>
              <w:t>Sociālās aizsardzības adekvātuma palielināšana, samazinot personu īpatsvaru zem trūcīgas mājsaimniecības ienākumu sliekšņa līdz 11 % 2027. gadā</w:t>
            </w:r>
          </w:p>
        </w:tc>
        <w:tc>
          <w:tcPr>
            <w:tcW w:w="1096" w:type="dxa"/>
            <w:shd w:val="clear" w:color="000000" w:fill="FFFFFF"/>
          </w:tcPr>
          <w:p w14:paraId="38CB29AD" w14:textId="7E97ED97" w:rsidR="004621A2" w:rsidRPr="004621A2" w:rsidRDefault="004621A2" w:rsidP="006357B3">
            <w:pPr>
              <w:spacing w:after="0" w:line="240" w:lineRule="auto"/>
              <w:ind w:firstLine="0"/>
              <w:jc w:val="left"/>
              <w:rPr>
                <w:rFonts w:eastAsia="Times New Roman" w:cs="Times New Roman"/>
                <w:sz w:val="18"/>
                <w:szCs w:val="18"/>
                <w:lang w:eastAsia="lv-LV"/>
              </w:rPr>
            </w:pPr>
            <w:r w:rsidRPr="004621A2">
              <w:rPr>
                <w:rFonts w:cs="Times New Roman"/>
                <w:sz w:val="18"/>
                <w:szCs w:val="18"/>
              </w:rPr>
              <w:t>Paaugstināt zemāko minimālo ienākumu slieksni no 20% uz 22%, attiecīgi palielinot ar to saistītos pabalstu un atlīdzību apmērus</w:t>
            </w:r>
          </w:p>
        </w:tc>
        <w:tc>
          <w:tcPr>
            <w:tcW w:w="1246" w:type="dxa"/>
            <w:shd w:val="clear" w:color="000000" w:fill="FFFFFF"/>
          </w:tcPr>
          <w:p w14:paraId="650AAADC" w14:textId="2582C081" w:rsidR="004621A2" w:rsidRPr="004621A2" w:rsidRDefault="004621A2" w:rsidP="006357B3">
            <w:pPr>
              <w:spacing w:after="0" w:line="240" w:lineRule="auto"/>
              <w:ind w:firstLine="0"/>
              <w:jc w:val="left"/>
              <w:rPr>
                <w:rFonts w:eastAsia="Times New Roman" w:cs="Times New Roman"/>
                <w:sz w:val="18"/>
                <w:szCs w:val="18"/>
                <w:lang w:eastAsia="lv-LV"/>
              </w:rPr>
            </w:pPr>
            <w:r w:rsidRPr="004621A2">
              <w:rPr>
                <w:rFonts w:cs="Times New Roman"/>
                <w:sz w:val="18"/>
                <w:szCs w:val="18"/>
              </w:rPr>
              <w:t>Grozījumi normatīvajos aktos - 2024.gadā, ieviešana no 2025.gada 1.janvāra, pasākums neterminēts</w:t>
            </w:r>
          </w:p>
        </w:tc>
      </w:tr>
      <w:tr w:rsidR="00A70F57" w:rsidRPr="00BF055E" w14:paraId="1810CAD1" w14:textId="77777777" w:rsidTr="00E9616D">
        <w:trPr>
          <w:trHeight w:val="20"/>
          <w:jc w:val="center"/>
        </w:trPr>
        <w:tc>
          <w:tcPr>
            <w:tcW w:w="1877" w:type="dxa"/>
            <w:vMerge w:val="restart"/>
            <w:shd w:val="clear" w:color="auto" w:fill="auto"/>
            <w:hideMark/>
          </w:tcPr>
          <w:p w14:paraId="613F1560" w14:textId="215A5D48"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Atbalsts pensionāriem</w:t>
            </w:r>
          </w:p>
          <w:p w14:paraId="4C23FB76" w14:textId="399EEF98" w:rsidR="00A70F57" w:rsidRPr="00BF055E" w:rsidRDefault="00A70F57" w:rsidP="006357B3">
            <w:pPr>
              <w:spacing w:after="0" w:line="240" w:lineRule="auto"/>
              <w:ind w:firstLine="0"/>
              <w:jc w:val="left"/>
              <w:rPr>
                <w:rFonts w:eastAsia="Times New Roman" w:cs="Times New Roman"/>
                <w:sz w:val="18"/>
                <w:szCs w:val="18"/>
                <w:lang w:eastAsia="lv-LV"/>
              </w:rPr>
            </w:pPr>
          </w:p>
          <w:p w14:paraId="3FE77E11" w14:textId="4744E8AC" w:rsidR="00A70F57" w:rsidRPr="00BF055E" w:rsidRDefault="00A70F57" w:rsidP="006357B3">
            <w:pPr>
              <w:spacing w:after="0" w:line="240" w:lineRule="auto"/>
              <w:jc w:val="left"/>
              <w:rPr>
                <w:rFonts w:eastAsia="Times New Roman" w:cs="Times New Roman"/>
                <w:sz w:val="18"/>
                <w:szCs w:val="18"/>
                <w:lang w:eastAsia="lv-LV"/>
              </w:rPr>
            </w:pPr>
          </w:p>
        </w:tc>
        <w:tc>
          <w:tcPr>
            <w:tcW w:w="1487" w:type="dxa"/>
            <w:shd w:val="clear" w:color="000000" w:fill="FFFFFF"/>
            <w:hideMark/>
          </w:tcPr>
          <w:p w14:paraId="2EDC20ED" w14:textId="77777777"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Sociālās aizsardzības adekvātuma palielināšana, samazinot nabadzības riska indeksu personām vecumā no 65 gadiem un vairāk līdz 40% 2027.gadā</w:t>
            </w:r>
          </w:p>
        </w:tc>
        <w:tc>
          <w:tcPr>
            <w:tcW w:w="1868" w:type="dxa"/>
            <w:shd w:val="clear" w:color="auto" w:fill="auto"/>
            <w:hideMark/>
          </w:tcPr>
          <w:p w14:paraId="4DE7FA44" w14:textId="4811CCD9"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 xml:space="preserve">Pakāpeniska piemaksu piešķiršana par apdrošināšanas stāžu, kas uzkrāts līdz 1995.gada 31.decembrim. Piemaksas atjaunošana tiek veikta atbilstoši pensijas piešķiršanas gadiem. 2024. gadā tās ir piešķirtas cilvēkiem, kas devās pensijā 2012., 2013. un 2014. gadā (1,52 </w:t>
            </w:r>
            <w:proofErr w:type="spellStart"/>
            <w:r w:rsidRPr="00A70F57">
              <w:rPr>
                <w:rFonts w:eastAsia="Times New Roman" w:cs="Times New Roman"/>
                <w:i/>
                <w:sz w:val="18"/>
                <w:szCs w:val="18"/>
                <w:lang w:eastAsia="lv-LV"/>
              </w:rPr>
              <w:t>euro</w:t>
            </w:r>
            <w:proofErr w:type="spellEnd"/>
            <w:r w:rsidRPr="00A70F57">
              <w:rPr>
                <w:rFonts w:eastAsia="Times New Roman" w:cs="Times New Roman"/>
                <w:sz w:val="18"/>
                <w:szCs w:val="18"/>
                <w:lang w:eastAsia="lv-LV"/>
              </w:rPr>
              <w:t xml:space="preserve"> apmērā par katru gadu). 2025.gadā piemaksas piešķirs cilvēkiem, kuri devās pensijā 2015., 2016. un 2017. gadā, 2026.gadā – cilvēkiem, kuri devās </w:t>
            </w:r>
            <w:r w:rsidRPr="00A70F57">
              <w:rPr>
                <w:rFonts w:eastAsia="Times New Roman" w:cs="Times New Roman"/>
                <w:sz w:val="18"/>
                <w:szCs w:val="18"/>
                <w:lang w:eastAsia="lv-LV"/>
              </w:rPr>
              <w:lastRenderedPageBreak/>
              <w:t>pensijā 2018., 2019. un 2020. gadā, 2027.gadā – cilvēkiem, kuri devās pensijā 2021., 2022. un 2023. gadā, 2028.gadā – cilvēkiem, kuri dosies pensijā 2024., 2025. un 2026. gadā, 2029.gadā – cilvēkiem, kuri dosies pensijā 2027., 2028. un 2029. gadā. Sākot no 2029.gada, piešķirot pensiju, vienlaicīgi tiks piešķirta arī piemaksa. Piemaksas apmēru, līdzīgi kā pensijas, ik gadu indeksē.</w:t>
            </w:r>
          </w:p>
        </w:tc>
        <w:tc>
          <w:tcPr>
            <w:tcW w:w="1181" w:type="dxa"/>
            <w:shd w:val="clear" w:color="000000" w:fill="FFFFFF"/>
            <w:hideMark/>
          </w:tcPr>
          <w:p w14:paraId="5778D832"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No 2024.gada 1.janvāra, pasākums neterminēts</w:t>
            </w:r>
          </w:p>
        </w:tc>
        <w:tc>
          <w:tcPr>
            <w:tcW w:w="1360" w:type="dxa"/>
            <w:shd w:val="clear" w:color="auto" w:fill="auto"/>
            <w:hideMark/>
          </w:tcPr>
          <w:p w14:paraId="520AD9AB"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budžeta finansējums:</w:t>
            </w:r>
            <w:r w:rsidRPr="00BF055E">
              <w:rPr>
                <w:rFonts w:eastAsia="Times New Roman" w:cs="Times New Roman"/>
                <w:sz w:val="18"/>
                <w:szCs w:val="18"/>
                <w:lang w:eastAsia="lv-LV"/>
              </w:rPr>
              <w:br/>
              <w:t xml:space="preserve">2024.gadā - 14, 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br/>
              <w:t xml:space="preserve">2025.gadā - 30, 1 </w:t>
            </w:r>
            <w:proofErr w:type="spellStart"/>
            <w:r w:rsidRPr="00BF055E">
              <w:rPr>
                <w:rFonts w:eastAsia="Times New Roman" w:cs="Times New Roman"/>
                <w:sz w:val="18"/>
                <w:szCs w:val="18"/>
                <w:lang w:eastAsia="lv-LV"/>
              </w:rPr>
              <w:t>milj</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br/>
              <w:t xml:space="preserve">2026.gadā - 51, 5 milj. </w:t>
            </w:r>
            <w:proofErr w:type="spellStart"/>
            <w:r w:rsidRPr="00BF055E">
              <w:rPr>
                <w:rFonts w:eastAsia="Times New Roman" w:cs="Times New Roman"/>
                <w:i/>
                <w:sz w:val="18"/>
                <w:szCs w:val="18"/>
                <w:lang w:eastAsia="lv-LV"/>
              </w:rPr>
              <w:t>euro</w:t>
            </w:r>
            <w:proofErr w:type="spellEnd"/>
          </w:p>
        </w:tc>
        <w:tc>
          <w:tcPr>
            <w:tcW w:w="1206" w:type="dxa"/>
            <w:shd w:val="clear" w:color="000000" w:fill="FFFFFF"/>
            <w:hideMark/>
          </w:tcPr>
          <w:p w14:paraId="054D575B"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LM</w:t>
            </w:r>
          </w:p>
        </w:tc>
        <w:tc>
          <w:tcPr>
            <w:tcW w:w="807" w:type="dxa"/>
            <w:shd w:val="clear" w:color="000000" w:fill="FFFFFF"/>
            <w:hideMark/>
          </w:tcPr>
          <w:p w14:paraId="031CF68F"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shd w:val="clear" w:color="000000" w:fill="FFFFFF"/>
            <w:hideMark/>
          </w:tcPr>
          <w:p w14:paraId="092B7DC8"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2023(1); 2024(1)</w:t>
            </w:r>
          </w:p>
        </w:tc>
        <w:tc>
          <w:tcPr>
            <w:tcW w:w="1416" w:type="dxa"/>
            <w:shd w:val="clear" w:color="000000" w:fill="FFFFFF"/>
            <w:hideMark/>
          </w:tcPr>
          <w:p w14:paraId="64850D1D"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96" w:type="dxa"/>
            <w:shd w:val="clear" w:color="000000" w:fill="FFFFFF"/>
            <w:hideMark/>
          </w:tcPr>
          <w:p w14:paraId="5F550FDA"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1246" w:type="dxa"/>
            <w:shd w:val="clear" w:color="000000" w:fill="FFFFFF"/>
            <w:hideMark/>
          </w:tcPr>
          <w:p w14:paraId="5D4E188D"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w:t>
            </w:r>
          </w:p>
        </w:tc>
      </w:tr>
      <w:tr w:rsidR="00A70F57" w:rsidRPr="00BF055E" w14:paraId="60FF25F8" w14:textId="77777777" w:rsidTr="00E9616D">
        <w:trPr>
          <w:trHeight w:val="20"/>
          <w:jc w:val="center"/>
        </w:trPr>
        <w:tc>
          <w:tcPr>
            <w:tcW w:w="1877" w:type="dxa"/>
            <w:vMerge/>
            <w:shd w:val="clear" w:color="auto" w:fill="auto"/>
            <w:vAlign w:val="center"/>
          </w:tcPr>
          <w:p w14:paraId="033C9235" w14:textId="4AC77778" w:rsidR="00A70F57" w:rsidRPr="00BF055E" w:rsidRDefault="00A70F57" w:rsidP="006357B3">
            <w:pPr>
              <w:spacing w:after="0" w:line="240" w:lineRule="auto"/>
              <w:jc w:val="left"/>
              <w:rPr>
                <w:rFonts w:eastAsia="Times New Roman" w:cs="Times New Roman"/>
                <w:sz w:val="18"/>
                <w:szCs w:val="18"/>
                <w:lang w:eastAsia="lv-LV"/>
              </w:rPr>
            </w:pPr>
          </w:p>
        </w:tc>
        <w:tc>
          <w:tcPr>
            <w:tcW w:w="1487" w:type="dxa"/>
            <w:shd w:val="clear" w:color="000000" w:fill="FFFFFF"/>
          </w:tcPr>
          <w:p w14:paraId="45C1B326" w14:textId="6DEC7D5E"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cs="Times New Roman"/>
                <w:sz w:val="18"/>
                <w:szCs w:val="18"/>
              </w:rPr>
              <w:t>Pensiju indeksācijas mehānisma pilnveidošana, samazinot nabadzības riska indeksu personām vecumā no 65 gadiem un vairāk līdz 40% 2027.gadā</w:t>
            </w:r>
          </w:p>
        </w:tc>
        <w:tc>
          <w:tcPr>
            <w:tcW w:w="1868" w:type="dxa"/>
            <w:shd w:val="clear" w:color="000000" w:fill="FFFFFF"/>
          </w:tcPr>
          <w:p w14:paraId="4F1409BA" w14:textId="294DBF2A" w:rsidR="00A70F57" w:rsidRPr="00A70F57" w:rsidRDefault="00A70F57" w:rsidP="006357B3">
            <w:pPr>
              <w:spacing w:after="0" w:line="240" w:lineRule="auto"/>
              <w:ind w:firstLine="0"/>
              <w:jc w:val="left"/>
              <w:rPr>
                <w:rFonts w:cs="Times New Roman"/>
                <w:sz w:val="18"/>
                <w:szCs w:val="18"/>
              </w:rPr>
            </w:pPr>
            <w:r w:rsidRPr="00A70F57">
              <w:rPr>
                <w:rFonts w:cs="Times New Roman"/>
                <w:sz w:val="18"/>
                <w:szCs w:val="18"/>
              </w:rPr>
              <w:t>1) Indeksējamās pensiju daļas (robežas) paaugstināšana no 50% no iepriekšējā kalendārā gada vidējās apdrošināšanas iemaksu algas valstī uz 100% no vidējās apdrošināšanas iemaksu algas valstī.</w:t>
            </w:r>
          </w:p>
          <w:p w14:paraId="3302A5FB" w14:textId="6CD17D35" w:rsidR="00A70F57" w:rsidRPr="00A70F57" w:rsidRDefault="00A70F57" w:rsidP="006357B3">
            <w:pPr>
              <w:spacing w:line="240" w:lineRule="auto"/>
              <w:ind w:firstLine="0"/>
              <w:jc w:val="left"/>
              <w:rPr>
                <w:rFonts w:eastAsia="Times New Roman"/>
                <w:sz w:val="18"/>
                <w:szCs w:val="18"/>
                <w:lang w:eastAsia="lv-LV"/>
              </w:rPr>
            </w:pPr>
            <w:r w:rsidRPr="00A70F57">
              <w:rPr>
                <w:rFonts w:eastAsia="Times New Roman"/>
                <w:sz w:val="18"/>
                <w:szCs w:val="18"/>
                <w:lang w:eastAsia="lv-LV"/>
              </w:rPr>
              <w:t xml:space="preserve">2) Visa pensijas apmēra indeksācija personām, kurām vecuma pensija piešķirta pirms vispārīgā </w:t>
            </w:r>
            <w:r w:rsidRPr="00A70F57">
              <w:rPr>
                <w:rFonts w:eastAsia="Times New Roman"/>
                <w:sz w:val="18"/>
                <w:szCs w:val="18"/>
                <w:lang w:eastAsia="lv-LV"/>
              </w:rPr>
              <w:lastRenderedPageBreak/>
              <w:t>pensionēšanās vecuma sasniegšanas sakarā ar bērna, kuram noteikta invaliditāte, aprūpi un audzināšanu, vai sakarā ar piecu un vairāk bērnu aprūpi un audzināšanu pensiju neatkarīgi no pensijas apmēra.</w:t>
            </w:r>
          </w:p>
        </w:tc>
        <w:tc>
          <w:tcPr>
            <w:tcW w:w="1181" w:type="dxa"/>
            <w:shd w:val="clear" w:color="000000" w:fill="FFFFFF"/>
          </w:tcPr>
          <w:p w14:paraId="07A64B41" w14:textId="26D73427"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lastRenderedPageBreak/>
              <w:t>No 2025.</w:t>
            </w:r>
            <w:r>
              <w:rPr>
                <w:rFonts w:eastAsia="Times New Roman" w:cs="Times New Roman"/>
                <w:sz w:val="18"/>
                <w:szCs w:val="18"/>
                <w:lang w:eastAsia="lv-LV"/>
              </w:rPr>
              <w:t xml:space="preserve"> </w:t>
            </w:r>
            <w:r w:rsidRPr="00A70F57">
              <w:rPr>
                <w:rFonts w:eastAsia="Times New Roman" w:cs="Times New Roman"/>
                <w:sz w:val="18"/>
                <w:szCs w:val="18"/>
                <w:lang w:eastAsia="lv-LV"/>
              </w:rPr>
              <w:t>gada 1.</w:t>
            </w:r>
            <w:r>
              <w:rPr>
                <w:rFonts w:eastAsia="Times New Roman" w:cs="Times New Roman"/>
                <w:sz w:val="18"/>
                <w:szCs w:val="18"/>
                <w:lang w:eastAsia="lv-LV"/>
              </w:rPr>
              <w:t xml:space="preserve"> </w:t>
            </w:r>
            <w:r w:rsidRPr="00A70F57">
              <w:rPr>
                <w:rFonts w:eastAsia="Times New Roman" w:cs="Times New Roman"/>
                <w:sz w:val="18"/>
                <w:szCs w:val="18"/>
                <w:lang w:eastAsia="lv-LV"/>
              </w:rPr>
              <w:t>janvāra, pasākums neterminēts</w:t>
            </w:r>
          </w:p>
        </w:tc>
        <w:tc>
          <w:tcPr>
            <w:tcW w:w="1360" w:type="dxa"/>
            <w:shd w:val="clear" w:color="auto" w:fill="auto"/>
          </w:tcPr>
          <w:p w14:paraId="647D46DA" w14:textId="77777777"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Likumprojektā par valsts budžetu 2025.gadam un budžeta ietvaru 2025., 2026., 2027.gadam iekļautais finansējums:</w:t>
            </w:r>
          </w:p>
          <w:p w14:paraId="3513FF06" w14:textId="77777777"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 xml:space="preserve">2025. gadā - 5 789 737 </w:t>
            </w:r>
            <w:proofErr w:type="spellStart"/>
            <w:r w:rsidRPr="00A70F57">
              <w:rPr>
                <w:rFonts w:eastAsia="Times New Roman" w:cs="Times New Roman"/>
                <w:i/>
                <w:iCs/>
                <w:sz w:val="18"/>
                <w:szCs w:val="18"/>
                <w:lang w:eastAsia="lv-LV"/>
              </w:rPr>
              <w:t>euro</w:t>
            </w:r>
            <w:proofErr w:type="spellEnd"/>
            <w:r w:rsidRPr="00A70F57">
              <w:rPr>
                <w:rFonts w:eastAsia="Times New Roman" w:cs="Times New Roman"/>
                <w:sz w:val="18"/>
                <w:szCs w:val="18"/>
                <w:lang w:eastAsia="lv-LV"/>
              </w:rPr>
              <w:t xml:space="preserve"> </w:t>
            </w:r>
          </w:p>
          <w:p w14:paraId="5B2B5D3F" w14:textId="77777777"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 xml:space="preserve">2026. gadā - 27 559 157 </w:t>
            </w:r>
            <w:proofErr w:type="spellStart"/>
            <w:r w:rsidRPr="00A70F57">
              <w:rPr>
                <w:rFonts w:eastAsia="Times New Roman" w:cs="Times New Roman"/>
                <w:i/>
                <w:iCs/>
                <w:sz w:val="18"/>
                <w:szCs w:val="18"/>
                <w:lang w:eastAsia="lv-LV"/>
              </w:rPr>
              <w:t>euro</w:t>
            </w:r>
            <w:proofErr w:type="spellEnd"/>
            <w:r w:rsidRPr="00A70F57">
              <w:rPr>
                <w:rFonts w:eastAsia="Times New Roman" w:cs="Times New Roman"/>
                <w:sz w:val="18"/>
                <w:szCs w:val="18"/>
                <w:lang w:eastAsia="lv-LV"/>
              </w:rPr>
              <w:t xml:space="preserve"> </w:t>
            </w:r>
          </w:p>
          <w:p w14:paraId="29A53273" w14:textId="77777777"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 xml:space="preserve">2027. gadā - 44 638 195 </w:t>
            </w:r>
            <w:proofErr w:type="spellStart"/>
            <w:r w:rsidRPr="00A70F57">
              <w:rPr>
                <w:rFonts w:eastAsia="Times New Roman" w:cs="Times New Roman"/>
                <w:i/>
                <w:iCs/>
                <w:sz w:val="18"/>
                <w:szCs w:val="18"/>
                <w:lang w:eastAsia="lv-LV"/>
              </w:rPr>
              <w:t>euro</w:t>
            </w:r>
            <w:proofErr w:type="spellEnd"/>
          </w:p>
          <w:p w14:paraId="11A1B184" w14:textId="418D2338"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lastRenderedPageBreak/>
              <w:t xml:space="preserve">2028. gadā - 60 894 953 </w:t>
            </w:r>
            <w:proofErr w:type="spellStart"/>
            <w:r w:rsidRPr="00A70F57">
              <w:rPr>
                <w:rFonts w:eastAsia="Times New Roman" w:cs="Times New Roman"/>
                <w:i/>
                <w:iCs/>
                <w:sz w:val="18"/>
                <w:szCs w:val="18"/>
                <w:lang w:eastAsia="lv-LV"/>
              </w:rPr>
              <w:t>euro</w:t>
            </w:r>
            <w:proofErr w:type="spellEnd"/>
          </w:p>
        </w:tc>
        <w:tc>
          <w:tcPr>
            <w:tcW w:w="1206" w:type="dxa"/>
            <w:shd w:val="clear" w:color="000000" w:fill="FFFFFF"/>
          </w:tcPr>
          <w:p w14:paraId="0323D193" w14:textId="6056615E" w:rsidR="00A70F57" w:rsidRPr="00A70F57" w:rsidRDefault="00A70F57" w:rsidP="006357B3">
            <w:pPr>
              <w:spacing w:after="0" w:line="240" w:lineRule="auto"/>
              <w:ind w:firstLine="0"/>
              <w:jc w:val="left"/>
              <w:rPr>
                <w:rFonts w:eastAsia="Times New Roman" w:cs="Times New Roman"/>
                <w:sz w:val="18"/>
                <w:szCs w:val="18"/>
                <w:lang w:eastAsia="lv-LV"/>
              </w:rPr>
            </w:pPr>
            <w:r>
              <w:rPr>
                <w:rFonts w:eastAsia="Times New Roman" w:cs="Times New Roman"/>
                <w:sz w:val="18"/>
                <w:szCs w:val="18"/>
                <w:lang w:eastAsia="lv-LV"/>
              </w:rPr>
              <w:lastRenderedPageBreak/>
              <w:t>LM</w:t>
            </w:r>
          </w:p>
        </w:tc>
        <w:tc>
          <w:tcPr>
            <w:tcW w:w="807" w:type="dxa"/>
            <w:shd w:val="clear" w:color="auto" w:fill="auto"/>
          </w:tcPr>
          <w:p w14:paraId="102BA5DC" w14:textId="77777777" w:rsidR="00A70F57" w:rsidRPr="00A70F57" w:rsidRDefault="00A70F57" w:rsidP="006357B3">
            <w:pPr>
              <w:spacing w:after="0" w:line="240" w:lineRule="auto"/>
              <w:ind w:firstLine="0"/>
              <w:jc w:val="left"/>
              <w:rPr>
                <w:rFonts w:eastAsia="Times New Roman" w:cs="Times New Roman"/>
                <w:sz w:val="18"/>
                <w:szCs w:val="18"/>
                <w:lang w:eastAsia="lv-LV"/>
              </w:rPr>
            </w:pPr>
          </w:p>
        </w:tc>
        <w:tc>
          <w:tcPr>
            <w:tcW w:w="0" w:type="auto"/>
            <w:shd w:val="clear" w:color="000000" w:fill="FFFFFF"/>
          </w:tcPr>
          <w:p w14:paraId="758697E7" w14:textId="70244EEC"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2019(2); 2020(2); 2022(1); 2023(1); 2024(1)</w:t>
            </w:r>
          </w:p>
        </w:tc>
        <w:tc>
          <w:tcPr>
            <w:tcW w:w="1416" w:type="dxa"/>
            <w:shd w:val="clear" w:color="000000" w:fill="FFFFFF"/>
          </w:tcPr>
          <w:p w14:paraId="477E657D" w14:textId="70217CB5"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cs="Times New Roman"/>
                <w:sz w:val="18"/>
                <w:szCs w:val="18"/>
              </w:rPr>
              <w:t>2. Sociālā un ekonomikas noturība, t.sk. Eiropas Sociālo tiesību pīlārs</w:t>
            </w:r>
          </w:p>
        </w:tc>
        <w:tc>
          <w:tcPr>
            <w:tcW w:w="1096" w:type="dxa"/>
            <w:shd w:val="clear" w:color="000000" w:fill="FFFFFF"/>
          </w:tcPr>
          <w:p w14:paraId="57084DE4" w14:textId="37C334CD"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cs="Times New Roman"/>
                <w:sz w:val="18"/>
                <w:szCs w:val="18"/>
              </w:rPr>
              <w:t>Sociālā aizsardzība un iekļaušana</w:t>
            </w:r>
          </w:p>
        </w:tc>
        <w:tc>
          <w:tcPr>
            <w:tcW w:w="1246" w:type="dxa"/>
            <w:shd w:val="clear" w:color="000000" w:fill="FFFFFF"/>
          </w:tcPr>
          <w:p w14:paraId="74A109BA" w14:textId="244CFA94" w:rsidR="00A70F57" w:rsidRPr="00A70F57" w:rsidRDefault="00A70F57" w:rsidP="006357B3">
            <w:pPr>
              <w:spacing w:after="0" w:line="240" w:lineRule="auto"/>
              <w:ind w:firstLine="0"/>
              <w:jc w:val="left"/>
              <w:rPr>
                <w:rFonts w:eastAsia="Times New Roman" w:cs="Times New Roman"/>
                <w:sz w:val="18"/>
                <w:szCs w:val="18"/>
                <w:lang w:eastAsia="lv-LV"/>
              </w:rPr>
            </w:pPr>
            <w:r w:rsidRPr="00A70F57">
              <w:rPr>
                <w:rFonts w:eastAsia="Times New Roman" w:cs="Times New Roman"/>
                <w:sz w:val="18"/>
                <w:szCs w:val="18"/>
                <w:lang w:eastAsia="lv-LV"/>
              </w:rPr>
              <w:t>1. Novērsta nabadzība</w:t>
            </w:r>
          </w:p>
        </w:tc>
      </w:tr>
      <w:tr w:rsidR="00A70F57" w:rsidRPr="00BF055E" w14:paraId="05EC2A2F" w14:textId="77777777" w:rsidTr="00E9616D">
        <w:trPr>
          <w:trHeight w:val="20"/>
          <w:jc w:val="center"/>
        </w:trPr>
        <w:tc>
          <w:tcPr>
            <w:tcW w:w="1877" w:type="dxa"/>
            <w:vMerge/>
            <w:shd w:val="clear" w:color="auto" w:fill="auto"/>
            <w:vAlign w:val="center"/>
            <w:hideMark/>
          </w:tcPr>
          <w:p w14:paraId="5741757D" w14:textId="4293B15C" w:rsidR="00A70F57" w:rsidRPr="00BF055E" w:rsidRDefault="00A70F57" w:rsidP="006357B3">
            <w:pPr>
              <w:spacing w:after="0" w:line="240" w:lineRule="auto"/>
              <w:ind w:firstLine="0"/>
              <w:jc w:val="left"/>
              <w:rPr>
                <w:rFonts w:eastAsia="Times New Roman" w:cs="Times New Roman"/>
                <w:sz w:val="18"/>
                <w:szCs w:val="18"/>
                <w:lang w:eastAsia="lv-LV"/>
              </w:rPr>
            </w:pPr>
          </w:p>
        </w:tc>
        <w:tc>
          <w:tcPr>
            <w:tcW w:w="1487" w:type="dxa"/>
            <w:shd w:val="clear" w:color="000000" w:fill="FFFFFF"/>
            <w:hideMark/>
          </w:tcPr>
          <w:p w14:paraId="054513C8"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Ilgtermiņa aprūpes pakalpojumu nodrošināšana 16% pilngadīgo personu , kuras saņem ģimeniskai videi pietuvinātu pakalpojumu pašvaldības ilgstošas sociālās aprūpes institūcijā, % no kopējā ilgstošas sociālās aprūpes institūcijās pašvaldībās esošā pilngadīgo personu skaita, 2027.gadā</w:t>
            </w:r>
          </w:p>
        </w:tc>
        <w:tc>
          <w:tcPr>
            <w:tcW w:w="1868" w:type="dxa"/>
            <w:shd w:val="clear" w:color="000000" w:fill="FFFFFF"/>
            <w:hideMark/>
          </w:tcPr>
          <w:p w14:paraId="46148B31"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Ēku būvniecība un jaunu ģimeniskai videi pietuvinātu ilgtermiņa aprūpes pakalpojuma saņemšanas vietu nodrošināšana 852 pensijas vecuma personām. </w:t>
            </w:r>
          </w:p>
        </w:tc>
        <w:tc>
          <w:tcPr>
            <w:tcW w:w="1181" w:type="dxa"/>
            <w:shd w:val="clear" w:color="000000" w:fill="FFFFFF"/>
            <w:hideMark/>
          </w:tcPr>
          <w:p w14:paraId="1D2C9EBC"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2024.gads - 2026.gada 30.jūnijs</w:t>
            </w:r>
          </w:p>
        </w:tc>
        <w:tc>
          <w:tcPr>
            <w:tcW w:w="1360" w:type="dxa"/>
            <w:shd w:val="clear" w:color="auto" w:fill="auto"/>
            <w:hideMark/>
          </w:tcPr>
          <w:p w14:paraId="53D25428"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finansējums - 68 753 017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shd w:val="clear" w:color="000000" w:fill="FFFFFF"/>
            <w:hideMark/>
          </w:tcPr>
          <w:p w14:paraId="46F375C5"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LM/ pašvaldības/ sociālo pakalpojumu sniedzēji</w:t>
            </w:r>
          </w:p>
        </w:tc>
        <w:tc>
          <w:tcPr>
            <w:tcW w:w="807" w:type="dxa"/>
            <w:shd w:val="clear" w:color="auto" w:fill="auto"/>
            <w:hideMark/>
          </w:tcPr>
          <w:p w14:paraId="04F9EE59"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shd w:val="clear" w:color="000000" w:fill="FFFFFF"/>
            <w:hideMark/>
          </w:tcPr>
          <w:p w14:paraId="03396F67"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2023(1); 2024(1)</w:t>
            </w:r>
          </w:p>
        </w:tc>
        <w:tc>
          <w:tcPr>
            <w:tcW w:w="1416" w:type="dxa"/>
            <w:shd w:val="clear" w:color="000000" w:fill="FFFFFF"/>
            <w:hideMark/>
          </w:tcPr>
          <w:p w14:paraId="4D737631"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96" w:type="dxa"/>
            <w:shd w:val="clear" w:color="000000" w:fill="FFFFFF"/>
            <w:hideMark/>
          </w:tcPr>
          <w:p w14:paraId="618A2359"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1246" w:type="dxa"/>
            <w:shd w:val="clear" w:color="000000" w:fill="FFFFFF"/>
            <w:hideMark/>
          </w:tcPr>
          <w:p w14:paraId="0B7AED3E" w14:textId="77777777" w:rsidR="00A70F57" w:rsidRPr="00BF055E" w:rsidRDefault="00A70F57"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w:t>
            </w:r>
          </w:p>
        </w:tc>
      </w:tr>
      <w:tr w:rsidR="00A70F57" w:rsidRPr="00BF055E" w14:paraId="3DD180AD" w14:textId="77777777" w:rsidTr="00E9616D">
        <w:trPr>
          <w:trHeight w:val="20"/>
          <w:jc w:val="center"/>
        </w:trPr>
        <w:tc>
          <w:tcPr>
            <w:tcW w:w="1877" w:type="dxa"/>
            <w:vMerge w:val="restart"/>
            <w:shd w:val="clear" w:color="auto" w:fill="auto"/>
            <w:hideMark/>
          </w:tcPr>
          <w:p w14:paraId="501B0B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Atbalsts personām ar invaliditāti</w:t>
            </w:r>
          </w:p>
        </w:tc>
        <w:tc>
          <w:tcPr>
            <w:tcW w:w="1487" w:type="dxa"/>
            <w:shd w:val="clear" w:color="auto" w:fill="auto"/>
            <w:hideMark/>
          </w:tcPr>
          <w:p w14:paraId="38977F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Materiālā atbalsta pilnveidošana personām ar invaliditāti</w:t>
            </w:r>
          </w:p>
        </w:tc>
        <w:tc>
          <w:tcPr>
            <w:tcW w:w="1868" w:type="dxa"/>
            <w:shd w:val="clear" w:color="auto" w:fill="auto"/>
            <w:hideMark/>
          </w:tcPr>
          <w:p w14:paraId="2711E2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Finansiālā atbalsta pārskatīšanai invaliditātes seku mazināšanai</w:t>
            </w:r>
            <w:r w:rsidRPr="00BF055E">
              <w:rPr>
                <w:rFonts w:eastAsia="Times New Roman" w:cs="Times New Roman"/>
                <w:sz w:val="18"/>
                <w:szCs w:val="18"/>
                <w:lang w:eastAsia="lv-LV"/>
              </w:rPr>
              <w:br/>
              <w:t xml:space="preserve">1) piemaksas pie ģimenes valsts </w:t>
            </w:r>
            <w:r w:rsidRPr="00BF055E">
              <w:rPr>
                <w:rFonts w:eastAsia="Times New Roman" w:cs="Times New Roman"/>
                <w:sz w:val="18"/>
                <w:szCs w:val="18"/>
                <w:lang w:eastAsia="lv-LV"/>
              </w:rPr>
              <w:lastRenderedPageBreak/>
              <w:t>pabalsta paaugstināšana;</w:t>
            </w:r>
            <w:r w:rsidRPr="00BF055E">
              <w:rPr>
                <w:rFonts w:eastAsia="Times New Roman" w:cs="Times New Roman"/>
                <w:sz w:val="18"/>
                <w:szCs w:val="18"/>
                <w:lang w:eastAsia="lv-LV"/>
              </w:rPr>
              <w:br/>
              <w:t>2) īpašas kopšanas pabalsta paaugstināšana pilngadīgiem kopš bērnības.</w:t>
            </w:r>
          </w:p>
        </w:tc>
        <w:tc>
          <w:tcPr>
            <w:tcW w:w="1181" w:type="dxa"/>
            <w:shd w:val="clear" w:color="auto" w:fill="auto"/>
            <w:hideMark/>
          </w:tcPr>
          <w:p w14:paraId="742B74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No 2024.gada 1.janvāra, neterminēts pasākums</w:t>
            </w:r>
          </w:p>
        </w:tc>
        <w:tc>
          <w:tcPr>
            <w:tcW w:w="1360" w:type="dxa"/>
            <w:shd w:val="clear" w:color="auto" w:fill="auto"/>
            <w:hideMark/>
          </w:tcPr>
          <w:p w14:paraId="4214280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budžeta finansējums</w:t>
            </w:r>
            <w:r w:rsidRPr="00BF055E">
              <w:rPr>
                <w:rFonts w:eastAsia="Times New Roman" w:cs="Times New Roman"/>
                <w:sz w:val="18"/>
                <w:szCs w:val="18"/>
                <w:lang w:eastAsia="lv-LV"/>
              </w:rPr>
              <w:br/>
              <w:t xml:space="preserve">1) 2024.gadā un turpmāk 5 448 626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2) 2024.gadā </w:t>
            </w:r>
            <w:r w:rsidRPr="00BF055E">
              <w:rPr>
                <w:rFonts w:eastAsia="Times New Roman" w:cs="Times New Roman"/>
                <w:sz w:val="18"/>
                <w:szCs w:val="18"/>
                <w:lang w:eastAsia="lv-LV"/>
              </w:rPr>
              <w:lastRenderedPageBreak/>
              <w:t xml:space="preserve">un turpmāk 3 186 000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shd w:val="clear" w:color="auto" w:fill="auto"/>
            <w:hideMark/>
          </w:tcPr>
          <w:p w14:paraId="1A516E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LM</w:t>
            </w:r>
          </w:p>
        </w:tc>
        <w:tc>
          <w:tcPr>
            <w:tcW w:w="807" w:type="dxa"/>
            <w:shd w:val="clear" w:color="000000" w:fill="FFFFFF"/>
            <w:hideMark/>
          </w:tcPr>
          <w:p w14:paraId="4119BC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shd w:val="clear" w:color="000000" w:fill="FFFFFF"/>
            <w:hideMark/>
          </w:tcPr>
          <w:p w14:paraId="135FDB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2023(1); 2024(1)</w:t>
            </w:r>
          </w:p>
        </w:tc>
        <w:tc>
          <w:tcPr>
            <w:tcW w:w="1416" w:type="dxa"/>
            <w:shd w:val="clear" w:color="000000" w:fill="FFFFFF"/>
            <w:hideMark/>
          </w:tcPr>
          <w:p w14:paraId="5F72A9C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96" w:type="dxa"/>
            <w:shd w:val="clear" w:color="000000" w:fill="FFFFFF"/>
            <w:hideMark/>
          </w:tcPr>
          <w:p w14:paraId="4CE86A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1246" w:type="dxa"/>
            <w:shd w:val="clear" w:color="000000" w:fill="FFFFFF"/>
            <w:hideMark/>
          </w:tcPr>
          <w:p w14:paraId="0B3CFD6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w:t>
            </w:r>
          </w:p>
        </w:tc>
      </w:tr>
      <w:tr w:rsidR="00A70F57" w:rsidRPr="00BF055E" w14:paraId="3468BFED" w14:textId="77777777" w:rsidTr="00E9616D">
        <w:trPr>
          <w:trHeight w:val="20"/>
          <w:jc w:val="center"/>
        </w:trPr>
        <w:tc>
          <w:tcPr>
            <w:tcW w:w="1877" w:type="dxa"/>
            <w:vMerge/>
            <w:vAlign w:val="center"/>
            <w:hideMark/>
          </w:tcPr>
          <w:p w14:paraId="2942522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487" w:type="dxa"/>
            <w:shd w:val="clear" w:color="000000" w:fill="FFFFFF"/>
            <w:hideMark/>
          </w:tcPr>
          <w:p w14:paraId="70566BD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un pašvaldību ēku vides pieejamības nodrošināšanas pasākumi (63 ēkās)</w:t>
            </w:r>
          </w:p>
        </w:tc>
        <w:tc>
          <w:tcPr>
            <w:tcW w:w="1868" w:type="dxa"/>
            <w:shd w:val="clear" w:color="000000" w:fill="FFFFFF"/>
            <w:hideMark/>
          </w:tcPr>
          <w:p w14:paraId="3E73465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 3.1.2.1.i 1.kārtas investīcijas (20.09.2023. MKN Nr. 582) ietvaros līdz 2022. gada 31. martam – to valsts un pašvaldību ēku izvēle, kurās jāveic vides pielāgojumi;</w:t>
            </w:r>
            <w:r w:rsidRPr="00BF055E">
              <w:rPr>
                <w:rFonts w:eastAsia="Times New Roman" w:cs="Times New Roman"/>
                <w:sz w:val="18"/>
                <w:szCs w:val="18"/>
                <w:lang w:eastAsia="lv-LV"/>
              </w:rPr>
              <w:br/>
              <w:t>- līdz 2024. gada 30. jūnijam – līgumu slēgšanas tiesību piešķiršana, lai nodrošinātu piekļuvi publiskām telpām valsts un pašvaldību ēkās;</w:t>
            </w:r>
            <w:r w:rsidRPr="00BF055E">
              <w:rPr>
                <w:rFonts w:eastAsia="Times New Roman" w:cs="Times New Roman"/>
                <w:sz w:val="18"/>
                <w:szCs w:val="18"/>
                <w:lang w:eastAsia="lv-LV"/>
              </w:rPr>
              <w:br/>
              <w:t>- līdz 2026. gada 30. jūnijam – būvniecības pabeigšana, lai nodrošinātu piekļuvi publiskām telpām 63 valsts un pašvaldību ēkās.</w:t>
            </w:r>
          </w:p>
        </w:tc>
        <w:tc>
          <w:tcPr>
            <w:tcW w:w="1181" w:type="dxa"/>
            <w:shd w:val="clear" w:color="000000" w:fill="FFFFFF"/>
            <w:hideMark/>
          </w:tcPr>
          <w:p w14:paraId="675E0C3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2022.-2026. I pusgads</w:t>
            </w:r>
          </w:p>
        </w:tc>
        <w:tc>
          <w:tcPr>
            <w:tcW w:w="1360" w:type="dxa"/>
            <w:shd w:val="clear" w:color="auto" w:fill="auto"/>
            <w:hideMark/>
          </w:tcPr>
          <w:p w14:paraId="1E074B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finansējums - 9 758 196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finansējuma (PVN) 422 855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1206" w:type="dxa"/>
            <w:shd w:val="clear" w:color="000000" w:fill="FFFFFF"/>
            <w:hideMark/>
          </w:tcPr>
          <w:p w14:paraId="18EB76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LM</w:t>
            </w:r>
          </w:p>
        </w:tc>
        <w:tc>
          <w:tcPr>
            <w:tcW w:w="807" w:type="dxa"/>
            <w:shd w:val="clear" w:color="auto" w:fill="auto"/>
            <w:hideMark/>
          </w:tcPr>
          <w:p w14:paraId="1C2A67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shd w:val="clear" w:color="000000" w:fill="FFFFFF"/>
            <w:hideMark/>
          </w:tcPr>
          <w:p w14:paraId="21D051D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416" w:type="dxa"/>
            <w:shd w:val="clear" w:color="000000" w:fill="FFFFFF"/>
            <w:hideMark/>
          </w:tcPr>
          <w:p w14:paraId="4FDF95F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96" w:type="dxa"/>
            <w:shd w:val="clear" w:color="000000" w:fill="FFFFFF"/>
            <w:hideMark/>
          </w:tcPr>
          <w:p w14:paraId="4F8A0D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1246" w:type="dxa"/>
            <w:shd w:val="clear" w:color="000000" w:fill="FFFFFF"/>
            <w:hideMark/>
          </w:tcPr>
          <w:p w14:paraId="7E3AE4C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10. Mazināta nevienlīdzība</w:t>
            </w:r>
          </w:p>
        </w:tc>
      </w:tr>
      <w:tr w:rsidR="00A70F57" w:rsidRPr="00BF055E" w14:paraId="06659B1E" w14:textId="77777777" w:rsidTr="00E9616D">
        <w:trPr>
          <w:trHeight w:val="20"/>
          <w:jc w:val="center"/>
        </w:trPr>
        <w:tc>
          <w:tcPr>
            <w:tcW w:w="1877" w:type="dxa"/>
            <w:shd w:val="clear" w:color="000000" w:fill="FFFFFF"/>
            <w:hideMark/>
          </w:tcPr>
          <w:p w14:paraId="3197C22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Profesionāla un mūsdienīga sociālā darba attīstība </w:t>
            </w:r>
          </w:p>
        </w:tc>
        <w:tc>
          <w:tcPr>
            <w:tcW w:w="1487" w:type="dxa"/>
            <w:shd w:val="clear" w:color="000000" w:fill="FFFFFF"/>
            <w:hideMark/>
          </w:tcPr>
          <w:p w14:paraId="25FF86C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Palielināt sabiedrības uzticēšanos sociālajiem dienestiem</w:t>
            </w:r>
          </w:p>
        </w:tc>
        <w:tc>
          <w:tcPr>
            <w:tcW w:w="1868" w:type="dxa"/>
            <w:shd w:val="clear" w:color="auto" w:fill="auto"/>
            <w:hideMark/>
          </w:tcPr>
          <w:p w14:paraId="56E2D790" w14:textId="249270F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12.12.2023. MKN Nr. 751</w:t>
            </w:r>
            <w:r w:rsidRPr="00BF055E">
              <w:rPr>
                <w:rFonts w:eastAsia="Times New Roman" w:cs="Times New Roman"/>
                <w:sz w:val="18"/>
                <w:szCs w:val="18"/>
                <w:lang w:eastAsia="lv-LV"/>
              </w:rPr>
              <w:br/>
              <w:t xml:space="preserve">1) profesionālās kompetences pilnveide, tai skaitā profesionālās </w:t>
            </w:r>
            <w:r w:rsidRPr="00BF055E">
              <w:rPr>
                <w:rFonts w:eastAsia="Times New Roman" w:cs="Times New Roman"/>
                <w:sz w:val="18"/>
                <w:szCs w:val="18"/>
                <w:lang w:eastAsia="lv-LV"/>
              </w:rPr>
              <w:lastRenderedPageBreak/>
              <w:t xml:space="preserve">tālākizglītības programmu un profesionālās pilnveides izglītības programmu izstrāde un īstenošana, augstākās izglītības programmu pilnveide un īstenošana, kā arī </w:t>
            </w:r>
            <w:proofErr w:type="spellStart"/>
            <w:r w:rsidRPr="00BF055E">
              <w:rPr>
                <w:rFonts w:eastAsia="Times New Roman" w:cs="Times New Roman"/>
                <w:sz w:val="18"/>
                <w:szCs w:val="18"/>
                <w:lang w:eastAsia="lv-LV"/>
              </w:rPr>
              <w:t>supervīzijas</w:t>
            </w:r>
            <w:proofErr w:type="spellEnd"/>
            <w:r w:rsidRPr="00BF055E">
              <w:rPr>
                <w:rFonts w:eastAsia="Times New Roman" w:cs="Times New Roman"/>
                <w:sz w:val="18"/>
                <w:szCs w:val="18"/>
                <w:lang w:eastAsia="lv-LV"/>
              </w:rPr>
              <w:t xml:space="preserve"> nodrošināšana;</w:t>
            </w:r>
            <w:r w:rsidRPr="00BF055E">
              <w:rPr>
                <w:rFonts w:eastAsia="Times New Roman" w:cs="Times New Roman"/>
                <w:sz w:val="18"/>
                <w:szCs w:val="18"/>
                <w:lang w:eastAsia="lv-LV"/>
              </w:rPr>
              <w:br/>
              <w:t>2) metodiku izstrāde darbam ar dažādām klientu grupām, kā arī mācību programmu izstrāde un īstenošana šo metodiku apguvei;</w:t>
            </w:r>
            <w:r w:rsidRPr="00BF055E">
              <w:rPr>
                <w:rFonts w:eastAsia="Times New Roman" w:cs="Times New Roman"/>
                <w:sz w:val="18"/>
                <w:szCs w:val="18"/>
                <w:lang w:eastAsia="lv-LV"/>
              </w:rPr>
              <w:br/>
              <w:t>3) informatīvi izglītojošo pasākumu un sabiedrības izpratnes un informētības veicināšanas pasākumu īstenošana;</w:t>
            </w:r>
            <w:r w:rsidRPr="00BF055E">
              <w:rPr>
                <w:rFonts w:eastAsia="Times New Roman" w:cs="Times New Roman"/>
                <w:sz w:val="18"/>
                <w:szCs w:val="18"/>
                <w:lang w:eastAsia="lv-LV"/>
              </w:rPr>
              <w:br/>
              <w:t xml:space="preserve">4) </w:t>
            </w:r>
            <w:proofErr w:type="spellStart"/>
            <w:r w:rsidRPr="00BF055E">
              <w:rPr>
                <w:rFonts w:eastAsia="Times New Roman" w:cs="Times New Roman"/>
                <w:sz w:val="18"/>
                <w:szCs w:val="18"/>
                <w:lang w:eastAsia="lv-LV"/>
              </w:rPr>
              <w:t>izvērtējumu</w:t>
            </w:r>
            <w:proofErr w:type="spellEnd"/>
            <w:r w:rsidRPr="00BF055E">
              <w:rPr>
                <w:rFonts w:eastAsia="Times New Roman" w:cs="Times New Roman"/>
                <w:sz w:val="18"/>
                <w:szCs w:val="18"/>
                <w:lang w:eastAsia="lv-LV"/>
              </w:rPr>
              <w:t xml:space="preserve"> veikšana par sociālās jomas speciālistu pašvaldības iestādēs darba efektivitāti, tai skaitā par sabiedrības uzticēšanos pašvaldību sociālajiem dienestiem, sociālo darbinieku darba apstākļiem, atalgojuma sistēmu un sociālā darba praksi, </w:t>
            </w:r>
            <w:r w:rsidRPr="00BF055E">
              <w:rPr>
                <w:rFonts w:eastAsia="Times New Roman" w:cs="Times New Roman"/>
                <w:sz w:val="18"/>
                <w:szCs w:val="18"/>
                <w:lang w:eastAsia="lv-LV"/>
              </w:rPr>
              <w:lastRenderedPageBreak/>
              <w:t xml:space="preserve">kā arī </w:t>
            </w:r>
            <w:proofErr w:type="spellStart"/>
            <w:r w:rsidRPr="00BF055E">
              <w:rPr>
                <w:rFonts w:eastAsia="Times New Roman" w:cs="Times New Roman"/>
                <w:i/>
                <w:iCs/>
                <w:sz w:val="18"/>
                <w:szCs w:val="18"/>
                <w:lang w:eastAsia="lv-LV"/>
              </w:rPr>
              <w:t>ex</w:t>
            </w:r>
            <w:proofErr w:type="spellEnd"/>
            <w:r w:rsidRPr="00BF055E">
              <w:rPr>
                <w:rFonts w:eastAsia="Times New Roman" w:cs="Times New Roman"/>
                <w:i/>
                <w:iCs/>
                <w:sz w:val="18"/>
                <w:szCs w:val="18"/>
                <w:lang w:eastAsia="lv-LV"/>
              </w:rPr>
              <w:t xml:space="preserve"> – post</w:t>
            </w:r>
            <w:r w:rsidRPr="00BF055E">
              <w:rPr>
                <w:rFonts w:eastAsia="Times New Roman" w:cs="Times New Roman"/>
                <w:sz w:val="18"/>
                <w:szCs w:val="18"/>
                <w:lang w:eastAsia="lv-LV"/>
              </w:rPr>
              <w:t xml:space="preserve"> </w:t>
            </w:r>
            <w:proofErr w:type="spellStart"/>
            <w:r w:rsidRPr="00BF055E">
              <w:rPr>
                <w:rFonts w:eastAsia="Times New Roman" w:cs="Times New Roman"/>
                <w:sz w:val="18"/>
                <w:szCs w:val="18"/>
                <w:lang w:eastAsia="lv-LV"/>
              </w:rPr>
              <w:t>izvērtējuma</w:t>
            </w:r>
            <w:proofErr w:type="spellEnd"/>
            <w:r w:rsidRPr="00BF055E">
              <w:rPr>
                <w:rFonts w:eastAsia="Times New Roman" w:cs="Times New Roman"/>
                <w:sz w:val="18"/>
                <w:szCs w:val="18"/>
                <w:lang w:eastAsia="lv-LV"/>
              </w:rPr>
              <w:t xml:space="preserve"> veikšana par 4.3.5.4. pasākuma projekta rezultātiem un sociālo dienestu klientu aktuālajām vajadzībām un izaicinājumiem turpmākai sociālā darba attīstībai (indikatīvās izmaksas 527 500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181" w:type="dxa"/>
            <w:shd w:val="clear" w:color="000000" w:fill="FFFFFF"/>
            <w:hideMark/>
          </w:tcPr>
          <w:p w14:paraId="5774838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2022.gada 1.septembris - 2029.gada 31.decembris</w:t>
            </w:r>
          </w:p>
        </w:tc>
        <w:tc>
          <w:tcPr>
            <w:tcW w:w="1360" w:type="dxa"/>
            <w:shd w:val="clear" w:color="auto" w:fill="auto"/>
            <w:hideMark/>
          </w:tcPr>
          <w:p w14:paraId="2BE6D88A" w14:textId="21048A46"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Pasākumam pieejamais kopējais attiecināmais finansējums ir 12 470 000 </w:t>
            </w:r>
            <w:proofErr w:type="spellStart"/>
            <w:r w:rsidRPr="00BF055E">
              <w:rPr>
                <w:rFonts w:eastAsia="Times New Roman" w:cs="Times New Roman"/>
                <w:i/>
                <w:sz w:val="18"/>
                <w:szCs w:val="18"/>
                <w:lang w:eastAsia="lv-LV"/>
              </w:rPr>
              <w:lastRenderedPageBreak/>
              <w:t>euro</w:t>
            </w:r>
            <w:proofErr w:type="spellEnd"/>
            <w:r w:rsidRPr="00BF055E">
              <w:rPr>
                <w:rFonts w:eastAsia="Times New Roman" w:cs="Times New Roman"/>
                <w:sz w:val="18"/>
                <w:szCs w:val="18"/>
                <w:lang w:eastAsia="lv-LV"/>
              </w:rPr>
              <w:t xml:space="preserve">, tai skaitā ESF+ finansējums – 10 599 500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finansējums – 1 870 500 </w:t>
            </w:r>
            <w:proofErr w:type="spellStart"/>
            <w:r w:rsidRPr="00BF055E">
              <w:rPr>
                <w:rFonts w:eastAsia="Times New Roman" w:cs="Times New Roman"/>
                <w:i/>
                <w:sz w:val="18"/>
                <w:szCs w:val="18"/>
                <w:lang w:eastAsia="lv-LV"/>
              </w:rPr>
              <w:t>euro</w:t>
            </w:r>
            <w:proofErr w:type="spellEnd"/>
          </w:p>
        </w:tc>
        <w:tc>
          <w:tcPr>
            <w:tcW w:w="1206" w:type="dxa"/>
            <w:shd w:val="clear" w:color="000000" w:fill="FFFFFF"/>
            <w:hideMark/>
          </w:tcPr>
          <w:p w14:paraId="520E01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LM</w:t>
            </w:r>
          </w:p>
        </w:tc>
        <w:tc>
          <w:tcPr>
            <w:tcW w:w="807" w:type="dxa"/>
            <w:shd w:val="clear" w:color="000000" w:fill="FFFFFF"/>
            <w:hideMark/>
          </w:tcPr>
          <w:p w14:paraId="7E63E2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shd w:val="clear" w:color="000000" w:fill="FFFFFF"/>
            <w:hideMark/>
          </w:tcPr>
          <w:p w14:paraId="58E7DF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1416" w:type="dxa"/>
            <w:shd w:val="clear" w:color="000000" w:fill="FFFFFF"/>
            <w:hideMark/>
          </w:tcPr>
          <w:p w14:paraId="5283F8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96" w:type="dxa"/>
            <w:shd w:val="clear" w:color="000000" w:fill="FFFFFF"/>
            <w:hideMark/>
          </w:tcPr>
          <w:p w14:paraId="2BD2D1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Vienādas iespējas un darba tirgus pieejamība; Taisnīgi darba </w:t>
            </w:r>
            <w:r w:rsidRPr="00BF055E">
              <w:rPr>
                <w:rFonts w:eastAsia="Times New Roman" w:cs="Times New Roman"/>
                <w:sz w:val="18"/>
                <w:szCs w:val="18"/>
                <w:lang w:eastAsia="lv-LV"/>
              </w:rPr>
              <w:lastRenderedPageBreak/>
              <w:t>apstākļi; Sociālā aizsardzība un iekļaušana</w:t>
            </w:r>
          </w:p>
        </w:tc>
        <w:tc>
          <w:tcPr>
            <w:tcW w:w="1246" w:type="dxa"/>
            <w:shd w:val="clear" w:color="000000" w:fill="FFFFFF"/>
            <w:hideMark/>
          </w:tcPr>
          <w:p w14:paraId="51BACD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4. Kvalitatīva izglītība; 8. Cienīgs darbs un ekonomikas izaugsme; </w:t>
            </w:r>
          </w:p>
        </w:tc>
      </w:tr>
      <w:tr w:rsidR="00A70F57" w:rsidRPr="00BF055E" w14:paraId="66A9C7A7" w14:textId="77777777" w:rsidTr="00E9616D">
        <w:trPr>
          <w:trHeight w:val="20"/>
          <w:jc w:val="center"/>
        </w:trPr>
        <w:tc>
          <w:tcPr>
            <w:tcW w:w="1877" w:type="dxa"/>
            <w:shd w:val="clear" w:color="000000" w:fill="FFFFFF"/>
            <w:hideMark/>
          </w:tcPr>
          <w:p w14:paraId="02FC8D1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Atbalsts </w:t>
            </w:r>
            <w:proofErr w:type="spellStart"/>
            <w:r w:rsidRPr="00BF055E">
              <w:rPr>
                <w:rFonts w:eastAsia="Times New Roman" w:cs="Times New Roman"/>
                <w:sz w:val="18"/>
                <w:szCs w:val="18"/>
                <w:lang w:eastAsia="lv-LV"/>
              </w:rPr>
              <w:t>ārpusģimenes</w:t>
            </w:r>
            <w:proofErr w:type="spellEnd"/>
            <w:r w:rsidRPr="00BF055E">
              <w:rPr>
                <w:rFonts w:eastAsia="Times New Roman" w:cs="Times New Roman"/>
                <w:sz w:val="18"/>
                <w:szCs w:val="18"/>
                <w:lang w:eastAsia="lv-LV"/>
              </w:rPr>
              <w:t xml:space="preserve"> aprūpē bijušajam bērnam pēc pilngadības sasniegšanas </w:t>
            </w:r>
          </w:p>
        </w:tc>
        <w:tc>
          <w:tcPr>
            <w:tcW w:w="1487" w:type="dxa"/>
            <w:shd w:val="clear" w:color="000000" w:fill="FFFFFF"/>
            <w:hideMark/>
          </w:tcPr>
          <w:p w14:paraId="2DBC7D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Sniegt pašvaldības un valsts mērķētu atbalstu un pakalpojumus, kas pāreju uz patstāvīgas dzīves uzsākšanu padara saudzīgāku, garantē blakusesošas, drošas un atbalstošas pieaugušas personas esamību un  papildus atbalstus jaunās situācijas pieņemšanai un spējai tai pielāgoties</w:t>
            </w:r>
          </w:p>
        </w:tc>
        <w:tc>
          <w:tcPr>
            <w:tcW w:w="1868" w:type="dxa"/>
            <w:shd w:val="clear" w:color="000000" w:fill="FFFFFF"/>
            <w:hideMark/>
          </w:tcPr>
          <w:p w14:paraId="33228832" w14:textId="4639716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bāreņa un bez vecāku gādības palikušā bērnam pēc </w:t>
            </w:r>
            <w:proofErr w:type="spellStart"/>
            <w:r w:rsidRPr="00BF055E">
              <w:rPr>
                <w:rFonts w:eastAsia="Times New Roman" w:cs="Times New Roman"/>
                <w:sz w:val="18"/>
                <w:szCs w:val="18"/>
                <w:lang w:eastAsia="lv-LV"/>
              </w:rPr>
              <w:t>ārpusģimenes</w:t>
            </w:r>
            <w:proofErr w:type="spellEnd"/>
            <w:r w:rsidRPr="00BF055E">
              <w:rPr>
                <w:rFonts w:eastAsia="Times New Roman" w:cs="Times New Roman"/>
                <w:sz w:val="18"/>
                <w:szCs w:val="18"/>
                <w:lang w:eastAsia="lv-LV"/>
              </w:rPr>
              <w:t xml:space="preserve"> aprūpes beigšanās un adoptētā, kuram ar tiesas spriedumu atcelta adopcija vajadzību un resursu izvērtēšana un atbalsta pasākuma/-</w:t>
            </w:r>
            <w:proofErr w:type="spellStart"/>
            <w:r w:rsidRPr="00BF055E">
              <w:rPr>
                <w:rFonts w:eastAsia="Times New Roman" w:cs="Times New Roman"/>
                <w:sz w:val="18"/>
                <w:szCs w:val="18"/>
                <w:lang w:eastAsia="lv-LV"/>
              </w:rPr>
              <w:t>mu</w:t>
            </w:r>
            <w:proofErr w:type="spellEnd"/>
            <w:r w:rsidRPr="00BF055E">
              <w:rPr>
                <w:rFonts w:eastAsia="Times New Roman" w:cs="Times New Roman"/>
                <w:sz w:val="18"/>
                <w:szCs w:val="18"/>
                <w:lang w:eastAsia="lv-LV"/>
              </w:rPr>
              <w:t xml:space="preserve"> piešķiršana:</w:t>
            </w:r>
            <w:r w:rsidRPr="00BF055E">
              <w:rPr>
                <w:rFonts w:eastAsia="Times New Roman" w:cs="Times New Roman"/>
                <w:sz w:val="18"/>
                <w:szCs w:val="18"/>
                <w:lang w:eastAsia="lv-LV"/>
              </w:rPr>
              <w:br/>
              <w:t xml:space="preserve">a) sociālā </w:t>
            </w:r>
            <w:proofErr w:type="spellStart"/>
            <w:r w:rsidRPr="00BF055E">
              <w:rPr>
                <w:rFonts w:eastAsia="Times New Roman" w:cs="Times New Roman"/>
                <w:sz w:val="18"/>
                <w:szCs w:val="18"/>
                <w:lang w:eastAsia="lv-LV"/>
              </w:rPr>
              <w:t>mentora</w:t>
            </w:r>
            <w:proofErr w:type="spellEnd"/>
            <w:r w:rsidRPr="00BF055E">
              <w:rPr>
                <w:rFonts w:eastAsia="Times New Roman" w:cs="Times New Roman"/>
                <w:sz w:val="18"/>
                <w:szCs w:val="18"/>
                <w:lang w:eastAsia="lv-LV"/>
              </w:rPr>
              <w:t xml:space="preserve"> pakalpojums;</w:t>
            </w:r>
            <w:r w:rsidRPr="00BF055E">
              <w:rPr>
                <w:rFonts w:eastAsia="Times New Roman" w:cs="Times New Roman"/>
                <w:sz w:val="18"/>
                <w:szCs w:val="18"/>
                <w:lang w:eastAsia="lv-LV"/>
              </w:rPr>
              <w:br/>
              <w:t>b) atbalsta grupas dažādu patstāvīgas dzīves uzsākšanai nepieciešamo sociālo prasmju un praktisko iemaņu apguvei;</w:t>
            </w:r>
            <w:r w:rsidRPr="00BF055E">
              <w:rPr>
                <w:rFonts w:eastAsia="Times New Roman" w:cs="Times New Roman"/>
                <w:sz w:val="18"/>
                <w:szCs w:val="18"/>
                <w:lang w:eastAsia="lv-LV"/>
              </w:rPr>
              <w:br/>
              <w:t xml:space="preserve">c) pabalsts finanšu </w:t>
            </w:r>
            <w:proofErr w:type="spellStart"/>
            <w:r w:rsidRPr="00BF055E">
              <w:rPr>
                <w:rFonts w:eastAsia="Times New Roman" w:cs="Times New Roman"/>
                <w:sz w:val="18"/>
                <w:szCs w:val="18"/>
                <w:lang w:eastAsia="lv-LV"/>
              </w:rPr>
              <w:t>pratības</w:t>
            </w:r>
            <w:proofErr w:type="spellEnd"/>
            <w:r w:rsidRPr="00BF055E">
              <w:rPr>
                <w:rFonts w:eastAsia="Times New Roman" w:cs="Times New Roman"/>
                <w:sz w:val="18"/>
                <w:szCs w:val="18"/>
                <w:lang w:eastAsia="lv-LV"/>
              </w:rPr>
              <w:t xml:space="preserve"> apguvei.</w:t>
            </w:r>
          </w:p>
        </w:tc>
        <w:tc>
          <w:tcPr>
            <w:tcW w:w="1181" w:type="dxa"/>
            <w:shd w:val="clear" w:color="000000" w:fill="FFFFFF"/>
            <w:hideMark/>
          </w:tcPr>
          <w:p w14:paraId="4ECFB9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2024.gada 4.maijs, pasākums neterminēts</w:t>
            </w:r>
          </w:p>
        </w:tc>
        <w:tc>
          <w:tcPr>
            <w:tcW w:w="1360" w:type="dxa"/>
            <w:shd w:val="clear" w:color="auto" w:fill="auto"/>
            <w:hideMark/>
          </w:tcPr>
          <w:p w14:paraId="11FD43F0" w14:textId="24C04B52"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budžeta finansējums:</w:t>
            </w:r>
            <w:r w:rsidRPr="00BF055E">
              <w:rPr>
                <w:rFonts w:eastAsia="Times New Roman" w:cs="Times New Roman"/>
                <w:sz w:val="18"/>
                <w:szCs w:val="18"/>
                <w:lang w:eastAsia="lv-LV"/>
              </w:rPr>
              <w:br/>
              <w:t xml:space="preserve">1) 2024.gadam - 94 560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2) 2025.gadam un turpmāk - 2 517 962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1206" w:type="dxa"/>
            <w:shd w:val="clear" w:color="000000" w:fill="FFFFFF"/>
            <w:hideMark/>
          </w:tcPr>
          <w:p w14:paraId="3C23FC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LM</w:t>
            </w:r>
          </w:p>
        </w:tc>
        <w:tc>
          <w:tcPr>
            <w:tcW w:w="807" w:type="dxa"/>
            <w:shd w:val="clear" w:color="000000" w:fill="FFFFFF"/>
            <w:hideMark/>
          </w:tcPr>
          <w:p w14:paraId="4BA2F0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shd w:val="clear" w:color="000000" w:fill="FFFFFF"/>
            <w:hideMark/>
          </w:tcPr>
          <w:p w14:paraId="450310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2020(2); 2021(1); 2022(1); 2023(1); 2024(1)</w:t>
            </w:r>
          </w:p>
        </w:tc>
        <w:tc>
          <w:tcPr>
            <w:tcW w:w="1416" w:type="dxa"/>
            <w:shd w:val="clear" w:color="000000" w:fill="FFFFFF"/>
            <w:hideMark/>
          </w:tcPr>
          <w:p w14:paraId="219F66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96" w:type="dxa"/>
            <w:shd w:val="clear" w:color="000000" w:fill="FFFFFF"/>
            <w:hideMark/>
          </w:tcPr>
          <w:p w14:paraId="7B2D8A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1246" w:type="dxa"/>
            <w:shd w:val="clear" w:color="000000" w:fill="FFFFFF"/>
            <w:hideMark/>
          </w:tcPr>
          <w:p w14:paraId="1D1917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 10. Mazināta nevienlīdzība</w:t>
            </w:r>
          </w:p>
        </w:tc>
      </w:tr>
    </w:tbl>
    <w:p w14:paraId="1A5D316E" w14:textId="77777777" w:rsidR="00BF055E" w:rsidRPr="00BF055E" w:rsidRDefault="00BF055E" w:rsidP="006357B3">
      <w:pPr>
        <w:spacing w:after="0" w:line="240" w:lineRule="auto"/>
        <w:rPr>
          <w:rFonts w:eastAsia="Calibri" w:cs="Times New Roman"/>
          <w:kern w:val="2"/>
          <w:szCs w:val="24"/>
          <w14:ligatures w14:val="standardContextual"/>
        </w:rPr>
      </w:pPr>
    </w:p>
    <w:p w14:paraId="0101D357" w14:textId="77777777" w:rsidR="0058560C" w:rsidRDefault="0058560C">
      <w:pPr>
        <w:spacing w:after="160" w:line="259" w:lineRule="auto"/>
        <w:ind w:firstLine="0"/>
        <w:jc w:val="left"/>
        <w:rPr>
          <w:rFonts w:eastAsia="Calibri" w:cs="Times New Roman"/>
          <w:b/>
          <w:bCs/>
          <w:i/>
          <w:iCs/>
          <w:kern w:val="2"/>
          <w:szCs w:val="24"/>
          <w14:ligatures w14:val="standardContextual"/>
        </w:rPr>
      </w:pPr>
      <w:r>
        <w:rPr>
          <w:rFonts w:eastAsia="Calibri" w:cs="Times New Roman"/>
          <w:b/>
          <w:bCs/>
          <w:i/>
          <w:iCs/>
          <w:kern w:val="2"/>
          <w:szCs w:val="24"/>
          <w14:ligatures w14:val="standardContextual"/>
        </w:rPr>
        <w:br w:type="page"/>
      </w:r>
    </w:p>
    <w:p w14:paraId="043E01B0" w14:textId="09F7C309"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lastRenderedPageBreak/>
        <w:t>9</w:t>
      </w:r>
      <w:r w:rsidR="00BF055E" w:rsidRPr="00BF055E">
        <w:rPr>
          <w:rFonts w:eastAsia="Calibri" w:cs="Times New Roman"/>
          <w:b/>
          <w:bCs/>
          <w:i/>
          <w:iCs/>
          <w:kern w:val="2"/>
          <w:szCs w:val="24"/>
          <w14:ligatures w14:val="standardContextual"/>
        </w:rPr>
        <w:t>.1.3. Veselības aprūpe</w:t>
      </w:r>
    </w:p>
    <w:p w14:paraId="59D35D4E"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Veselības aprūpes politikas virzienā iekļautie pasākumi koncentrējas galvenokārt uz piecu galveno mērķu sasniegšanu, kas atbilst arī ES Padomes valstu specifiskajām rekomendācijām Latvijai:</w:t>
      </w:r>
    </w:p>
    <w:p w14:paraId="1CAF6529" w14:textId="77777777" w:rsidR="00BF055E" w:rsidRPr="00BF055E" w:rsidRDefault="00BF055E" w:rsidP="006357B3">
      <w:pPr>
        <w:numPr>
          <w:ilvl w:val="0"/>
          <w:numId w:val="5"/>
        </w:numPr>
        <w:spacing w:after="0" w:line="240" w:lineRule="auto"/>
        <w:ind w:left="714" w:firstLine="0"/>
        <w:jc w:val="left"/>
        <w:rPr>
          <w:rFonts w:eastAsia="Calibri" w:cs="Times New Roman"/>
          <w:kern w:val="2"/>
          <w:szCs w:val="24"/>
          <w14:ligatures w14:val="standardContextual"/>
        </w:rPr>
      </w:pPr>
      <w:r w:rsidRPr="00BF055E">
        <w:rPr>
          <w:rFonts w:eastAsia="Calibri" w:cs="Times New Roman"/>
          <w:kern w:val="2"/>
          <w:szCs w:val="24"/>
          <w14:ligatures w14:val="standardContextual"/>
        </w:rPr>
        <w:t>palielināt finansējumu veselības aprūpei;</w:t>
      </w:r>
    </w:p>
    <w:p w14:paraId="0FC897FC" w14:textId="77777777" w:rsidR="00BF055E" w:rsidRPr="00BF055E" w:rsidRDefault="00BF055E" w:rsidP="006357B3">
      <w:pPr>
        <w:numPr>
          <w:ilvl w:val="0"/>
          <w:numId w:val="5"/>
        </w:numPr>
        <w:spacing w:after="0" w:line="240" w:lineRule="auto"/>
        <w:ind w:firstLine="0"/>
        <w:jc w:val="left"/>
        <w:rPr>
          <w:rFonts w:eastAsia="Calibri" w:cs="Times New Roman"/>
          <w:kern w:val="2"/>
          <w:szCs w:val="24"/>
          <w14:ligatures w14:val="standardContextual"/>
        </w:rPr>
      </w:pPr>
      <w:r w:rsidRPr="00BF055E">
        <w:rPr>
          <w:rFonts w:eastAsia="Calibri" w:cs="Times New Roman"/>
          <w:kern w:val="2"/>
          <w:szCs w:val="24"/>
          <w14:ligatures w14:val="standardContextual"/>
        </w:rPr>
        <w:t>uzlabot veselības aprūpes pieejamību;</w:t>
      </w:r>
    </w:p>
    <w:p w14:paraId="1D7B59F8" w14:textId="77777777" w:rsidR="00BF055E" w:rsidRPr="00BF055E" w:rsidRDefault="00BF055E" w:rsidP="006357B3">
      <w:pPr>
        <w:numPr>
          <w:ilvl w:val="0"/>
          <w:numId w:val="5"/>
        </w:numPr>
        <w:spacing w:after="0" w:line="240" w:lineRule="auto"/>
        <w:ind w:firstLine="0"/>
        <w:jc w:val="left"/>
        <w:rPr>
          <w:rFonts w:eastAsia="Calibri" w:cs="Times New Roman"/>
          <w:kern w:val="2"/>
          <w:szCs w:val="24"/>
          <w14:ligatures w14:val="standardContextual"/>
        </w:rPr>
      </w:pPr>
      <w:r w:rsidRPr="00BF055E">
        <w:rPr>
          <w:rFonts w:eastAsia="Calibri" w:cs="Times New Roman"/>
          <w:kern w:val="2"/>
          <w:szCs w:val="24"/>
          <w14:ligatures w14:val="standardContextual"/>
        </w:rPr>
        <w:t>uzlabot zāļu pieejamību;</w:t>
      </w:r>
    </w:p>
    <w:p w14:paraId="20373425" w14:textId="77777777" w:rsidR="00BF055E" w:rsidRPr="00BF055E" w:rsidRDefault="00BF055E" w:rsidP="006357B3">
      <w:pPr>
        <w:numPr>
          <w:ilvl w:val="0"/>
          <w:numId w:val="5"/>
        </w:numPr>
        <w:spacing w:after="0" w:line="240" w:lineRule="auto"/>
        <w:ind w:firstLine="0"/>
        <w:jc w:val="left"/>
        <w:rPr>
          <w:rFonts w:eastAsia="Calibri" w:cs="Times New Roman"/>
          <w:kern w:val="2"/>
          <w:szCs w:val="24"/>
          <w14:ligatures w14:val="standardContextual"/>
        </w:rPr>
      </w:pPr>
      <w:r w:rsidRPr="00BF055E">
        <w:rPr>
          <w:rFonts w:eastAsia="Calibri" w:cs="Times New Roman"/>
          <w:kern w:val="2"/>
          <w:szCs w:val="24"/>
          <w14:ligatures w14:val="standardContextual"/>
        </w:rPr>
        <w:t>uzlabot veselības aprūpes kvalitāti un veselības aprūpes sistēmas izmaksu efektivitāti;</w:t>
      </w:r>
    </w:p>
    <w:p w14:paraId="00D83A00" w14:textId="77777777" w:rsidR="00BF055E" w:rsidRPr="00BF055E" w:rsidRDefault="00BF055E" w:rsidP="006357B3">
      <w:pPr>
        <w:numPr>
          <w:ilvl w:val="0"/>
          <w:numId w:val="5"/>
        </w:numPr>
        <w:spacing w:after="0" w:line="240" w:lineRule="auto"/>
        <w:ind w:firstLine="0"/>
        <w:jc w:val="left"/>
        <w:rPr>
          <w:rFonts w:eastAsia="Calibri" w:cs="Times New Roman"/>
          <w:kern w:val="2"/>
          <w:szCs w:val="24"/>
          <w14:ligatures w14:val="standardContextual"/>
        </w:rPr>
      </w:pPr>
      <w:r w:rsidRPr="00BF055E">
        <w:rPr>
          <w:rFonts w:eastAsia="Calibri" w:cs="Times New Roman"/>
          <w:kern w:val="2"/>
          <w:szCs w:val="24"/>
          <w14:ligatures w14:val="standardContextual"/>
        </w:rPr>
        <w:t>uzlabot veselības aprūpes sistēmai nepieciešamā veselības aprūpes personāla kvantitāti, efektivitāti un kvalitāti.</w:t>
      </w:r>
    </w:p>
    <w:p w14:paraId="0235BB37"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Plānots </w:t>
      </w:r>
      <w:r w:rsidRPr="00BF055E">
        <w:rPr>
          <w:rFonts w:eastAsia="Calibri" w:cs="Times New Roman"/>
          <w:b/>
          <w:bCs/>
          <w:kern w:val="2"/>
          <w:szCs w:val="24"/>
          <w14:ligatures w14:val="standardContextual"/>
        </w:rPr>
        <w:t>palielināt</w:t>
      </w:r>
      <w:r w:rsidRPr="00BF055E">
        <w:rPr>
          <w:rFonts w:eastAsia="Calibri" w:cs="Times New Roman"/>
          <w:kern w:val="2"/>
          <w:szCs w:val="24"/>
          <w14:ligatures w14:val="standardContextual"/>
        </w:rPr>
        <w:t xml:space="preserve"> </w:t>
      </w:r>
      <w:r w:rsidRPr="00BF055E">
        <w:rPr>
          <w:rFonts w:eastAsia="Calibri" w:cs="Times New Roman"/>
          <w:b/>
          <w:bCs/>
          <w:kern w:val="2"/>
          <w:szCs w:val="24"/>
          <w14:ligatures w14:val="standardContextual"/>
        </w:rPr>
        <w:t xml:space="preserve">valsts finansējumu veselības aprūpei </w:t>
      </w:r>
      <w:r w:rsidRPr="00BF055E">
        <w:rPr>
          <w:rFonts w:eastAsia="Calibri" w:cs="Times New Roman"/>
          <w:kern w:val="2"/>
          <w:szCs w:val="24"/>
          <w14:ligatures w14:val="standardContextual"/>
        </w:rPr>
        <w:t>tā, lai 2027. gadā tas sasniegtu 6% no IKP (atbilstoši Sabiedrības veselības pamatnostādnēm 2021.-2027. gadam), izstrādāt dinamisku kompensējamo zāļu finansēšanas modeli, lai nodrošinātu papildus finansējumu veselības aprūpei, kas tiek novirzīts jauniem valsts apmaksātiem pakalpojumiem, esošo pakalpojumu pieejamības uzlabošanai un esošo pakalpojumu neefektīvo tarifu pārskatīšanai.</w:t>
      </w:r>
    </w:p>
    <w:p w14:paraId="625BDCB6"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b/>
          <w:bCs/>
          <w:kern w:val="2"/>
          <w:szCs w:val="24"/>
          <w14:ligatures w14:val="standardContextual"/>
        </w:rPr>
        <w:t>Veselības aprūpes pieejamības</w:t>
      </w:r>
      <w:r w:rsidRPr="00BF055E">
        <w:rPr>
          <w:rFonts w:eastAsia="Calibri" w:cs="Times New Roman"/>
          <w:kern w:val="2"/>
          <w:szCs w:val="24"/>
          <w14:ligatures w14:val="standardContextual"/>
        </w:rPr>
        <w:t xml:space="preserve"> uzlabošanā Latvijas FSP paredz virkni pasākumu tostarp cilvēkresursu stiprināšanu veselības aprūpes sektorā, veselības aprūpes pakalpojumu uzlabošanu onkoloģijas jomā, psihiskās veselības jomā, mātes un bērna veselības jomā, sirds un asinsrites slimību jomā, reto slimību jomā un atkarību ārstēšanas jomā. Tāpat plānots uzlabot ārstniecības iestāžu un veselības aprūpes infrastruktūru.</w:t>
      </w:r>
    </w:p>
    <w:p w14:paraId="792F0C23"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b/>
          <w:bCs/>
          <w:kern w:val="2"/>
          <w:szCs w:val="24"/>
          <w14:ligatures w14:val="standardContextual"/>
        </w:rPr>
        <w:t>Zāļu pieejamības uzlabošanā</w:t>
      </w:r>
      <w:r w:rsidRPr="00BF055E">
        <w:rPr>
          <w:rFonts w:eastAsia="Calibri" w:cs="Times New Roman"/>
          <w:kern w:val="2"/>
          <w:szCs w:val="24"/>
          <w14:ligatures w14:val="standardContextual"/>
        </w:rPr>
        <w:t xml:space="preserve"> plānots pārskatīt kompensējamo zāļu sarakstā iekļauto zāļu kompensācijas nosacījumus, papildināt kompensējamo zāļu sarakstu ar jaunām izmaksu efektīvām zālēm, pilnveidot kompensējamo zāļu izrakstīšanas kārtību, uzlabojot pieejamību un mazinot birokrātiju kompensējamo zāļu saņemšanā, veikt </w:t>
      </w:r>
      <w:proofErr w:type="spellStart"/>
      <w:r w:rsidRPr="00BF055E">
        <w:rPr>
          <w:rFonts w:eastAsia="Calibri" w:cs="Times New Roman"/>
          <w:kern w:val="2"/>
          <w:szCs w:val="24"/>
          <w14:ligatures w14:val="standardContextual"/>
        </w:rPr>
        <w:t>izvērtējumu</w:t>
      </w:r>
      <w:proofErr w:type="spellEnd"/>
      <w:r w:rsidRPr="00BF055E">
        <w:rPr>
          <w:rFonts w:eastAsia="Calibri" w:cs="Times New Roman"/>
          <w:kern w:val="2"/>
          <w:szCs w:val="24"/>
          <w14:ligatures w14:val="standardContextual"/>
        </w:rPr>
        <w:t xml:space="preserve"> par iespēju noteikt maksimāli pieļaujamo kopējo pacientam veikto līdzmaksājumu apmēru par recepšu zālēm un noteikt, ka kompensējamo zāļu aptiekas cenas nepārsniedz cenas Igaunijā un Lietuvā.</w:t>
      </w:r>
    </w:p>
    <w:p w14:paraId="1CF1A064"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b/>
          <w:bCs/>
          <w:kern w:val="2"/>
          <w:szCs w:val="24"/>
          <w14:ligatures w14:val="standardContextual"/>
        </w:rPr>
        <w:t>Veselības aprūpes kvalitātes un veselības aprūpes sistēmas izmaksu efektivitātes</w:t>
      </w:r>
      <w:r w:rsidRPr="00BF055E">
        <w:rPr>
          <w:rFonts w:eastAsia="Calibri" w:cs="Times New Roman"/>
          <w:kern w:val="2"/>
          <w:szCs w:val="24"/>
          <w14:ligatures w14:val="standardContextual"/>
        </w:rPr>
        <w:t xml:space="preserve"> uzlabošanas ziņā plānots stiprināt primāro veselības aprūpi, attīstīt slimnīcu tīklu, strādāt pie dažādu infekcijas slimību izplatības ierobežošanas, izveidot metodiskās vadības institūciju prioritārajās veselības aprūpes jomās (onkoloģijā, psihiatrijā, bērnu psihiatrijā, traumatoloģijā, pediatrijā, kardioloģijā un ģimenes medicīnā), pilnveidot pacientu drošību un aprūpes kvalitāti, attīstīt veselības nozares </w:t>
      </w:r>
      <w:proofErr w:type="spellStart"/>
      <w:r w:rsidRPr="00BF055E">
        <w:rPr>
          <w:rFonts w:eastAsia="Calibri" w:cs="Times New Roman"/>
          <w:kern w:val="2"/>
          <w:szCs w:val="24"/>
          <w14:ligatures w14:val="standardContextual"/>
        </w:rPr>
        <w:t>digitalizāciju</w:t>
      </w:r>
      <w:proofErr w:type="spellEnd"/>
      <w:r w:rsidRPr="00BF055E">
        <w:rPr>
          <w:rFonts w:eastAsia="Calibri" w:cs="Times New Roman"/>
          <w:kern w:val="2"/>
          <w:szCs w:val="24"/>
          <w14:ligatures w14:val="standardContextual"/>
        </w:rPr>
        <w:t xml:space="preserve"> un nodrošināt efektīvu datos un tehnoloģijās balstītu veselības aprūpes pārvaldību, sniegt atbalstu sekundārās ambulatorās veselības aprūpes kvalitātes un pieejamības novērtēšanai un uzlabošanai, izstrādāt uz cilvēku vērstas, visaptverošas un integrētas veselības aprūpes sniegšanas modeli, sniegt atbalstu veselības aprūpes cilvēkresursu attīstības sistēmas ieviešanai un īstenot citus pasākums.</w:t>
      </w:r>
    </w:p>
    <w:p w14:paraId="7CA2D199"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Lai uzlabotu </w:t>
      </w:r>
      <w:r w:rsidRPr="00BF055E">
        <w:rPr>
          <w:rFonts w:eastAsia="Calibri" w:cs="Times New Roman"/>
          <w:b/>
          <w:bCs/>
          <w:kern w:val="2"/>
          <w:szCs w:val="24"/>
          <w14:ligatures w14:val="standardContextual"/>
        </w:rPr>
        <w:t>veselības aprūpes sistēmai nepieciešamā veselības aprūpes personāla kvantitāti, efektivitāti un kvalitāti</w:t>
      </w:r>
      <w:r w:rsidRPr="00BF055E">
        <w:rPr>
          <w:rFonts w:eastAsia="Calibri" w:cs="Times New Roman"/>
          <w:kern w:val="2"/>
          <w:szCs w:val="24"/>
          <w14:ligatures w14:val="standardContextual"/>
        </w:rPr>
        <w:t>, plānots pilnveidot veselības aprūpes cilvēkresursu plānošanu, izglītības sistēmu, darba vidi un palielināt nozares darbinieku atalgojumu, uzlabot izglītības iespējas, t.sk. uzlabojot tālākizglītības pieejamību, piesaistīt un noturēt kvalificētus darbiniekus valsts apmaksāto veselības aprūpes pakalpojumu sektorā, īpaši stacionāros un īstenot citus pasākumus ar mērķi attīstīt un uzlabot veselības aprūpes cilvēkresursus.</w:t>
      </w:r>
    </w:p>
    <w:p w14:paraId="4C60B924" w14:textId="77777777" w:rsidR="00BF055E" w:rsidRPr="00BF055E" w:rsidRDefault="00BF055E" w:rsidP="0058560C">
      <w:pPr>
        <w:spacing w:before="120" w:line="240" w:lineRule="auto"/>
        <w:ind w:firstLine="0"/>
        <w:rPr>
          <w:rFonts w:eastAsia="Calibri" w:cs="Times New Roman"/>
          <w:b/>
          <w:bCs/>
          <w:kern w:val="2"/>
          <w:szCs w:val="24"/>
          <w14:ligatures w14:val="standardContextual"/>
        </w:rPr>
      </w:pPr>
    </w:p>
    <w:p w14:paraId="35AB7F3B" w14:textId="10BEDBD9"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lastRenderedPageBreak/>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Veselības aprūpe</w:t>
      </w:r>
    </w:p>
    <w:tbl>
      <w:tblPr>
        <w:tblW w:w="0" w:type="auto"/>
        <w:tblInd w:w="-431" w:type="dxa"/>
        <w:tblLayout w:type="fixed"/>
        <w:tblLook w:val="04A0" w:firstRow="1" w:lastRow="0" w:firstColumn="1" w:lastColumn="0" w:noHBand="0" w:noVBand="1"/>
      </w:tblPr>
      <w:tblGrid>
        <w:gridCol w:w="1419"/>
        <w:gridCol w:w="1134"/>
        <w:gridCol w:w="2268"/>
        <w:gridCol w:w="850"/>
        <w:gridCol w:w="3073"/>
        <w:gridCol w:w="1206"/>
        <w:gridCol w:w="807"/>
        <w:gridCol w:w="836"/>
        <w:gridCol w:w="1256"/>
        <w:gridCol w:w="1056"/>
        <w:gridCol w:w="980"/>
      </w:tblGrid>
      <w:tr w:rsidR="00BF055E" w:rsidRPr="00BF055E" w14:paraId="7BA07623" w14:textId="77777777" w:rsidTr="003B1594">
        <w:trPr>
          <w:trHeight w:val="20"/>
          <w:tblHeader/>
        </w:trPr>
        <w:tc>
          <w:tcPr>
            <w:tcW w:w="1419"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0F3CDC8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2CE484E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268" w:type="dxa"/>
            <w:tcBorders>
              <w:top w:val="single" w:sz="4" w:space="0" w:color="auto"/>
              <w:left w:val="nil"/>
              <w:bottom w:val="single" w:sz="4" w:space="0" w:color="auto"/>
              <w:right w:val="single" w:sz="4" w:space="0" w:color="auto"/>
            </w:tcBorders>
            <w:shd w:val="clear" w:color="000000" w:fill="95B3D7"/>
            <w:vAlign w:val="center"/>
            <w:hideMark/>
          </w:tcPr>
          <w:p w14:paraId="55CA65C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50B0874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3073" w:type="dxa"/>
            <w:tcBorders>
              <w:top w:val="single" w:sz="4" w:space="0" w:color="auto"/>
              <w:left w:val="nil"/>
              <w:bottom w:val="single" w:sz="4" w:space="0" w:color="auto"/>
              <w:right w:val="single" w:sz="4" w:space="0" w:color="auto"/>
            </w:tcBorders>
            <w:shd w:val="clear" w:color="000000" w:fill="95B3D7"/>
            <w:vAlign w:val="center"/>
            <w:hideMark/>
          </w:tcPr>
          <w:p w14:paraId="1F42507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iCs/>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206" w:type="dxa"/>
            <w:tcBorders>
              <w:top w:val="single" w:sz="4" w:space="0" w:color="auto"/>
              <w:left w:val="nil"/>
              <w:bottom w:val="single" w:sz="4" w:space="0" w:color="auto"/>
              <w:right w:val="single" w:sz="4" w:space="0" w:color="auto"/>
            </w:tcBorders>
            <w:shd w:val="clear" w:color="000000" w:fill="95B3D7"/>
            <w:vAlign w:val="center"/>
            <w:hideMark/>
          </w:tcPr>
          <w:p w14:paraId="4E14A18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807" w:type="dxa"/>
            <w:tcBorders>
              <w:top w:val="single" w:sz="4" w:space="0" w:color="auto"/>
              <w:left w:val="nil"/>
              <w:bottom w:val="single" w:sz="4" w:space="0" w:color="auto"/>
              <w:right w:val="single" w:sz="4" w:space="0" w:color="auto"/>
            </w:tcBorders>
            <w:shd w:val="clear" w:color="000000" w:fill="95B3D7"/>
            <w:vAlign w:val="center"/>
            <w:hideMark/>
          </w:tcPr>
          <w:p w14:paraId="08853413"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792B7EB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836" w:type="dxa"/>
            <w:tcBorders>
              <w:top w:val="single" w:sz="4" w:space="0" w:color="auto"/>
              <w:left w:val="nil"/>
              <w:bottom w:val="single" w:sz="4" w:space="0" w:color="auto"/>
              <w:right w:val="single" w:sz="4" w:space="0" w:color="auto"/>
            </w:tcBorders>
            <w:shd w:val="clear" w:color="000000" w:fill="95B3D7"/>
            <w:vAlign w:val="center"/>
            <w:hideMark/>
          </w:tcPr>
          <w:p w14:paraId="14A8123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1256" w:type="dxa"/>
            <w:tcBorders>
              <w:top w:val="single" w:sz="4" w:space="0" w:color="auto"/>
              <w:left w:val="nil"/>
              <w:bottom w:val="single" w:sz="4" w:space="0" w:color="auto"/>
              <w:right w:val="single" w:sz="4" w:space="0" w:color="auto"/>
            </w:tcBorders>
            <w:shd w:val="clear" w:color="000000" w:fill="95B3D7"/>
            <w:vAlign w:val="center"/>
            <w:hideMark/>
          </w:tcPr>
          <w:p w14:paraId="0ECF673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1056" w:type="dxa"/>
            <w:tcBorders>
              <w:top w:val="single" w:sz="4" w:space="0" w:color="auto"/>
              <w:left w:val="nil"/>
              <w:bottom w:val="single" w:sz="4" w:space="0" w:color="auto"/>
              <w:right w:val="single" w:sz="4" w:space="0" w:color="auto"/>
            </w:tcBorders>
            <w:shd w:val="clear" w:color="000000" w:fill="95B3D7"/>
            <w:vAlign w:val="center"/>
            <w:hideMark/>
          </w:tcPr>
          <w:p w14:paraId="45B7EC1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980" w:type="dxa"/>
            <w:tcBorders>
              <w:top w:val="single" w:sz="4" w:space="0" w:color="auto"/>
              <w:left w:val="nil"/>
              <w:bottom w:val="single" w:sz="4" w:space="0" w:color="auto"/>
              <w:right w:val="single" w:sz="4" w:space="0" w:color="auto"/>
            </w:tcBorders>
            <w:shd w:val="clear" w:color="000000" w:fill="95B3D7"/>
            <w:vAlign w:val="center"/>
            <w:hideMark/>
          </w:tcPr>
          <w:p w14:paraId="3BE92E4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34C69BA8" w14:textId="77777777" w:rsidTr="003B1594">
        <w:trPr>
          <w:trHeight w:val="20"/>
          <w:tblHeader/>
        </w:trPr>
        <w:tc>
          <w:tcPr>
            <w:tcW w:w="14885"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55E10696"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Veselības aprūpe</w:t>
            </w:r>
          </w:p>
        </w:tc>
      </w:tr>
      <w:tr w:rsidR="00BF055E" w:rsidRPr="00BF055E" w14:paraId="4B5D83F5"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424E5C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Veselības aprūpes pakalpojumu uzlabošana onkoloģijas jomā </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34C71A8" w14:textId="77777777" w:rsidR="00BF055E" w:rsidRPr="00BF055E" w:rsidRDefault="00BF055E" w:rsidP="006357B3">
            <w:pPr>
              <w:spacing w:after="0" w:line="240" w:lineRule="auto"/>
              <w:ind w:firstLine="0"/>
              <w:jc w:val="center"/>
              <w:rPr>
                <w:rFonts w:eastAsia="Times New Roman" w:cs="Times New Roman"/>
                <w:sz w:val="18"/>
                <w:szCs w:val="18"/>
                <w:lang w:eastAsia="lv-LV"/>
              </w:rPr>
            </w:pPr>
            <w:r w:rsidRPr="00BF055E">
              <w:rPr>
                <w:rFonts w:eastAsia="Times New Roman" w:cs="Times New Roman"/>
                <w:sz w:val="18"/>
                <w:szCs w:val="18"/>
                <w:lang w:eastAsia="lv-LV"/>
              </w:rPr>
              <w:t>Uzlabot veselības aprūpes pieejamību</w:t>
            </w:r>
          </w:p>
        </w:tc>
        <w:tc>
          <w:tcPr>
            <w:tcW w:w="2268" w:type="dxa"/>
            <w:tcBorders>
              <w:top w:val="nil"/>
              <w:left w:val="nil"/>
              <w:bottom w:val="single" w:sz="4" w:space="0" w:color="auto"/>
              <w:right w:val="single" w:sz="4" w:space="0" w:color="auto"/>
            </w:tcBorders>
            <w:shd w:val="clear" w:color="000000" w:fill="FFFFFF"/>
            <w:hideMark/>
          </w:tcPr>
          <w:p w14:paraId="36B113CC"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Plāna "Par Veselības aprūpes pakalpojumu uzlabošanas plānu onkoloģijas jomā 2022.–2024. gadam" ieviešana.</w:t>
            </w:r>
          </w:p>
        </w:tc>
        <w:tc>
          <w:tcPr>
            <w:tcW w:w="850" w:type="dxa"/>
            <w:tcBorders>
              <w:top w:val="nil"/>
              <w:left w:val="nil"/>
              <w:bottom w:val="single" w:sz="4" w:space="0" w:color="auto"/>
              <w:right w:val="single" w:sz="4" w:space="0" w:color="auto"/>
            </w:tcBorders>
            <w:shd w:val="clear" w:color="000000" w:fill="FFFFFF"/>
            <w:hideMark/>
          </w:tcPr>
          <w:p w14:paraId="425143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Līdz 2025.g.</w:t>
            </w:r>
          </w:p>
        </w:tc>
        <w:tc>
          <w:tcPr>
            <w:tcW w:w="3073" w:type="dxa"/>
            <w:tcBorders>
              <w:top w:val="nil"/>
              <w:left w:val="nil"/>
              <w:bottom w:val="single" w:sz="4" w:space="0" w:color="auto"/>
              <w:right w:val="single" w:sz="4" w:space="0" w:color="auto"/>
            </w:tcBorders>
            <w:shd w:val="clear" w:color="auto" w:fill="auto"/>
            <w:hideMark/>
          </w:tcPr>
          <w:p w14:paraId="42A36013" w14:textId="00164689"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Papildus piešķirtais finansējums 2024. gadā atbilstoši likumam “Par valsts budžetu 2024.gadam un budžeta ietvaru 2024., 2025. un 2026.gadam” un ņemot vērā 2023. gada 12. decembra MK rīkojumu Nr. 883, (prot. Nr. 61 50. §) - 9 595 499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papildus </w:t>
            </w:r>
            <w:proofErr w:type="spellStart"/>
            <w:r w:rsidRPr="00BF055E">
              <w:rPr>
                <w:rFonts w:eastAsia="Times New Roman" w:cs="Times New Roman"/>
                <w:sz w:val="18"/>
                <w:szCs w:val="18"/>
                <w:lang w:eastAsia="lv-LV"/>
              </w:rPr>
              <w:t>onko</w:t>
            </w:r>
            <w:proofErr w:type="spellEnd"/>
            <w:r w:rsidRPr="00BF055E">
              <w:rPr>
                <w:rFonts w:eastAsia="Times New Roman" w:cs="Times New Roman"/>
                <w:sz w:val="18"/>
                <w:szCs w:val="18"/>
                <w:lang w:eastAsia="lv-LV"/>
              </w:rPr>
              <w:t xml:space="preserve"> pasākumi, kas nav iekļauti plānā) (2025. gadam 9 654 203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2026. gadam 9 762 116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10A986C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000000" w:fill="FFFFFF"/>
            <w:hideMark/>
          </w:tcPr>
          <w:p w14:paraId="52A3696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620EDB8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6F0968D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5708F2C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0D5685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1ACC288E"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5D9C2F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Veselības aprūpes uzlabošana psihiskās veselības jomā</w:t>
            </w:r>
          </w:p>
        </w:tc>
        <w:tc>
          <w:tcPr>
            <w:tcW w:w="1134" w:type="dxa"/>
            <w:vMerge/>
            <w:tcBorders>
              <w:top w:val="nil"/>
              <w:left w:val="single" w:sz="4" w:space="0" w:color="auto"/>
              <w:bottom w:val="single" w:sz="4" w:space="0" w:color="auto"/>
              <w:right w:val="single" w:sz="4" w:space="0" w:color="auto"/>
            </w:tcBorders>
            <w:vAlign w:val="center"/>
            <w:hideMark/>
          </w:tcPr>
          <w:p w14:paraId="4BCB0E7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47F6D6C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Plāna "Psihiskās veselības aprūpes organizēšanas uzlabošanas plāns 2023.-2025.gadam" ieviešana</w:t>
            </w:r>
          </w:p>
        </w:tc>
        <w:tc>
          <w:tcPr>
            <w:tcW w:w="850" w:type="dxa"/>
            <w:tcBorders>
              <w:top w:val="nil"/>
              <w:left w:val="nil"/>
              <w:bottom w:val="single" w:sz="4" w:space="0" w:color="auto"/>
              <w:right w:val="single" w:sz="4" w:space="0" w:color="auto"/>
            </w:tcBorders>
            <w:shd w:val="clear" w:color="000000" w:fill="FFFFFF"/>
            <w:hideMark/>
          </w:tcPr>
          <w:p w14:paraId="639976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līdz 2025.g </w:t>
            </w:r>
          </w:p>
        </w:tc>
        <w:tc>
          <w:tcPr>
            <w:tcW w:w="3073" w:type="dxa"/>
            <w:tcBorders>
              <w:top w:val="nil"/>
              <w:left w:val="nil"/>
              <w:bottom w:val="single" w:sz="4" w:space="0" w:color="auto"/>
              <w:right w:val="single" w:sz="4" w:space="0" w:color="auto"/>
            </w:tcBorders>
            <w:shd w:val="clear" w:color="auto" w:fill="auto"/>
            <w:hideMark/>
          </w:tcPr>
          <w:p w14:paraId="116B303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Papildus piešķirtais finansējums 2024. gadā atbilstoši likumam “Par valsts budžetu 2024.gadam un budžeta ietvaru 2024., 2025. un 2026.gadam” un ņemot vērā 2023. gada 12. decembra MK rīkojumu Nr. 883 (prot. Nr. 61 50. §) - 353 029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(2025. gadā un turpmāk ik gadu 442 630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582514C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000000" w:fill="FFFFFF"/>
            <w:hideMark/>
          </w:tcPr>
          <w:p w14:paraId="219BFB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6" w:type="dxa"/>
            <w:tcBorders>
              <w:top w:val="nil"/>
              <w:left w:val="nil"/>
              <w:bottom w:val="single" w:sz="4" w:space="0" w:color="auto"/>
              <w:right w:val="single" w:sz="4" w:space="0" w:color="auto"/>
            </w:tcBorders>
            <w:shd w:val="clear" w:color="auto" w:fill="auto"/>
            <w:hideMark/>
          </w:tcPr>
          <w:p w14:paraId="780B4C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64860B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05724F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0D6C9CE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22849A7B"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253C92E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Veselības aprūpes pakalpojumu uzlabošana reto slimību jomā</w:t>
            </w:r>
          </w:p>
        </w:tc>
        <w:tc>
          <w:tcPr>
            <w:tcW w:w="1134" w:type="dxa"/>
            <w:vMerge/>
            <w:tcBorders>
              <w:top w:val="nil"/>
              <w:left w:val="single" w:sz="4" w:space="0" w:color="auto"/>
              <w:bottom w:val="single" w:sz="4" w:space="0" w:color="auto"/>
              <w:right w:val="single" w:sz="4" w:space="0" w:color="auto"/>
            </w:tcBorders>
            <w:vAlign w:val="center"/>
            <w:hideMark/>
          </w:tcPr>
          <w:p w14:paraId="1FDB5333"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3C138B5E"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Plāna "Plāns reto slimību jomā 2023.–2025. gadam" ieviešana</w:t>
            </w:r>
          </w:p>
        </w:tc>
        <w:tc>
          <w:tcPr>
            <w:tcW w:w="850" w:type="dxa"/>
            <w:tcBorders>
              <w:top w:val="nil"/>
              <w:left w:val="nil"/>
              <w:bottom w:val="single" w:sz="4" w:space="0" w:color="auto"/>
              <w:right w:val="single" w:sz="4" w:space="0" w:color="auto"/>
            </w:tcBorders>
            <w:shd w:val="clear" w:color="000000" w:fill="FFFFFF"/>
            <w:hideMark/>
          </w:tcPr>
          <w:p w14:paraId="54D665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līdz 2025.g </w:t>
            </w:r>
          </w:p>
        </w:tc>
        <w:tc>
          <w:tcPr>
            <w:tcW w:w="3073" w:type="dxa"/>
            <w:tcBorders>
              <w:top w:val="nil"/>
              <w:left w:val="nil"/>
              <w:bottom w:val="single" w:sz="4" w:space="0" w:color="auto"/>
              <w:right w:val="single" w:sz="4" w:space="0" w:color="auto"/>
            </w:tcBorders>
            <w:shd w:val="clear" w:color="auto" w:fill="auto"/>
            <w:hideMark/>
          </w:tcPr>
          <w:p w14:paraId="4008419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Papildus piešķirtais finansējums 2024. gadā atbilstoši likumam “Par valsts budžetu 2024.gadam un budžeta ietvaru 2024., 2025. un 2026.gadam” un ņemot vērā 2023. gada 12. decembra MK rīkojumu Nr. 883, (prot. Nr. 61 50. §) - 594 282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(2025. gadam un turpmāk ik gadu 594 282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17CA301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000000" w:fill="FFFFFF"/>
            <w:hideMark/>
          </w:tcPr>
          <w:p w14:paraId="42A3356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6" w:type="dxa"/>
            <w:tcBorders>
              <w:top w:val="nil"/>
              <w:left w:val="nil"/>
              <w:bottom w:val="single" w:sz="4" w:space="0" w:color="auto"/>
              <w:right w:val="single" w:sz="4" w:space="0" w:color="auto"/>
            </w:tcBorders>
            <w:shd w:val="clear" w:color="auto" w:fill="auto"/>
            <w:hideMark/>
          </w:tcPr>
          <w:p w14:paraId="0A4464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7CD018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56555B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23AF98C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29A6468E"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54271D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Veselības aprūpes pakalpojumu uzlabošana atkarību ārstēšanas jomā </w:t>
            </w:r>
          </w:p>
        </w:tc>
        <w:tc>
          <w:tcPr>
            <w:tcW w:w="1134" w:type="dxa"/>
            <w:vMerge/>
            <w:tcBorders>
              <w:top w:val="nil"/>
              <w:left w:val="single" w:sz="4" w:space="0" w:color="auto"/>
              <w:bottom w:val="single" w:sz="4" w:space="0" w:color="auto"/>
              <w:right w:val="single" w:sz="4" w:space="0" w:color="auto"/>
            </w:tcBorders>
            <w:vAlign w:val="center"/>
            <w:hideMark/>
          </w:tcPr>
          <w:p w14:paraId="7B962B0B"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auto" w:fill="auto"/>
            <w:hideMark/>
          </w:tcPr>
          <w:p w14:paraId="4AFE48F2"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Plāna "Profilakses pasākumu un veselības aprūpes pakalpojumu uzlabošanas plāna alkoholisko dzērienu un narkotisko vielu lietošanas izplatības mazināšanas jomā </w:t>
            </w:r>
            <w:r w:rsidRPr="00BF055E">
              <w:rPr>
                <w:rFonts w:eastAsia="Times New Roman" w:cs="Times New Roman"/>
                <w:sz w:val="18"/>
                <w:szCs w:val="18"/>
                <w:lang w:eastAsia="lv-LV"/>
              </w:rPr>
              <w:lastRenderedPageBreak/>
              <w:t>2023.-2025.gadam" ieviešana</w:t>
            </w:r>
          </w:p>
        </w:tc>
        <w:tc>
          <w:tcPr>
            <w:tcW w:w="850" w:type="dxa"/>
            <w:tcBorders>
              <w:top w:val="nil"/>
              <w:left w:val="nil"/>
              <w:bottom w:val="single" w:sz="4" w:space="0" w:color="auto"/>
              <w:right w:val="single" w:sz="4" w:space="0" w:color="auto"/>
            </w:tcBorders>
            <w:shd w:val="clear" w:color="auto" w:fill="auto"/>
            <w:hideMark/>
          </w:tcPr>
          <w:p w14:paraId="184140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līdz 2025.g.</w:t>
            </w:r>
          </w:p>
        </w:tc>
        <w:tc>
          <w:tcPr>
            <w:tcW w:w="3073" w:type="dxa"/>
            <w:tcBorders>
              <w:top w:val="nil"/>
              <w:left w:val="nil"/>
              <w:bottom w:val="single" w:sz="4" w:space="0" w:color="auto"/>
              <w:right w:val="single" w:sz="4" w:space="0" w:color="auto"/>
            </w:tcBorders>
            <w:shd w:val="clear" w:color="auto" w:fill="auto"/>
            <w:hideMark/>
          </w:tcPr>
          <w:p w14:paraId="1A6017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Papildus piešķirtais finansējums 2024. gadā atbilstoši likumam “Par valsts budžetu 2024.gadam un budžeta ietvaru 2024., 2025. un 2026.gadam” un ņemot vērā 2023. gada 12. decembra MK rīkojumu Nr. 883, (prot. Nr. 61 50. §) - 427 401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(2025. </w:t>
            </w:r>
            <w:r w:rsidRPr="00BF055E">
              <w:rPr>
                <w:rFonts w:eastAsia="Times New Roman" w:cs="Times New Roman"/>
                <w:sz w:val="18"/>
                <w:szCs w:val="18"/>
                <w:lang w:eastAsia="lv-LV"/>
              </w:rPr>
              <w:lastRenderedPageBreak/>
              <w:t xml:space="preserve">gadā un turpmāk ik gadu 850 091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736B819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VM</w:t>
            </w:r>
          </w:p>
        </w:tc>
        <w:tc>
          <w:tcPr>
            <w:tcW w:w="807" w:type="dxa"/>
            <w:tcBorders>
              <w:top w:val="nil"/>
              <w:left w:val="nil"/>
              <w:bottom w:val="single" w:sz="4" w:space="0" w:color="auto"/>
              <w:right w:val="single" w:sz="4" w:space="0" w:color="auto"/>
            </w:tcBorders>
            <w:shd w:val="clear" w:color="auto" w:fill="auto"/>
            <w:hideMark/>
          </w:tcPr>
          <w:p w14:paraId="7E58B2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6" w:type="dxa"/>
            <w:tcBorders>
              <w:top w:val="nil"/>
              <w:left w:val="nil"/>
              <w:bottom w:val="single" w:sz="4" w:space="0" w:color="auto"/>
              <w:right w:val="single" w:sz="4" w:space="0" w:color="auto"/>
            </w:tcBorders>
            <w:shd w:val="clear" w:color="auto" w:fill="auto"/>
            <w:hideMark/>
          </w:tcPr>
          <w:p w14:paraId="2BD762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00D9C4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3D5AD1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6025EA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6143E4C2"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6AED6DEE"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Ārstniecības iestāžu infrastruktūras attīstīšana </w:t>
            </w:r>
          </w:p>
        </w:tc>
        <w:tc>
          <w:tcPr>
            <w:tcW w:w="1134" w:type="dxa"/>
            <w:vMerge/>
            <w:tcBorders>
              <w:top w:val="nil"/>
              <w:left w:val="single" w:sz="4" w:space="0" w:color="auto"/>
              <w:bottom w:val="single" w:sz="4" w:space="0" w:color="auto"/>
              <w:right w:val="single" w:sz="4" w:space="0" w:color="auto"/>
            </w:tcBorders>
            <w:vAlign w:val="center"/>
            <w:hideMark/>
          </w:tcPr>
          <w:p w14:paraId="319F3414"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439DBD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ES kohēzijas politikas programmas 2021.–2027. gadam 4.1.1.1. pasākuma "Ārstniecības iestāžu infrastruktūras attīstīšana" un 4.1.1.5. pasākuma "Neatliekamās medicīniskās palīdzības dienesta attīstība" ieviešana:</w:t>
            </w:r>
            <w:r w:rsidRPr="00BF055E">
              <w:rPr>
                <w:rFonts w:eastAsia="Times New Roman" w:cs="Times New Roman"/>
                <w:sz w:val="18"/>
                <w:szCs w:val="18"/>
                <w:lang w:eastAsia="lv-LV"/>
              </w:rPr>
              <w:br/>
              <w:t>1.1. Tiesiskā regulējuma izstrāde</w:t>
            </w:r>
            <w:r w:rsidRPr="00BF055E">
              <w:rPr>
                <w:rFonts w:eastAsia="Times New Roman" w:cs="Times New Roman"/>
                <w:sz w:val="18"/>
                <w:szCs w:val="18"/>
                <w:lang w:eastAsia="lv-LV"/>
              </w:rPr>
              <w:br/>
              <w:t>1.2. Projektu īstenošana</w:t>
            </w:r>
            <w:r w:rsidRPr="00BF055E">
              <w:rPr>
                <w:rFonts w:eastAsia="Times New Roman" w:cs="Times New Roman"/>
                <w:sz w:val="18"/>
                <w:szCs w:val="18"/>
                <w:lang w:eastAsia="lv-LV"/>
              </w:rPr>
              <w:br/>
              <w:t>2. ES kohēzijas politikas programmas 2021.–2027. gadam 4.1.1.2. pasākuma "</w:t>
            </w:r>
            <w:proofErr w:type="spellStart"/>
            <w:r w:rsidRPr="00BF055E">
              <w:rPr>
                <w:rFonts w:eastAsia="Times New Roman" w:cs="Times New Roman"/>
                <w:sz w:val="18"/>
                <w:szCs w:val="18"/>
                <w:lang w:eastAsia="lv-LV"/>
              </w:rPr>
              <w:t>P.Stradiņa</w:t>
            </w:r>
            <w:proofErr w:type="spellEnd"/>
            <w:r w:rsidRPr="00BF055E">
              <w:rPr>
                <w:rFonts w:eastAsia="Times New Roman" w:cs="Times New Roman"/>
                <w:sz w:val="18"/>
                <w:szCs w:val="18"/>
                <w:lang w:eastAsia="lv-LV"/>
              </w:rPr>
              <w:t xml:space="preserve"> klīniskās universitātes slimnīcas infrastruktūras attīstība" ieviešana:</w:t>
            </w:r>
            <w:r w:rsidRPr="00BF055E">
              <w:rPr>
                <w:rFonts w:eastAsia="Times New Roman" w:cs="Times New Roman"/>
                <w:sz w:val="18"/>
                <w:szCs w:val="18"/>
                <w:lang w:eastAsia="lv-LV"/>
              </w:rPr>
              <w:br/>
              <w:t>2.1. Tiesiskā regulējuma izstrāde</w:t>
            </w:r>
            <w:r w:rsidRPr="00BF055E">
              <w:rPr>
                <w:rFonts w:eastAsia="Times New Roman" w:cs="Times New Roman"/>
                <w:sz w:val="18"/>
                <w:szCs w:val="18"/>
                <w:lang w:eastAsia="lv-LV"/>
              </w:rPr>
              <w:br/>
              <w:t>2.2. Projektu īstenošana</w:t>
            </w:r>
            <w:r w:rsidRPr="00BF055E">
              <w:rPr>
                <w:rFonts w:eastAsia="Times New Roman" w:cs="Times New Roman"/>
                <w:sz w:val="18"/>
                <w:szCs w:val="18"/>
                <w:lang w:eastAsia="lv-LV"/>
              </w:rPr>
              <w:br/>
              <w:t>3. ES kohēzijas politikas programmas 2021.–2027. gadam 4.1.1.3. pasākuma "Primārās veselības aprūpes lomas stiprināšana, attīstot infrastruktūru" ieviešana:</w:t>
            </w:r>
            <w:r w:rsidRPr="00BF055E">
              <w:rPr>
                <w:rFonts w:eastAsia="Times New Roman" w:cs="Times New Roman"/>
                <w:sz w:val="18"/>
                <w:szCs w:val="18"/>
                <w:lang w:eastAsia="lv-LV"/>
              </w:rPr>
              <w:br/>
              <w:t>3.1. Tiesiskā regulējuma izstrāde</w:t>
            </w:r>
            <w:r w:rsidRPr="00BF055E">
              <w:rPr>
                <w:rFonts w:eastAsia="Times New Roman" w:cs="Times New Roman"/>
                <w:sz w:val="18"/>
                <w:szCs w:val="18"/>
                <w:lang w:eastAsia="lv-LV"/>
              </w:rPr>
              <w:br/>
              <w:t>3.2. Projektu īstenošana</w:t>
            </w:r>
          </w:p>
        </w:tc>
        <w:tc>
          <w:tcPr>
            <w:tcW w:w="850" w:type="dxa"/>
            <w:tcBorders>
              <w:top w:val="nil"/>
              <w:left w:val="nil"/>
              <w:bottom w:val="single" w:sz="4" w:space="0" w:color="auto"/>
              <w:right w:val="single" w:sz="4" w:space="0" w:color="auto"/>
            </w:tcBorders>
            <w:shd w:val="clear" w:color="000000" w:fill="FFFFFF"/>
            <w:hideMark/>
          </w:tcPr>
          <w:p w14:paraId="157805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1.1.2023.g.</w:t>
            </w:r>
            <w:r w:rsidRPr="00BF055E">
              <w:rPr>
                <w:rFonts w:eastAsia="Times New Roman" w:cs="Times New Roman"/>
                <w:sz w:val="18"/>
                <w:szCs w:val="18"/>
                <w:lang w:eastAsia="lv-LV"/>
              </w:rPr>
              <w:br/>
              <w:t>1.2. 2024.-2029.g.</w:t>
            </w:r>
            <w:r w:rsidRPr="00BF055E">
              <w:rPr>
                <w:rFonts w:eastAsia="Times New Roman" w:cs="Times New Roman"/>
                <w:sz w:val="18"/>
                <w:szCs w:val="18"/>
                <w:lang w:eastAsia="lv-LV"/>
              </w:rPr>
              <w:br/>
            </w:r>
            <w:r w:rsidRPr="00BF055E">
              <w:rPr>
                <w:rFonts w:eastAsia="Times New Roman" w:cs="Times New Roman"/>
                <w:sz w:val="18"/>
                <w:szCs w:val="18"/>
                <w:lang w:eastAsia="lv-LV"/>
              </w:rPr>
              <w:br/>
              <w:t>2.1. 2025.g.</w:t>
            </w:r>
            <w:r w:rsidRPr="00BF055E">
              <w:rPr>
                <w:rFonts w:eastAsia="Times New Roman" w:cs="Times New Roman"/>
                <w:sz w:val="18"/>
                <w:szCs w:val="18"/>
                <w:lang w:eastAsia="lv-LV"/>
              </w:rPr>
              <w:br/>
              <w:t>2.2. 2024.-2027.g.</w:t>
            </w:r>
            <w:r w:rsidRPr="00BF055E">
              <w:rPr>
                <w:rFonts w:eastAsia="Times New Roman" w:cs="Times New Roman"/>
                <w:sz w:val="18"/>
                <w:szCs w:val="18"/>
                <w:lang w:eastAsia="lv-LV"/>
              </w:rPr>
              <w:br/>
            </w:r>
            <w:r w:rsidRPr="00BF055E">
              <w:rPr>
                <w:rFonts w:eastAsia="Times New Roman" w:cs="Times New Roman"/>
                <w:sz w:val="18"/>
                <w:szCs w:val="18"/>
                <w:lang w:eastAsia="lv-LV"/>
              </w:rPr>
              <w:br/>
              <w:t>3.1. 2024.g.</w:t>
            </w:r>
            <w:r w:rsidRPr="00BF055E">
              <w:rPr>
                <w:rFonts w:eastAsia="Times New Roman" w:cs="Times New Roman"/>
                <w:sz w:val="18"/>
                <w:szCs w:val="18"/>
                <w:lang w:eastAsia="lv-LV"/>
              </w:rPr>
              <w:br/>
              <w:t>3.2. 2024.-2027.g.</w:t>
            </w:r>
          </w:p>
        </w:tc>
        <w:tc>
          <w:tcPr>
            <w:tcW w:w="3073" w:type="dxa"/>
            <w:tcBorders>
              <w:top w:val="nil"/>
              <w:left w:val="nil"/>
              <w:bottom w:val="single" w:sz="4" w:space="0" w:color="auto"/>
              <w:right w:val="single" w:sz="4" w:space="0" w:color="auto"/>
            </w:tcBorders>
            <w:shd w:val="clear" w:color="auto" w:fill="auto"/>
            <w:hideMark/>
          </w:tcPr>
          <w:p w14:paraId="38899D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Kopējais finansējums ir 295 972 101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skatā ERAF </w:t>
            </w:r>
            <w:proofErr w:type="spellStart"/>
            <w:r w:rsidRPr="00BF055E">
              <w:rPr>
                <w:rFonts w:eastAsia="Times New Roman" w:cs="Times New Roman"/>
                <w:sz w:val="18"/>
                <w:szCs w:val="18"/>
                <w:lang w:eastAsia="lv-LV"/>
              </w:rPr>
              <w:t>finasējums</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251 576 283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nacionālais publiskais finansējums ir 44 395 818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127145F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000000" w:fill="FFFFFF"/>
            <w:hideMark/>
          </w:tcPr>
          <w:p w14:paraId="1E94EC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5236E6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1F3A70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1FFAB95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70A411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74A9BF07"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04ABE0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 4.1.1.2.i. Atbalsts universitātes un </w:t>
            </w:r>
            <w:r w:rsidRPr="00BF055E">
              <w:rPr>
                <w:rFonts w:eastAsia="Times New Roman" w:cs="Times New Roman"/>
                <w:sz w:val="18"/>
                <w:szCs w:val="18"/>
                <w:lang w:eastAsia="lv-LV"/>
              </w:rPr>
              <w:lastRenderedPageBreak/>
              <w:t>reģionālo slimnīcu veselības aprūpes infrastruktūras stiprināšanai, lai nodrošinātu visaptverošu ilgtspējīgu integrētu veselības pakalpojumu, mazinātu infekciju slimību izplatību, epidemioloģisko prasību nodrošināšanā</w:t>
            </w:r>
          </w:p>
        </w:tc>
        <w:tc>
          <w:tcPr>
            <w:tcW w:w="1134" w:type="dxa"/>
            <w:vMerge/>
            <w:tcBorders>
              <w:top w:val="nil"/>
              <w:left w:val="single" w:sz="4" w:space="0" w:color="auto"/>
              <w:bottom w:val="single" w:sz="4" w:space="0" w:color="auto"/>
              <w:right w:val="single" w:sz="4" w:space="0" w:color="auto"/>
            </w:tcBorders>
            <w:vAlign w:val="center"/>
            <w:hideMark/>
          </w:tcPr>
          <w:p w14:paraId="50C07E43"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03B8BB1E" w14:textId="719C9CA8"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Veikt medicīnas tehnoloģiju saskaņošanu 10 projektos, kas atbalsta universitāšu un reģionālo </w:t>
            </w:r>
            <w:r w:rsidRPr="00BF055E">
              <w:rPr>
                <w:rFonts w:eastAsia="Times New Roman" w:cs="Times New Roman"/>
                <w:sz w:val="18"/>
                <w:szCs w:val="18"/>
                <w:lang w:eastAsia="lv-LV"/>
              </w:rPr>
              <w:lastRenderedPageBreak/>
              <w:t xml:space="preserve">slimnīcu veselības aprūpes infrastruktūru. </w:t>
            </w:r>
            <w:r w:rsidRPr="00BF055E">
              <w:rPr>
                <w:rFonts w:eastAsia="Times New Roman" w:cs="Times New Roman"/>
                <w:sz w:val="18"/>
                <w:szCs w:val="18"/>
                <w:lang w:eastAsia="lv-LV"/>
              </w:rPr>
              <w:br/>
              <w:t>2. Nodrošināt ANM projektu īstenošanu 10 slimnīcās (3 universitāšu un 7 reģionālajās slimnīcās), lai stiprinātu veselības aprūpes infrastruktūru, nodrošinātu visaptverošus ilgtspējīgus integrētus veselības pakalpojumus, mazinātu infekciju slimību izplatību, epidemioloģisko prasību nodrošināšanā</w:t>
            </w:r>
          </w:p>
        </w:tc>
        <w:tc>
          <w:tcPr>
            <w:tcW w:w="850" w:type="dxa"/>
            <w:tcBorders>
              <w:top w:val="nil"/>
              <w:left w:val="nil"/>
              <w:bottom w:val="single" w:sz="4" w:space="0" w:color="auto"/>
              <w:right w:val="single" w:sz="4" w:space="0" w:color="auto"/>
            </w:tcBorders>
            <w:shd w:val="clear" w:color="000000" w:fill="FFFFFF"/>
            <w:hideMark/>
          </w:tcPr>
          <w:p w14:paraId="60EF1B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2022. - 2026.g.</w:t>
            </w:r>
          </w:p>
        </w:tc>
        <w:tc>
          <w:tcPr>
            <w:tcW w:w="3073" w:type="dxa"/>
            <w:tcBorders>
              <w:top w:val="nil"/>
              <w:left w:val="nil"/>
              <w:bottom w:val="single" w:sz="4" w:space="0" w:color="auto"/>
              <w:right w:val="single" w:sz="4" w:space="0" w:color="auto"/>
            </w:tcBorders>
            <w:shd w:val="clear" w:color="auto" w:fill="auto"/>
            <w:hideMark/>
          </w:tcPr>
          <w:p w14:paraId="4FF19C48" w14:textId="47F086EF"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180 894 999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finansējums 149 500 000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 ne vairāk kā 28 895 698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03054C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 / CFLA / Slimnīcas</w:t>
            </w:r>
          </w:p>
        </w:tc>
        <w:tc>
          <w:tcPr>
            <w:tcW w:w="807" w:type="dxa"/>
            <w:tcBorders>
              <w:top w:val="nil"/>
              <w:left w:val="nil"/>
              <w:bottom w:val="single" w:sz="4" w:space="0" w:color="auto"/>
              <w:right w:val="single" w:sz="4" w:space="0" w:color="auto"/>
            </w:tcBorders>
            <w:shd w:val="clear" w:color="000000" w:fill="FFFFFF"/>
            <w:hideMark/>
          </w:tcPr>
          <w:p w14:paraId="7D4DE1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2FD65A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2019(2); 2020(1); 2022(1); </w:t>
            </w:r>
            <w:r w:rsidRPr="00BF055E">
              <w:rPr>
                <w:rFonts w:eastAsia="Times New Roman" w:cs="Times New Roman"/>
                <w:sz w:val="18"/>
                <w:szCs w:val="18"/>
                <w:lang w:eastAsia="lv-LV"/>
              </w:rPr>
              <w:lastRenderedPageBreak/>
              <w:t>2023(1); 2024(1)</w:t>
            </w:r>
          </w:p>
        </w:tc>
        <w:tc>
          <w:tcPr>
            <w:tcW w:w="1256" w:type="dxa"/>
            <w:tcBorders>
              <w:top w:val="nil"/>
              <w:left w:val="nil"/>
              <w:bottom w:val="single" w:sz="4" w:space="0" w:color="auto"/>
              <w:right w:val="single" w:sz="4" w:space="0" w:color="auto"/>
            </w:tcBorders>
            <w:shd w:val="clear" w:color="000000" w:fill="FFFFFF"/>
            <w:hideMark/>
          </w:tcPr>
          <w:p w14:paraId="4D58C0B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2. Sociālā un ekonomikas noturība, t.sk. Eiropas </w:t>
            </w:r>
            <w:r w:rsidRPr="00BF055E">
              <w:rPr>
                <w:rFonts w:eastAsia="Times New Roman" w:cs="Times New Roman"/>
                <w:sz w:val="18"/>
                <w:szCs w:val="18"/>
                <w:lang w:eastAsia="lv-LV"/>
              </w:rPr>
              <w:lastRenderedPageBreak/>
              <w:t>Sociālo tiesību pīlārs</w:t>
            </w:r>
          </w:p>
        </w:tc>
        <w:tc>
          <w:tcPr>
            <w:tcW w:w="1056" w:type="dxa"/>
            <w:tcBorders>
              <w:top w:val="nil"/>
              <w:left w:val="nil"/>
              <w:bottom w:val="single" w:sz="4" w:space="0" w:color="auto"/>
              <w:right w:val="single" w:sz="4" w:space="0" w:color="auto"/>
            </w:tcBorders>
            <w:shd w:val="clear" w:color="auto" w:fill="auto"/>
            <w:hideMark/>
          </w:tcPr>
          <w:p w14:paraId="60E655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7F7CDF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2BCE1040"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2F1272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 4.1.1.3.i. Atbalsts sekundāro ambulatoro pakalpojumu sniedzēju veselības aprūpes infrastruktūras stiprināšanai, lai nodrošinātu visaptverošu ilgtspējīgu integrētu veselības pakalpojumu, mazinātu infekciju </w:t>
            </w:r>
            <w:r w:rsidRPr="00BF055E">
              <w:rPr>
                <w:rFonts w:eastAsia="Times New Roman" w:cs="Times New Roman"/>
                <w:sz w:val="18"/>
                <w:szCs w:val="18"/>
                <w:lang w:eastAsia="lv-LV"/>
              </w:rPr>
              <w:lastRenderedPageBreak/>
              <w:t>slimību izplatību, epidemioloģisko prasību nodrošināšanā</w:t>
            </w:r>
          </w:p>
        </w:tc>
        <w:tc>
          <w:tcPr>
            <w:tcW w:w="1134" w:type="dxa"/>
            <w:vMerge/>
            <w:tcBorders>
              <w:top w:val="nil"/>
              <w:left w:val="single" w:sz="4" w:space="0" w:color="auto"/>
              <w:bottom w:val="single" w:sz="4" w:space="0" w:color="auto"/>
              <w:right w:val="single" w:sz="4" w:space="0" w:color="auto"/>
            </w:tcBorders>
            <w:vAlign w:val="center"/>
            <w:hideMark/>
          </w:tcPr>
          <w:p w14:paraId="71C8BEF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3D52B85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Nodrošināt ANM projektu īstenošanu vismaz 40 valsts apmaksāto sekundāro ambulatoro veselības aprūpes pakalpojumu sniedzēju ārstniecības iestādēs, lai stiprinātu sekundāro ambulatoro pakalpojumu sniedzēju veselības aprūpes pakalpojumu sniegšanas infrastruktūru.</w:t>
            </w:r>
          </w:p>
        </w:tc>
        <w:tc>
          <w:tcPr>
            <w:tcW w:w="850" w:type="dxa"/>
            <w:tcBorders>
              <w:top w:val="nil"/>
              <w:left w:val="nil"/>
              <w:bottom w:val="single" w:sz="4" w:space="0" w:color="auto"/>
              <w:right w:val="single" w:sz="4" w:space="0" w:color="auto"/>
            </w:tcBorders>
            <w:shd w:val="clear" w:color="000000" w:fill="FFFFFF"/>
            <w:hideMark/>
          </w:tcPr>
          <w:p w14:paraId="297694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 - 2026.g.</w:t>
            </w:r>
          </w:p>
        </w:tc>
        <w:tc>
          <w:tcPr>
            <w:tcW w:w="3073" w:type="dxa"/>
            <w:tcBorders>
              <w:top w:val="nil"/>
              <w:left w:val="nil"/>
              <w:bottom w:val="single" w:sz="4" w:space="0" w:color="auto"/>
              <w:right w:val="single" w:sz="4" w:space="0" w:color="auto"/>
            </w:tcBorders>
            <w:shd w:val="clear" w:color="auto" w:fill="auto"/>
            <w:hideMark/>
          </w:tcPr>
          <w:p w14:paraId="452B1956" w14:textId="1F78B5C3"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10 285 000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finansējums 8 500 000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 ne vairāk kā 109 844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2177CC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VM / CFLA / Sekundāro ambulatoro veselības aprūpes pakalpojumu sniedzēju ārstniecības iestādēs. </w:t>
            </w:r>
          </w:p>
        </w:tc>
        <w:tc>
          <w:tcPr>
            <w:tcW w:w="807" w:type="dxa"/>
            <w:tcBorders>
              <w:top w:val="nil"/>
              <w:left w:val="nil"/>
              <w:bottom w:val="single" w:sz="4" w:space="0" w:color="auto"/>
              <w:right w:val="single" w:sz="4" w:space="0" w:color="auto"/>
            </w:tcBorders>
            <w:shd w:val="clear" w:color="000000" w:fill="FFFFFF"/>
            <w:hideMark/>
          </w:tcPr>
          <w:p w14:paraId="0BE30B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2038BC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3BB34E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68CBA6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67AE7B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0488A5F4"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1B5234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Zāļu finansiālās pieejamības uzlabošana </w:t>
            </w:r>
          </w:p>
        </w:tc>
        <w:tc>
          <w:tcPr>
            <w:tcW w:w="1134" w:type="dxa"/>
            <w:tcBorders>
              <w:top w:val="nil"/>
              <w:left w:val="nil"/>
              <w:bottom w:val="single" w:sz="4" w:space="0" w:color="auto"/>
              <w:right w:val="single" w:sz="4" w:space="0" w:color="auto"/>
            </w:tcBorders>
            <w:shd w:val="clear" w:color="000000" w:fill="FFFFFF"/>
            <w:hideMark/>
          </w:tcPr>
          <w:p w14:paraId="3BA697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Uzlabot zāļu pieejamību </w:t>
            </w:r>
          </w:p>
        </w:tc>
        <w:tc>
          <w:tcPr>
            <w:tcW w:w="2268" w:type="dxa"/>
            <w:tcBorders>
              <w:top w:val="nil"/>
              <w:left w:val="nil"/>
              <w:bottom w:val="single" w:sz="4" w:space="0" w:color="auto"/>
              <w:right w:val="single" w:sz="4" w:space="0" w:color="auto"/>
            </w:tcBorders>
            <w:shd w:val="clear" w:color="auto" w:fill="auto"/>
            <w:hideMark/>
          </w:tcPr>
          <w:p w14:paraId="010B13DA"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Pārskatīti kompensējamo zāļu sarakstā iekļauto zāļu kompensācijas nosacījumi, papildināts kompensējamo zāļu saraksts ar jaunām izmaksu efektīvām zālēm.</w:t>
            </w:r>
            <w:r w:rsidRPr="00BF055E">
              <w:rPr>
                <w:rFonts w:eastAsia="Times New Roman" w:cs="Times New Roman"/>
                <w:sz w:val="18"/>
                <w:szCs w:val="18"/>
                <w:lang w:eastAsia="lv-LV"/>
              </w:rPr>
              <w:br/>
              <w:t>2. Pilnveidota kompensējamo zāļu izrakstīšanas kārtība, uzlabojot pieejamību un mazinot birokrātiju kompensējamo zāļu saņemšanā.</w:t>
            </w:r>
            <w:r w:rsidRPr="00BF055E">
              <w:rPr>
                <w:rFonts w:eastAsia="Times New Roman" w:cs="Times New Roman"/>
                <w:sz w:val="18"/>
                <w:szCs w:val="18"/>
                <w:lang w:eastAsia="lv-LV"/>
              </w:rPr>
              <w:br/>
              <w:t>3. Veikts izvērtējums par iespēju noteikt maksimāli pieļaujamo kopējo pacientam veikto līdzmaksājumu apmēru par recepšu zālēm.</w:t>
            </w:r>
            <w:r w:rsidRPr="00BF055E">
              <w:rPr>
                <w:rFonts w:eastAsia="Times New Roman" w:cs="Times New Roman"/>
                <w:sz w:val="18"/>
                <w:szCs w:val="18"/>
                <w:lang w:eastAsia="lv-LV"/>
              </w:rPr>
              <w:br/>
              <w:t>4. Noteikts, ka kompensējamo zāļu aptiekas cenas nepārsniedz cenas Igaunijā un Lietuvā.</w:t>
            </w:r>
          </w:p>
        </w:tc>
        <w:tc>
          <w:tcPr>
            <w:tcW w:w="850" w:type="dxa"/>
            <w:tcBorders>
              <w:top w:val="nil"/>
              <w:left w:val="nil"/>
              <w:bottom w:val="single" w:sz="4" w:space="0" w:color="auto"/>
              <w:right w:val="single" w:sz="4" w:space="0" w:color="auto"/>
            </w:tcBorders>
            <w:shd w:val="clear" w:color="000000" w:fill="FFFFFF"/>
            <w:hideMark/>
          </w:tcPr>
          <w:p w14:paraId="210545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Pastāvīgi</w:t>
            </w:r>
            <w:r w:rsidRPr="00BF055E">
              <w:rPr>
                <w:rFonts w:eastAsia="Times New Roman" w:cs="Times New Roman"/>
                <w:sz w:val="18"/>
                <w:szCs w:val="18"/>
                <w:lang w:eastAsia="lv-LV"/>
              </w:rPr>
              <w:br/>
              <w:t>2., 3., 4. 2024.g.</w:t>
            </w:r>
          </w:p>
        </w:tc>
        <w:tc>
          <w:tcPr>
            <w:tcW w:w="3073" w:type="dxa"/>
            <w:tcBorders>
              <w:top w:val="nil"/>
              <w:left w:val="nil"/>
              <w:bottom w:val="single" w:sz="4" w:space="0" w:color="auto"/>
              <w:right w:val="single" w:sz="4" w:space="0" w:color="auto"/>
            </w:tcBorders>
            <w:shd w:val="clear" w:color="auto" w:fill="auto"/>
            <w:hideMark/>
          </w:tcPr>
          <w:p w14:paraId="625A28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2., 3., 4. Papildus piešķirtais finansējums 2024. gadā atbilstoši likumam “Par valsts budžetu 2024.gadam un budžeta ietvaru 2024., 2025. un 2026.gadam” un ņemot vērā 2024. gada 14. maija MK rīkojumu Nr. 371 (prot. Nr.20 30.§) un 2024. gada 26. marta MK rīkojumu Nr.234 (prot. Nr.13 53.§.), (prot. Nr. 61 50. §) - 32 328 106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(2025. gadā 34 305 238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2026. gadā 36 318 152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37D5EF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auto" w:fill="auto"/>
            <w:hideMark/>
          </w:tcPr>
          <w:p w14:paraId="256474F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6" w:type="dxa"/>
            <w:tcBorders>
              <w:top w:val="nil"/>
              <w:left w:val="nil"/>
              <w:bottom w:val="single" w:sz="4" w:space="0" w:color="auto"/>
              <w:right w:val="single" w:sz="4" w:space="0" w:color="auto"/>
            </w:tcBorders>
            <w:shd w:val="clear" w:color="auto" w:fill="auto"/>
            <w:hideMark/>
          </w:tcPr>
          <w:p w14:paraId="19E7AF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684E1C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17B8E1E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2ABF36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2D62ABAC"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09533B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Primārās veselības aprūpes stiprināšana </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591826D6" w14:textId="77777777" w:rsidR="00BF055E" w:rsidRPr="00BF055E" w:rsidRDefault="00BF055E" w:rsidP="006357B3">
            <w:pPr>
              <w:spacing w:after="0" w:line="240" w:lineRule="auto"/>
              <w:ind w:firstLine="0"/>
              <w:jc w:val="center"/>
              <w:rPr>
                <w:rFonts w:eastAsia="Times New Roman" w:cs="Times New Roman"/>
                <w:sz w:val="18"/>
                <w:szCs w:val="18"/>
                <w:lang w:eastAsia="lv-LV"/>
              </w:rPr>
            </w:pPr>
            <w:r w:rsidRPr="00BF055E">
              <w:rPr>
                <w:rFonts w:eastAsia="Times New Roman" w:cs="Times New Roman"/>
                <w:sz w:val="18"/>
                <w:szCs w:val="18"/>
                <w:lang w:eastAsia="lv-LV"/>
              </w:rPr>
              <w:t xml:space="preserve">Uzlabot veselības aprūpes kvalitāti un  veselības aprūpes sistēmas </w:t>
            </w:r>
            <w:r w:rsidRPr="00BF055E">
              <w:rPr>
                <w:rFonts w:eastAsia="Times New Roman" w:cs="Times New Roman"/>
                <w:sz w:val="18"/>
                <w:szCs w:val="18"/>
                <w:lang w:eastAsia="lv-LV"/>
              </w:rPr>
              <w:lastRenderedPageBreak/>
              <w:t>izmaksu efektivitāti</w:t>
            </w:r>
          </w:p>
        </w:tc>
        <w:tc>
          <w:tcPr>
            <w:tcW w:w="2268" w:type="dxa"/>
            <w:tcBorders>
              <w:top w:val="nil"/>
              <w:left w:val="nil"/>
              <w:bottom w:val="single" w:sz="4" w:space="0" w:color="auto"/>
              <w:right w:val="single" w:sz="4" w:space="0" w:color="auto"/>
            </w:tcBorders>
            <w:shd w:val="clear" w:color="auto" w:fill="auto"/>
            <w:hideMark/>
          </w:tcPr>
          <w:p w14:paraId="0E96BC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Informatīvajā ziņojumā "Par primārās veselības aprūpes stiprināšanu" (24-TA-922), kas pieņemts MK 23.05.2024., iekļauto pasākumu ieviešana. </w:t>
            </w:r>
          </w:p>
        </w:tc>
        <w:tc>
          <w:tcPr>
            <w:tcW w:w="850" w:type="dxa"/>
            <w:tcBorders>
              <w:top w:val="nil"/>
              <w:left w:val="nil"/>
              <w:bottom w:val="single" w:sz="4" w:space="0" w:color="auto"/>
              <w:right w:val="single" w:sz="4" w:space="0" w:color="auto"/>
            </w:tcBorders>
            <w:shd w:val="clear" w:color="000000" w:fill="FFFFFF"/>
            <w:hideMark/>
          </w:tcPr>
          <w:p w14:paraId="47C4B6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2024.-2027.g</w:t>
            </w:r>
          </w:p>
        </w:tc>
        <w:tc>
          <w:tcPr>
            <w:tcW w:w="3073" w:type="dxa"/>
            <w:tcBorders>
              <w:top w:val="nil"/>
              <w:left w:val="nil"/>
              <w:bottom w:val="single" w:sz="4" w:space="0" w:color="auto"/>
              <w:right w:val="single" w:sz="4" w:space="0" w:color="auto"/>
            </w:tcBorders>
            <w:shd w:val="clear" w:color="auto" w:fill="auto"/>
            <w:hideMark/>
          </w:tcPr>
          <w:p w14:paraId="608791D1" w14:textId="2032BD4A"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Papildus piešķirtais finansējums 2024. gadā atbilstoši likumam “Par valsts budžetu 2024.gadam un budžeta ietvaru 2024., 2025. un 2026.gadam” un ņemot vērā 2024. gada 22. maija MK rīkojumu Nr. 398 (prot. Nr. 21 40. §)- 4 057 079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(2025. gadā 7 137 530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2026. gadā 6 870 846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4BF1DB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auto" w:fill="auto"/>
            <w:hideMark/>
          </w:tcPr>
          <w:p w14:paraId="186BE4F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6" w:type="dxa"/>
            <w:tcBorders>
              <w:top w:val="nil"/>
              <w:left w:val="nil"/>
              <w:bottom w:val="single" w:sz="4" w:space="0" w:color="auto"/>
              <w:right w:val="single" w:sz="4" w:space="0" w:color="auto"/>
            </w:tcBorders>
            <w:shd w:val="clear" w:color="auto" w:fill="auto"/>
            <w:hideMark/>
          </w:tcPr>
          <w:p w14:paraId="7E3CDB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7FBCFD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10565F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5CAB297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542595FB"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3D60BF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Slimnīcu tīkla attīstīšana</w:t>
            </w:r>
          </w:p>
        </w:tc>
        <w:tc>
          <w:tcPr>
            <w:tcW w:w="1134" w:type="dxa"/>
            <w:vMerge/>
            <w:tcBorders>
              <w:top w:val="nil"/>
              <w:left w:val="single" w:sz="4" w:space="0" w:color="auto"/>
              <w:bottom w:val="single" w:sz="4" w:space="0" w:color="auto"/>
              <w:right w:val="single" w:sz="4" w:space="0" w:color="auto"/>
            </w:tcBorders>
            <w:vAlign w:val="center"/>
            <w:hideMark/>
          </w:tcPr>
          <w:p w14:paraId="439E649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2E84DF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Informatīvajā ziņojumā "Par slimnīcu tīkla attīstību" (24-TA-481), kas pieņemts MK 30.04.2024., iekļauto pasākumu ieviešana. </w:t>
            </w:r>
          </w:p>
        </w:tc>
        <w:tc>
          <w:tcPr>
            <w:tcW w:w="850" w:type="dxa"/>
            <w:tcBorders>
              <w:top w:val="nil"/>
              <w:left w:val="nil"/>
              <w:bottom w:val="single" w:sz="4" w:space="0" w:color="auto"/>
              <w:right w:val="single" w:sz="4" w:space="0" w:color="auto"/>
            </w:tcBorders>
            <w:shd w:val="clear" w:color="000000" w:fill="FFFFFF"/>
            <w:hideMark/>
          </w:tcPr>
          <w:p w14:paraId="3A8B70A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līdz 2026.gadam</w:t>
            </w:r>
          </w:p>
        </w:tc>
        <w:tc>
          <w:tcPr>
            <w:tcW w:w="3073" w:type="dxa"/>
            <w:tcBorders>
              <w:top w:val="nil"/>
              <w:left w:val="nil"/>
              <w:bottom w:val="single" w:sz="4" w:space="0" w:color="auto"/>
              <w:right w:val="single" w:sz="4" w:space="0" w:color="auto"/>
            </w:tcBorders>
            <w:shd w:val="clear" w:color="auto" w:fill="auto"/>
            <w:hideMark/>
          </w:tcPr>
          <w:p w14:paraId="126C953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Papildus piešķirtais finansējums 2024. gadā atbilstoši likumam “Par valsts budžetu 2024.gadam un budžeta ietvaru 2024., 2025. un 2026.gadam” un ņemot vērā 2024. gada 30. aprīļa MK rīkojumu Nr. 339 (prot. Nr. 18 50. §) - 25 664 560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(2025. gadam un turpmāk ik gadu 29 393 707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6AA48E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VM</w:t>
            </w:r>
          </w:p>
        </w:tc>
        <w:tc>
          <w:tcPr>
            <w:tcW w:w="807" w:type="dxa"/>
            <w:tcBorders>
              <w:top w:val="nil"/>
              <w:left w:val="nil"/>
              <w:bottom w:val="single" w:sz="4" w:space="0" w:color="auto"/>
              <w:right w:val="single" w:sz="4" w:space="0" w:color="auto"/>
            </w:tcBorders>
            <w:shd w:val="clear" w:color="000000" w:fill="FFFFFF"/>
            <w:hideMark/>
          </w:tcPr>
          <w:p w14:paraId="4601A7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6" w:type="dxa"/>
            <w:tcBorders>
              <w:top w:val="nil"/>
              <w:left w:val="nil"/>
              <w:bottom w:val="single" w:sz="4" w:space="0" w:color="auto"/>
              <w:right w:val="single" w:sz="4" w:space="0" w:color="auto"/>
            </w:tcBorders>
            <w:shd w:val="clear" w:color="auto" w:fill="auto"/>
            <w:hideMark/>
          </w:tcPr>
          <w:p w14:paraId="4889D6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6AE5EB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117DA1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1B9C3E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61C934EA"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40F7A04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Ierobežot infekcijas slimību izplatību</w:t>
            </w:r>
          </w:p>
        </w:tc>
        <w:tc>
          <w:tcPr>
            <w:tcW w:w="1134" w:type="dxa"/>
            <w:vMerge/>
            <w:tcBorders>
              <w:top w:val="nil"/>
              <w:left w:val="single" w:sz="4" w:space="0" w:color="auto"/>
              <w:bottom w:val="single" w:sz="4" w:space="0" w:color="auto"/>
              <w:right w:val="single" w:sz="4" w:space="0" w:color="auto"/>
            </w:tcBorders>
            <w:vAlign w:val="center"/>
            <w:hideMark/>
          </w:tcPr>
          <w:p w14:paraId="76CC219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1032D7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Plāna "HIV infekcijas, seksuālās transmisijas infekciju, tuberkulozes, B un C hepatīta izplatības ierobežošanas rīcības plāns 2023.–2027. gadam" ieviešana</w:t>
            </w:r>
            <w:r w:rsidRPr="00BF055E">
              <w:rPr>
                <w:rFonts w:eastAsia="Times New Roman" w:cs="Times New Roman"/>
                <w:sz w:val="18"/>
                <w:szCs w:val="18"/>
                <w:lang w:eastAsia="lv-LV"/>
              </w:rPr>
              <w:br/>
              <w:t>2. Plāna "</w:t>
            </w:r>
            <w:proofErr w:type="spellStart"/>
            <w:r w:rsidRPr="00BF055E">
              <w:rPr>
                <w:rFonts w:eastAsia="Times New Roman" w:cs="Times New Roman"/>
                <w:sz w:val="18"/>
                <w:szCs w:val="18"/>
                <w:lang w:eastAsia="lv-LV"/>
              </w:rPr>
              <w:t>Antimikrobiālās</w:t>
            </w:r>
            <w:proofErr w:type="spellEnd"/>
            <w:r w:rsidRPr="00BF055E">
              <w:rPr>
                <w:rFonts w:eastAsia="Times New Roman" w:cs="Times New Roman"/>
                <w:sz w:val="18"/>
                <w:szCs w:val="18"/>
                <w:lang w:eastAsia="lv-LV"/>
              </w:rPr>
              <w:t xml:space="preserve"> rezistences ierobežošanas un piesardzīgas antibiotiku lietošanas plāns "Viena veselība" 2023.–2027. gadam" ieviešana</w:t>
            </w:r>
          </w:p>
        </w:tc>
        <w:tc>
          <w:tcPr>
            <w:tcW w:w="850" w:type="dxa"/>
            <w:tcBorders>
              <w:top w:val="nil"/>
              <w:left w:val="nil"/>
              <w:bottom w:val="single" w:sz="4" w:space="0" w:color="auto"/>
              <w:right w:val="single" w:sz="4" w:space="0" w:color="auto"/>
            </w:tcBorders>
            <w:shd w:val="clear" w:color="000000" w:fill="FFFFFF"/>
            <w:hideMark/>
          </w:tcPr>
          <w:p w14:paraId="09845A1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līdz 2027.gadam</w:t>
            </w:r>
          </w:p>
        </w:tc>
        <w:tc>
          <w:tcPr>
            <w:tcW w:w="3073" w:type="dxa"/>
            <w:tcBorders>
              <w:top w:val="nil"/>
              <w:left w:val="nil"/>
              <w:bottom w:val="single" w:sz="4" w:space="0" w:color="auto"/>
              <w:right w:val="single" w:sz="4" w:space="0" w:color="auto"/>
            </w:tcBorders>
            <w:shd w:val="clear" w:color="auto" w:fill="auto"/>
            <w:hideMark/>
          </w:tcPr>
          <w:p w14:paraId="358140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 Papildus piešķirtais finansējums 2024. gadā atbilstoši likumam “Par valsts budžetu 2024.gadam un budžeta ietvaru 2024., 2025. un 2026.gadam” un ņemot vērā 2023. gada 12. decembra MK rīkojumu Nr. 883, (prot. Nr. 61 50. §) - 131 831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000000" w:fill="FFFFFF"/>
            <w:hideMark/>
          </w:tcPr>
          <w:p w14:paraId="3A83442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000000" w:fill="FFFFFF"/>
            <w:hideMark/>
          </w:tcPr>
          <w:p w14:paraId="58DAA20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36" w:type="dxa"/>
            <w:tcBorders>
              <w:top w:val="nil"/>
              <w:left w:val="nil"/>
              <w:bottom w:val="single" w:sz="4" w:space="0" w:color="auto"/>
              <w:right w:val="single" w:sz="4" w:space="0" w:color="auto"/>
            </w:tcBorders>
            <w:shd w:val="clear" w:color="auto" w:fill="auto"/>
            <w:hideMark/>
          </w:tcPr>
          <w:p w14:paraId="5686A4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066D70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2F8FBC0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382E42E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7B9530FC"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7EFFDA28"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 kohēzijas politikas programmas 2021.–2027. gadam 4.1.2.7. pasākuma "Pilnveidot pacientu drošību un aprūpes kvalitāti" īstenošana</w:t>
            </w:r>
          </w:p>
        </w:tc>
        <w:tc>
          <w:tcPr>
            <w:tcW w:w="1134" w:type="dxa"/>
            <w:vMerge/>
            <w:tcBorders>
              <w:top w:val="nil"/>
              <w:left w:val="single" w:sz="4" w:space="0" w:color="auto"/>
              <w:bottom w:val="single" w:sz="4" w:space="0" w:color="auto"/>
              <w:right w:val="single" w:sz="4" w:space="0" w:color="auto"/>
            </w:tcBorders>
            <w:vAlign w:val="center"/>
            <w:hideMark/>
          </w:tcPr>
          <w:p w14:paraId="386138FA"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04D39FD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1. Tiesiskā regulējuma pieņemšana.</w:t>
            </w:r>
            <w:r w:rsidRPr="00BF055E">
              <w:rPr>
                <w:rFonts w:eastAsia="Times New Roman" w:cs="Times New Roman"/>
                <w:strike/>
                <w:sz w:val="18"/>
                <w:szCs w:val="18"/>
                <w:lang w:eastAsia="lv-LV"/>
              </w:rPr>
              <w:br/>
            </w:r>
            <w:r w:rsidRPr="00BF055E">
              <w:rPr>
                <w:rFonts w:eastAsia="Times New Roman" w:cs="Times New Roman"/>
                <w:sz w:val="18"/>
                <w:szCs w:val="18"/>
                <w:lang w:eastAsia="lv-LV"/>
              </w:rPr>
              <w:t xml:space="preserve">2. Projekta izstrāde un ieviešana </w:t>
            </w:r>
          </w:p>
        </w:tc>
        <w:tc>
          <w:tcPr>
            <w:tcW w:w="850" w:type="dxa"/>
            <w:tcBorders>
              <w:top w:val="nil"/>
              <w:left w:val="nil"/>
              <w:bottom w:val="single" w:sz="4" w:space="0" w:color="auto"/>
              <w:right w:val="single" w:sz="4" w:space="0" w:color="auto"/>
            </w:tcBorders>
            <w:shd w:val="clear" w:color="000000" w:fill="FFFFFF"/>
            <w:hideMark/>
          </w:tcPr>
          <w:p w14:paraId="45A6FC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2023.g.</w:t>
            </w:r>
            <w:r w:rsidRPr="00BF055E">
              <w:rPr>
                <w:rFonts w:eastAsia="Times New Roman" w:cs="Times New Roman"/>
                <w:sz w:val="18"/>
                <w:szCs w:val="18"/>
                <w:lang w:eastAsia="lv-LV"/>
              </w:rPr>
              <w:br/>
              <w:t>2. no 2024. - 2029.g.</w:t>
            </w:r>
          </w:p>
        </w:tc>
        <w:tc>
          <w:tcPr>
            <w:tcW w:w="3073" w:type="dxa"/>
            <w:tcBorders>
              <w:top w:val="nil"/>
              <w:left w:val="nil"/>
              <w:bottom w:val="single" w:sz="4" w:space="0" w:color="auto"/>
              <w:right w:val="single" w:sz="4" w:space="0" w:color="auto"/>
            </w:tcBorders>
            <w:shd w:val="clear" w:color="auto" w:fill="auto"/>
            <w:hideMark/>
          </w:tcPr>
          <w:p w14:paraId="322AEF78" w14:textId="5594827E"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Kopējais </w:t>
            </w:r>
            <w:proofErr w:type="spellStart"/>
            <w:r w:rsidRPr="00BF055E">
              <w:rPr>
                <w:rFonts w:eastAsia="Times New Roman" w:cs="Times New Roman"/>
                <w:sz w:val="18"/>
                <w:szCs w:val="18"/>
                <w:lang w:eastAsia="lv-LV"/>
              </w:rPr>
              <w:t>finasējumas</w:t>
            </w:r>
            <w:proofErr w:type="spellEnd"/>
            <w:r w:rsidRPr="00BF055E">
              <w:rPr>
                <w:rFonts w:eastAsia="Times New Roman" w:cs="Times New Roman"/>
                <w:sz w:val="18"/>
                <w:szCs w:val="18"/>
                <w:lang w:eastAsia="lv-LV"/>
              </w:rPr>
              <w:t xml:space="preserve"> ir 3 045 000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skatā ESF+ finansējums 2 588 250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nacionālais publiskais </w:t>
            </w:r>
            <w:proofErr w:type="spellStart"/>
            <w:r w:rsidRPr="00BF055E">
              <w:rPr>
                <w:rFonts w:eastAsia="Times New Roman" w:cs="Times New Roman"/>
                <w:sz w:val="18"/>
                <w:szCs w:val="18"/>
                <w:lang w:eastAsia="lv-LV"/>
              </w:rPr>
              <w:t>finasējums</w:t>
            </w:r>
            <w:proofErr w:type="spellEnd"/>
            <w:r w:rsidRPr="00BF055E">
              <w:rPr>
                <w:rFonts w:eastAsia="Times New Roman" w:cs="Times New Roman"/>
                <w:sz w:val="18"/>
                <w:szCs w:val="18"/>
                <w:lang w:eastAsia="lv-LV"/>
              </w:rPr>
              <w:t xml:space="preserve"> ir 456 750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343196F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auto" w:fill="auto"/>
            <w:hideMark/>
          </w:tcPr>
          <w:p w14:paraId="6D79BA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71E65E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2DC43E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5C9F75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6C68626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53081B38"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25852C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Attīstīt veselības nozares </w:t>
            </w:r>
            <w:proofErr w:type="spellStart"/>
            <w:r w:rsidRPr="00BF055E">
              <w:rPr>
                <w:rFonts w:eastAsia="Times New Roman" w:cs="Times New Roman"/>
                <w:sz w:val="18"/>
                <w:szCs w:val="18"/>
                <w:lang w:eastAsia="lv-LV"/>
              </w:rPr>
              <w:t>digitalizāciju</w:t>
            </w:r>
            <w:proofErr w:type="spellEnd"/>
            <w:r w:rsidRPr="00BF055E">
              <w:rPr>
                <w:rFonts w:eastAsia="Times New Roman" w:cs="Times New Roman"/>
                <w:sz w:val="18"/>
                <w:szCs w:val="18"/>
                <w:lang w:eastAsia="lv-LV"/>
              </w:rPr>
              <w:t xml:space="preserve"> un nodrošināt </w:t>
            </w:r>
            <w:r w:rsidRPr="00BF055E">
              <w:rPr>
                <w:rFonts w:eastAsia="Times New Roman" w:cs="Times New Roman"/>
                <w:sz w:val="18"/>
                <w:szCs w:val="18"/>
                <w:lang w:eastAsia="lv-LV"/>
              </w:rPr>
              <w:lastRenderedPageBreak/>
              <w:t>efektīvu datos un tehnoloģijās balstītu veselības aprūpes pārvaldību</w:t>
            </w:r>
          </w:p>
        </w:tc>
        <w:tc>
          <w:tcPr>
            <w:tcW w:w="1134" w:type="dxa"/>
            <w:vMerge/>
            <w:tcBorders>
              <w:top w:val="nil"/>
              <w:left w:val="single" w:sz="4" w:space="0" w:color="auto"/>
              <w:bottom w:val="single" w:sz="4" w:space="0" w:color="auto"/>
              <w:right w:val="single" w:sz="4" w:space="0" w:color="auto"/>
            </w:tcBorders>
            <w:vAlign w:val="center"/>
            <w:hideMark/>
          </w:tcPr>
          <w:p w14:paraId="0110EAA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0106EC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Izveidots digitālās veselības kompetenču centrs, lai nodrošinātu veselības nozares digitālo attīstību, pilnveidotu </w:t>
            </w:r>
            <w:r w:rsidRPr="00BF055E">
              <w:rPr>
                <w:rFonts w:eastAsia="Times New Roman" w:cs="Times New Roman"/>
                <w:sz w:val="18"/>
                <w:szCs w:val="18"/>
                <w:lang w:eastAsia="lv-LV"/>
              </w:rPr>
              <w:lastRenderedPageBreak/>
              <w:t>veselības nozares IKT pārvaldību un IKT pakalpojumus, novērstu identificētās problēmas veselības nozares IKT jomā, nodrošinātu pietiekamu kapacitāti VM resora IKT projektu pārvaldībai un īstenošanai un ilgtermiņā uzkrātu kapacitāti un zināšanas digitālās veselības attīstībai.</w:t>
            </w:r>
            <w:r w:rsidRPr="00BF055E">
              <w:rPr>
                <w:rFonts w:eastAsia="Times New Roman" w:cs="Times New Roman"/>
                <w:sz w:val="18"/>
                <w:szCs w:val="18"/>
                <w:lang w:eastAsia="lv-LV"/>
              </w:rPr>
              <w:br/>
              <w:t>2. Veselības nozares valsts informācijas sistēmu, digitālo pakalpojumu attīstīšana</w:t>
            </w:r>
          </w:p>
        </w:tc>
        <w:tc>
          <w:tcPr>
            <w:tcW w:w="850" w:type="dxa"/>
            <w:tcBorders>
              <w:top w:val="nil"/>
              <w:left w:val="nil"/>
              <w:bottom w:val="single" w:sz="4" w:space="0" w:color="auto"/>
              <w:right w:val="single" w:sz="4" w:space="0" w:color="auto"/>
            </w:tcBorders>
            <w:shd w:val="clear" w:color="000000" w:fill="FFFFFF"/>
            <w:hideMark/>
          </w:tcPr>
          <w:p w14:paraId="01B6353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2024.g. </w:t>
            </w:r>
            <w:r w:rsidRPr="00BF055E">
              <w:rPr>
                <w:rFonts w:eastAsia="Times New Roman" w:cs="Times New Roman"/>
                <w:sz w:val="18"/>
                <w:szCs w:val="18"/>
                <w:lang w:eastAsia="lv-LV"/>
              </w:rPr>
              <w:br/>
              <w:t>2. līdz 2029.g.</w:t>
            </w:r>
          </w:p>
        </w:tc>
        <w:tc>
          <w:tcPr>
            <w:tcW w:w="3073" w:type="dxa"/>
            <w:tcBorders>
              <w:top w:val="nil"/>
              <w:left w:val="nil"/>
              <w:bottom w:val="single" w:sz="4" w:space="0" w:color="auto"/>
              <w:right w:val="single" w:sz="4" w:space="0" w:color="auto"/>
            </w:tcBorders>
            <w:shd w:val="clear" w:color="auto" w:fill="auto"/>
            <w:hideMark/>
          </w:tcPr>
          <w:p w14:paraId="4623157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Papildus nepieciešamais finansējums 2024. gadam un turpmāk ik gadu - 2024. gada 19. septembra MK rīkojums Nr. 762 (prot. Nr. 37 25. §) - 194 811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 xml:space="preserve">Papildus piešķirtais valsts budžeta finansējums 2025.gadam ar 2024. gada 28. jūlija MK rīkojums Nr. 623 (prot. Nr. 30 38. §) 2 943 180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apmērā un 2026.gadam un turpmāk ik gadu 2 992 201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2. Kopējais finansējums ir 45 013 234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ANM finansējums 8,4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4.1.1.4.pasākuma “Veselības aprūpes pārvaldības sistēmas stiprināšana un </w:t>
            </w:r>
            <w:proofErr w:type="spellStart"/>
            <w:r w:rsidRPr="00BF055E">
              <w:rPr>
                <w:rFonts w:eastAsia="Times New Roman" w:cs="Times New Roman"/>
                <w:sz w:val="18"/>
                <w:szCs w:val="18"/>
                <w:lang w:eastAsia="lv-LV"/>
              </w:rPr>
              <w:t>digitalizācija</w:t>
            </w:r>
            <w:proofErr w:type="spellEnd"/>
            <w:r w:rsidRPr="00BF055E">
              <w:rPr>
                <w:rFonts w:eastAsia="Times New Roman" w:cs="Times New Roman"/>
                <w:sz w:val="18"/>
                <w:szCs w:val="18"/>
                <w:lang w:eastAsia="lv-LV"/>
              </w:rPr>
              <w:t xml:space="preserve">, attīstot digitālos risinājumus” ieviešanai - 25 126 734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1.3.1.1. pasākuma “IKT risinājumu un pakalpojumu attīstība un iespēju radīšana privātajam sektoram” ieviešanai - indikatīvi 11 486 500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1206" w:type="dxa"/>
            <w:tcBorders>
              <w:top w:val="nil"/>
              <w:left w:val="nil"/>
              <w:bottom w:val="single" w:sz="4" w:space="0" w:color="auto"/>
              <w:right w:val="single" w:sz="4" w:space="0" w:color="auto"/>
            </w:tcBorders>
            <w:shd w:val="clear" w:color="000000" w:fill="FFFFFF"/>
            <w:hideMark/>
          </w:tcPr>
          <w:p w14:paraId="4AFB491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VM</w:t>
            </w:r>
          </w:p>
        </w:tc>
        <w:tc>
          <w:tcPr>
            <w:tcW w:w="807" w:type="dxa"/>
            <w:tcBorders>
              <w:top w:val="nil"/>
              <w:left w:val="nil"/>
              <w:bottom w:val="single" w:sz="4" w:space="0" w:color="auto"/>
              <w:right w:val="single" w:sz="4" w:space="0" w:color="auto"/>
            </w:tcBorders>
            <w:shd w:val="clear" w:color="000000" w:fill="FFFFFF"/>
            <w:hideMark/>
          </w:tcPr>
          <w:p w14:paraId="252F2C4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1DC279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48BB4DC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Taisnīga un digitālā pārkārtošanās; 2. Sociālā un ekonomikas </w:t>
            </w:r>
            <w:r w:rsidRPr="00BF055E">
              <w:rPr>
                <w:rFonts w:eastAsia="Times New Roman" w:cs="Times New Roman"/>
                <w:sz w:val="18"/>
                <w:szCs w:val="18"/>
                <w:lang w:eastAsia="lv-LV"/>
              </w:rPr>
              <w:lastRenderedPageBreak/>
              <w:t>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54A3D34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2BED8B5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5F74BCFB"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790902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 4.3.1.1.i. Atbalsts sekundārās ambulatorās veselības aprūpes kvalitātes un pieejamības novērtēšanai un uzlabošanai</w:t>
            </w:r>
          </w:p>
        </w:tc>
        <w:tc>
          <w:tcPr>
            <w:tcW w:w="1134" w:type="dxa"/>
            <w:vMerge/>
            <w:tcBorders>
              <w:top w:val="nil"/>
              <w:left w:val="single" w:sz="4" w:space="0" w:color="auto"/>
              <w:bottom w:val="single" w:sz="4" w:space="0" w:color="auto"/>
              <w:right w:val="single" w:sz="4" w:space="0" w:color="auto"/>
            </w:tcBorders>
            <w:vAlign w:val="center"/>
            <w:hideMark/>
          </w:tcPr>
          <w:p w14:paraId="69A508C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auto" w:fill="auto"/>
            <w:hideMark/>
          </w:tcPr>
          <w:p w14:paraId="7B4DCBE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Metodikas pieņemšana pētījumam par sekundārās ambulatorās veselības aprūpes kvalitāti un pieejamību;</w:t>
            </w:r>
            <w:r w:rsidRPr="00BF055E">
              <w:rPr>
                <w:rFonts w:eastAsia="Times New Roman" w:cs="Times New Roman"/>
                <w:sz w:val="18"/>
                <w:szCs w:val="18"/>
                <w:lang w:eastAsia="lv-LV"/>
              </w:rPr>
              <w:br/>
              <w:t xml:space="preserve">2. Pētījuma veikšana par sekundārās ambulatorās veselības aprūpes kvalitāti, </w:t>
            </w:r>
            <w:proofErr w:type="spellStart"/>
            <w:r w:rsidRPr="00BF055E">
              <w:rPr>
                <w:rFonts w:eastAsia="Times New Roman" w:cs="Times New Roman"/>
                <w:sz w:val="18"/>
                <w:szCs w:val="18"/>
                <w:lang w:eastAsia="lv-LV"/>
              </w:rPr>
              <w:t>piekļūstamību</w:t>
            </w:r>
            <w:proofErr w:type="spellEnd"/>
            <w:r w:rsidRPr="00BF055E">
              <w:rPr>
                <w:rFonts w:eastAsia="Times New Roman" w:cs="Times New Roman"/>
                <w:sz w:val="18"/>
                <w:szCs w:val="18"/>
                <w:lang w:eastAsia="lv-LV"/>
              </w:rPr>
              <w:t xml:space="preserve"> un pieejamību;</w:t>
            </w:r>
            <w:r w:rsidRPr="00BF055E">
              <w:rPr>
                <w:rFonts w:eastAsia="Times New Roman" w:cs="Times New Roman"/>
                <w:sz w:val="18"/>
                <w:szCs w:val="18"/>
                <w:lang w:eastAsia="lv-LV"/>
              </w:rPr>
              <w:br/>
              <w:t xml:space="preserve">3. Sekundārās ambulatorās aprūpes kvalitātes, pieejamības un </w:t>
            </w:r>
            <w:proofErr w:type="spellStart"/>
            <w:r w:rsidRPr="00BF055E">
              <w:rPr>
                <w:rFonts w:eastAsia="Times New Roman" w:cs="Times New Roman"/>
                <w:sz w:val="18"/>
                <w:szCs w:val="18"/>
                <w:lang w:eastAsia="lv-LV"/>
              </w:rPr>
              <w:t>piekļūstamības</w:t>
            </w:r>
            <w:proofErr w:type="spellEnd"/>
            <w:r w:rsidRPr="00BF055E">
              <w:rPr>
                <w:rFonts w:eastAsia="Times New Roman" w:cs="Times New Roman"/>
                <w:sz w:val="18"/>
                <w:szCs w:val="18"/>
                <w:lang w:eastAsia="lv-LV"/>
              </w:rPr>
              <w:t xml:space="preserve"> pētījuma rezultātu integrēšana veselības politikas attīstībā.</w:t>
            </w:r>
          </w:p>
        </w:tc>
        <w:tc>
          <w:tcPr>
            <w:tcW w:w="850" w:type="dxa"/>
            <w:tcBorders>
              <w:top w:val="nil"/>
              <w:left w:val="nil"/>
              <w:bottom w:val="single" w:sz="4" w:space="0" w:color="auto"/>
              <w:right w:val="single" w:sz="4" w:space="0" w:color="auto"/>
            </w:tcBorders>
            <w:shd w:val="clear" w:color="auto" w:fill="auto"/>
            <w:hideMark/>
          </w:tcPr>
          <w:p w14:paraId="729507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2022.-2026.g.</w:t>
            </w:r>
          </w:p>
        </w:tc>
        <w:tc>
          <w:tcPr>
            <w:tcW w:w="3073" w:type="dxa"/>
            <w:tcBorders>
              <w:top w:val="nil"/>
              <w:left w:val="nil"/>
              <w:bottom w:val="single" w:sz="4" w:space="0" w:color="auto"/>
              <w:right w:val="single" w:sz="4" w:space="0" w:color="auto"/>
            </w:tcBorders>
            <w:shd w:val="clear" w:color="auto" w:fill="auto"/>
            <w:hideMark/>
          </w:tcPr>
          <w:p w14:paraId="5A50B9D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786 500,00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ANM finansējums 650 000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ne vairāk kā 136 500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65F7524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 / NVD</w:t>
            </w:r>
          </w:p>
        </w:tc>
        <w:tc>
          <w:tcPr>
            <w:tcW w:w="807" w:type="dxa"/>
            <w:tcBorders>
              <w:top w:val="nil"/>
              <w:left w:val="nil"/>
              <w:bottom w:val="single" w:sz="4" w:space="0" w:color="auto"/>
              <w:right w:val="single" w:sz="4" w:space="0" w:color="auto"/>
            </w:tcBorders>
            <w:shd w:val="clear" w:color="auto" w:fill="auto"/>
            <w:hideMark/>
          </w:tcPr>
          <w:p w14:paraId="5C1CB6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5484C4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047D81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5DE94C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5A35DD3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3BB6AFAE"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1C82CAE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Reforma 4.1.1.r. Uz cilvēku centrētas, visaptverošas, integrētas veselības </w:t>
            </w:r>
            <w:r w:rsidRPr="00BF055E">
              <w:rPr>
                <w:rFonts w:eastAsia="Times New Roman" w:cs="Times New Roman"/>
                <w:sz w:val="18"/>
                <w:szCs w:val="18"/>
                <w:lang w:eastAsia="lv-LV"/>
              </w:rPr>
              <w:lastRenderedPageBreak/>
              <w:t>aprūpes sistēmas ilgtspēja un noturība</w:t>
            </w:r>
          </w:p>
        </w:tc>
        <w:tc>
          <w:tcPr>
            <w:tcW w:w="1134" w:type="dxa"/>
            <w:vMerge/>
            <w:tcBorders>
              <w:top w:val="nil"/>
              <w:left w:val="single" w:sz="4" w:space="0" w:color="auto"/>
              <w:bottom w:val="single" w:sz="4" w:space="0" w:color="auto"/>
              <w:right w:val="single" w:sz="4" w:space="0" w:color="auto"/>
            </w:tcBorders>
            <w:vAlign w:val="center"/>
            <w:hideMark/>
          </w:tcPr>
          <w:p w14:paraId="60AE614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auto" w:fill="auto"/>
            <w:hideMark/>
          </w:tcPr>
          <w:p w14:paraId="1CD6891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Digitālās veselības stratēģijas pieņemšana;</w:t>
            </w:r>
            <w:r w:rsidRPr="00BF055E">
              <w:rPr>
                <w:rFonts w:eastAsia="Times New Roman" w:cs="Times New Roman"/>
                <w:sz w:val="18"/>
                <w:szCs w:val="18"/>
                <w:lang w:eastAsia="lv-LV"/>
              </w:rPr>
              <w:br/>
              <w:t xml:space="preserve">2. Uz cilvēku vērstas, visaptverošas un integrētas veselības aprūpes sniegšanas modeļa izstrāde, </w:t>
            </w:r>
            <w:r w:rsidRPr="00BF055E">
              <w:rPr>
                <w:rFonts w:eastAsia="Times New Roman" w:cs="Times New Roman"/>
                <w:sz w:val="18"/>
                <w:szCs w:val="18"/>
                <w:lang w:eastAsia="lv-LV"/>
              </w:rPr>
              <w:lastRenderedPageBreak/>
              <w:t>izstrādājot investīciju stratēģiju un ieteikumus integrētas un epidemioloģiski drošas veselības aprūpes attīstībai;</w:t>
            </w:r>
            <w:r w:rsidRPr="00BF055E">
              <w:rPr>
                <w:rFonts w:eastAsia="Times New Roman" w:cs="Times New Roman"/>
                <w:sz w:val="18"/>
                <w:szCs w:val="18"/>
                <w:lang w:eastAsia="lv-LV"/>
              </w:rPr>
              <w:br/>
              <w:t>3. Izveidot Latvijas iedzīvotāju genoma referenci (Latvijas dalība projektā “</w:t>
            </w:r>
            <w:proofErr w:type="spellStart"/>
            <w:r w:rsidRPr="00BF055E">
              <w:rPr>
                <w:rFonts w:eastAsia="Times New Roman" w:cs="Times New Roman"/>
                <w:sz w:val="18"/>
                <w:szCs w:val="18"/>
                <w:lang w:eastAsia="lv-LV"/>
              </w:rPr>
              <w:t>Genome</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sz w:val="18"/>
                <w:szCs w:val="18"/>
                <w:lang w:eastAsia="lv-LV"/>
              </w:rPr>
              <w:t>for</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i/>
                <w:sz w:val="18"/>
                <w:szCs w:val="18"/>
                <w:lang w:eastAsia="lv-LV"/>
              </w:rPr>
              <w:t>euro</w:t>
            </w:r>
            <w:r w:rsidRPr="00BF055E">
              <w:rPr>
                <w:rFonts w:eastAsia="Times New Roman" w:cs="Times New Roman"/>
                <w:sz w:val="18"/>
                <w:szCs w:val="18"/>
                <w:lang w:eastAsia="lv-LV"/>
              </w:rPr>
              <w:t>pe</w:t>
            </w:r>
            <w:proofErr w:type="spellEnd"/>
            <w:r w:rsidRPr="00BF055E">
              <w:rPr>
                <w:rFonts w:eastAsia="Times New Roman" w:cs="Times New Roman"/>
                <w:sz w:val="18"/>
                <w:szCs w:val="18"/>
                <w:lang w:eastAsia="lv-LV"/>
              </w:rPr>
              <w:t xml:space="preserve"> – </w:t>
            </w:r>
            <w:proofErr w:type="spellStart"/>
            <w:r w:rsidRPr="00BF055E">
              <w:rPr>
                <w:rFonts w:eastAsia="Times New Roman" w:cs="Times New Roman"/>
                <w:sz w:val="18"/>
                <w:szCs w:val="18"/>
                <w:lang w:eastAsia="lv-LV"/>
              </w:rPr>
              <w:t>GoLatvia</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sz w:val="18"/>
                <w:szCs w:val="18"/>
                <w:lang w:eastAsia="lv-LV"/>
              </w:rPr>
              <w:t>project</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4. Nodrošināt onkoloģijas jomas metodisko vadību.</w:t>
            </w:r>
          </w:p>
        </w:tc>
        <w:tc>
          <w:tcPr>
            <w:tcW w:w="850" w:type="dxa"/>
            <w:tcBorders>
              <w:top w:val="nil"/>
              <w:left w:val="nil"/>
              <w:bottom w:val="single" w:sz="4" w:space="0" w:color="auto"/>
              <w:right w:val="single" w:sz="4" w:space="0" w:color="auto"/>
            </w:tcBorders>
            <w:shd w:val="clear" w:color="auto" w:fill="auto"/>
            <w:hideMark/>
          </w:tcPr>
          <w:p w14:paraId="6D56A00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2022. - 2026.g.</w:t>
            </w:r>
          </w:p>
        </w:tc>
        <w:tc>
          <w:tcPr>
            <w:tcW w:w="3073" w:type="dxa"/>
            <w:tcBorders>
              <w:top w:val="nil"/>
              <w:left w:val="nil"/>
              <w:bottom w:val="single" w:sz="4" w:space="0" w:color="auto"/>
              <w:right w:val="single" w:sz="4" w:space="0" w:color="auto"/>
            </w:tcBorders>
            <w:shd w:val="clear" w:color="auto" w:fill="auto"/>
            <w:hideMark/>
          </w:tcPr>
          <w:p w14:paraId="2F454658" w14:textId="5B56DF68"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3 726 826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finansējums 3 155 000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ne vairāk kā 571 826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0FA85A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VM / SIA "Rīgas Austrumu klīniskā universitātes slimnīca" / </w:t>
            </w:r>
            <w:r w:rsidRPr="00BF055E">
              <w:rPr>
                <w:rFonts w:eastAsia="Times New Roman" w:cs="Times New Roman"/>
                <w:sz w:val="18"/>
                <w:szCs w:val="18"/>
                <w:lang w:eastAsia="lv-LV"/>
              </w:rPr>
              <w:lastRenderedPageBreak/>
              <w:t xml:space="preserve">Atvasināta publiska persona "Latvijas </w:t>
            </w:r>
            <w:proofErr w:type="spellStart"/>
            <w:r w:rsidRPr="00BF055E">
              <w:rPr>
                <w:rFonts w:eastAsia="Times New Roman" w:cs="Times New Roman"/>
                <w:sz w:val="18"/>
                <w:szCs w:val="18"/>
                <w:lang w:eastAsia="lv-LV"/>
              </w:rPr>
              <w:t>Biomedicīnas</w:t>
            </w:r>
            <w:proofErr w:type="spellEnd"/>
            <w:r w:rsidRPr="00BF055E">
              <w:rPr>
                <w:rFonts w:eastAsia="Times New Roman" w:cs="Times New Roman"/>
                <w:sz w:val="18"/>
                <w:szCs w:val="18"/>
                <w:lang w:eastAsia="lv-LV"/>
              </w:rPr>
              <w:t xml:space="preserve"> pētījumu un studiju centrs" </w:t>
            </w:r>
          </w:p>
        </w:tc>
        <w:tc>
          <w:tcPr>
            <w:tcW w:w="807" w:type="dxa"/>
            <w:tcBorders>
              <w:top w:val="nil"/>
              <w:left w:val="nil"/>
              <w:bottom w:val="single" w:sz="4" w:space="0" w:color="auto"/>
              <w:right w:val="single" w:sz="4" w:space="0" w:color="auto"/>
            </w:tcBorders>
            <w:shd w:val="clear" w:color="auto" w:fill="auto"/>
            <w:hideMark/>
          </w:tcPr>
          <w:p w14:paraId="48ADC40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x</w:t>
            </w:r>
          </w:p>
        </w:tc>
        <w:tc>
          <w:tcPr>
            <w:tcW w:w="836" w:type="dxa"/>
            <w:tcBorders>
              <w:top w:val="nil"/>
              <w:left w:val="nil"/>
              <w:bottom w:val="single" w:sz="4" w:space="0" w:color="auto"/>
              <w:right w:val="single" w:sz="4" w:space="0" w:color="auto"/>
            </w:tcBorders>
            <w:shd w:val="clear" w:color="auto" w:fill="auto"/>
            <w:hideMark/>
          </w:tcPr>
          <w:p w14:paraId="4D46F3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3604BB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6EABFC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57037BF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3A143DFC"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6A7E8BF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 4.1.1.1.i. Atbalsts sabiedrības veselības pētījumu veikšanai (sasaistē ar pasākumu "Ierobežot infekcijas slimību izplatību")</w:t>
            </w:r>
          </w:p>
        </w:tc>
        <w:tc>
          <w:tcPr>
            <w:tcW w:w="1134" w:type="dxa"/>
            <w:vMerge/>
            <w:tcBorders>
              <w:top w:val="nil"/>
              <w:left w:val="single" w:sz="4" w:space="0" w:color="auto"/>
              <w:bottom w:val="single" w:sz="4" w:space="0" w:color="auto"/>
              <w:right w:val="single" w:sz="4" w:space="0" w:color="auto"/>
            </w:tcBorders>
            <w:vAlign w:val="center"/>
            <w:hideMark/>
          </w:tcPr>
          <w:p w14:paraId="13CC4FD6"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auto" w:fill="auto"/>
            <w:hideMark/>
          </w:tcPr>
          <w:p w14:paraId="201F74B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Metodikas pieņemšana trīs pētījumiem ar mērķi uzlabot sabiedrības veselības politikas plānošanu un īstenošanu mikroorganismu rezistences, vakcinācijas un infekcijas slimību jomā;</w:t>
            </w:r>
            <w:r w:rsidRPr="00BF055E">
              <w:rPr>
                <w:rFonts w:eastAsia="Times New Roman" w:cs="Times New Roman"/>
                <w:sz w:val="18"/>
                <w:szCs w:val="18"/>
                <w:lang w:eastAsia="lv-LV"/>
              </w:rPr>
              <w:br/>
              <w:t>2. Veikti un publicēti trīs pētījumi: a) AMR jomā – pētījums par mikroorganismu rezistenci, lai noteiktu visefektīvākās intervences un uzraudzības metodes; b) lai apzinātu nevakcinēšanās iemeslus, c) infekcijas slimību jomā – lai apzinātu infekcijas slimību izplatīšanās riskus un to ietekmi uz sabiedrības veselības rādītājiem.</w:t>
            </w:r>
            <w:r w:rsidRPr="00BF055E">
              <w:rPr>
                <w:rFonts w:eastAsia="Times New Roman" w:cs="Times New Roman"/>
                <w:sz w:val="18"/>
                <w:szCs w:val="18"/>
                <w:lang w:eastAsia="lv-LV"/>
              </w:rPr>
              <w:br/>
              <w:t xml:space="preserve">3. Tiesību aktu grozījumu stāšanās spēkā, kuru mērķis ir uzlabot sabiedrības veselības politikas </w:t>
            </w:r>
            <w:r w:rsidRPr="00BF055E">
              <w:rPr>
                <w:rFonts w:eastAsia="Times New Roman" w:cs="Times New Roman"/>
                <w:sz w:val="18"/>
                <w:szCs w:val="18"/>
                <w:lang w:eastAsia="lv-LV"/>
              </w:rPr>
              <w:lastRenderedPageBreak/>
              <w:t>plānošanu un īstenošanu tādās jomās kā mikroorganismu rezistence (AMR), vakcinācija un infekcijas.</w:t>
            </w:r>
          </w:p>
        </w:tc>
        <w:tc>
          <w:tcPr>
            <w:tcW w:w="850" w:type="dxa"/>
            <w:tcBorders>
              <w:top w:val="nil"/>
              <w:left w:val="nil"/>
              <w:bottom w:val="single" w:sz="4" w:space="0" w:color="auto"/>
              <w:right w:val="single" w:sz="4" w:space="0" w:color="auto"/>
            </w:tcBorders>
            <w:shd w:val="clear" w:color="auto" w:fill="auto"/>
            <w:hideMark/>
          </w:tcPr>
          <w:p w14:paraId="71CCB4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2022. - 2026.g.</w:t>
            </w:r>
          </w:p>
        </w:tc>
        <w:tc>
          <w:tcPr>
            <w:tcW w:w="3073" w:type="dxa"/>
            <w:tcBorders>
              <w:top w:val="nil"/>
              <w:left w:val="nil"/>
              <w:bottom w:val="single" w:sz="4" w:space="0" w:color="auto"/>
              <w:right w:val="single" w:sz="4" w:space="0" w:color="auto"/>
            </w:tcBorders>
            <w:shd w:val="clear" w:color="auto" w:fill="auto"/>
            <w:hideMark/>
          </w:tcPr>
          <w:p w14:paraId="5525D7FB" w14:textId="79B17DCC"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865 150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finansējums 715 000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ne vairāk kā 150 150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27DB9B5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 / SPKC</w:t>
            </w:r>
          </w:p>
        </w:tc>
        <w:tc>
          <w:tcPr>
            <w:tcW w:w="807" w:type="dxa"/>
            <w:tcBorders>
              <w:top w:val="nil"/>
              <w:left w:val="nil"/>
              <w:bottom w:val="single" w:sz="4" w:space="0" w:color="auto"/>
              <w:right w:val="single" w:sz="4" w:space="0" w:color="auto"/>
            </w:tcBorders>
            <w:shd w:val="clear" w:color="auto" w:fill="auto"/>
            <w:hideMark/>
          </w:tcPr>
          <w:p w14:paraId="2EE231D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369DEC0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63749ED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0BFF41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5A7AF4F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47279BE1"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359AC45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Reforma 4.3.1.r. Veselības aprūpes ilgtspēja, pārvaldības stiprināšana, efektīva veselības aprūpes resursu izlietošana, kopējā valsts budžeta veselības aprūpes nozarē palielinājums</w:t>
            </w:r>
          </w:p>
        </w:tc>
        <w:tc>
          <w:tcPr>
            <w:tcW w:w="1134" w:type="dxa"/>
            <w:vMerge/>
            <w:tcBorders>
              <w:top w:val="nil"/>
              <w:left w:val="single" w:sz="4" w:space="0" w:color="auto"/>
              <w:bottom w:val="single" w:sz="4" w:space="0" w:color="auto"/>
              <w:right w:val="single" w:sz="4" w:space="0" w:color="auto"/>
            </w:tcBorders>
            <w:vAlign w:val="center"/>
            <w:hideMark/>
          </w:tcPr>
          <w:p w14:paraId="0D6BF92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auto" w:fill="auto"/>
            <w:hideMark/>
          </w:tcPr>
          <w:p w14:paraId="02413C8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Apstiprināts koordinācijas mehānisms, lai novērtētu, izstrādātu un ieviestu jaunus veselības aprūpes pakalpojumu sniegšanas modeļus;</w:t>
            </w:r>
            <w:r w:rsidRPr="00BF055E">
              <w:rPr>
                <w:rFonts w:eastAsia="Times New Roman" w:cs="Times New Roman"/>
                <w:sz w:val="18"/>
                <w:szCs w:val="18"/>
                <w:lang w:eastAsia="lv-LV"/>
              </w:rPr>
              <w:br/>
              <w:t>2. Veikta pilotprojektu atlase veselības aprūpes pakalpojumu sniegšanas modeļiem, kuru mērķis ir nodrošināt labāku un efektīvāku valsts finansētu veselības aprūpes pakalpojumu sniegšanu visos līmeņos, nodrošinot pakalpojumu pieejamību un kvalitāti ar sistēmas maiņas mehānismu izveidi valsts apmaksātiem pakalpojumiem;</w:t>
            </w:r>
            <w:r w:rsidRPr="00BF055E">
              <w:rPr>
                <w:rFonts w:eastAsia="Times New Roman" w:cs="Times New Roman"/>
                <w:sz w:val="18"/>
                <w:szCs w:val="18"/>
                <w:lang w:eastAsia="lv-LV"/>
              </w:rPr>
              <w:br/>
              <w:t>3. Veikta pilotprojektu pilotēšana, uzraudzība un izvērtēšana;</w:t>
            </w:r>
            <w:r w:rsidRPr="00BF055E">
              <w:rPr>
                <w:rFonts w:eastAsia="Times New Roman" w:cs="Times New Roman"/>
                <w:sz w:val="18"/>
                <w:szCs w:val="18"/>
                <w:lang w:eastAsia="lv-LV"/>
              </w:rPr>
              <w:br/>
              <w:t>4. Jaunu veselības aprūpes pakalpojumu sniegšanas modeļu integrēšana publiski finansētos veselības aprūpes pakalpojumos.</w:t>
            </w:r>
          </w:p>
        </w:tc>
        <w:tc>
          <w:tcPr>
            <w:tcW w:w="850" w:type="dxa"/>
            <w:tcBorders>
              <w:top w:val="nil"/>
              <w:left w:val="nil"/>
              <w:bottom w:val="single" w:sz="4" w:space="0" w:color="auto"/>
              <w:right w:val="single" w:sz="4" w:space="0" w:color="auto"/>
            </w:tcBorders>
            <w:shd w:val="clear" w:color="auto" w:fill="auto"/>
            <w:hideMark/>
          </w:tcPr>
          <w:p w14:paraId="1BBCFE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2022.gads - 2026.gads</w:t>
            </w:r>
          </w:p>
        </w:tc>
        <w:tc>
          <w:tcPr>
            <w:tcW w:w="3073" w:type="dxa"/>
            <w:tcBorders>
              <w:top w:val="nil"/>
              <w:left w:val="nil"/>
              <w:bottom w:val="single" w:sz="4" w:space="0" w:color="auto"/>
              <w:right w:val="single" w:sz="4" w:space="0" w:color="auto"/>
            </w:tcBorders>
            <w:shd w:val="clear" w:color="auto" w:fill="auto"/>
            <w:hideMark/>
          </w:tcPr>
          <w:p w14:paraId="3C6B6390" w14:textId="5E83ECE3"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18 730 800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finansējums 15 480 000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finansējums 3 250 800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7ED75B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 / NVD</w:t>
            </w:r>
          </w:p>
        </w:tc>
        <w:tc>
          <w:tcPr>
            <w:tcW w:w="807" w:type="dxa"/>
            <w:tcBorders>
              <w:top w:val="nil"/>
              <w:left w:val="nil"/>
              <w:bottom w:val="single" w:sz="4" w:space="0" w:color="auto"/>
              <w:right w:val="single" w:sz="4" w:space="0" w:color="auto"/>
            </w:tcBorders>
            <w:shd w:val="clear" w:color="auto" w:fill="auto"/>
            <w:hideMark/>
          </w:tcPr>
          <w:p w14:paraId="26D20C0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6324C0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w:t>
            </w:r>
          </w:p>
        </w:tc>
        <w:tc>
          <w:tcPr>
            <w:tcW w:w="1256" w:type="dxa"/>
            <w:tcBorders>
              <w:top w:val="nil"/>
              <w:left w:val="nil"/>
              <w:bottom w:val="single" w:sz="4" w:space="0" w:color="auto"/>
              <w:right w:val="single" w:sz="4" w:space="0" w:color="auto"/>
            </w:tcBorders>
            <w:shd w:val="clear" w:color="000000" w:fill="FFFFFF"/>
            <w:hideMark/>
          </w:tcPr>
          <w:p w14:paraId="13EAE24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34F71A5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06BACBC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w:t>
            </w:r>
          </w:p>
        </w:tc>
      </w:tr>
      <w:tr w:rsidR="00BF055E" w:rsidRPr="00BF055E" w14:paraId="08E0F3E0"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5593EE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 4.2.1.1.i. Atbalsts cilvēkresursu attīstības </w:t>
            </w:r>
            <w:r w:rsidRPr="00BF055E">
              <w:rPr>
                <w:rFonts w:eastAsia="Times New Roman" w:cs="Times New Roman"/>
                <w:sz w:val="18"/>
                <w:szCs w:val="18"/>
                <w:lang w:eastAsia="lv-LV"/>
              </w:rPr>
              <w:lastRenderedPageBreak/>
              <w:t>sistēmas ieviešanai</w:t>
            </w:r>
          </w:p>
        </w:tc>
        <w:tc>
          <w:tcPr>
            <w:tcW w:w="1134" w:type="dxa"/>
            <w:vMerge/>
            <w:tcBorders>
              <w:top w:val="nil"/>
              <w:left w:val="single" w:sz="4" w:space="0" w:color="auto"/>
              <w:bottom w:val="single" w:sz="4" w:space="0" w:color="auto"/>
              <w:right w:val="single" w:sz="4" w:space="0" w:color="auto"/>
            </w:tcBorders>
            <w:vAlign w:val="center"/>
            <w:hideMark/>
          </w:tcPr>
          <w:p w14:paraId="273AA6F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auto" w:fill="auto"/>
            <w:hideMark/>
          </w:tcPr>
          <w:p w14:paraId="1025526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Ir izveidots koordinācijas mehānisms veselības aprūpes darbinieku mācīšanai;</w:t>
            </w:r>
            <w:r w:rsidRPr="00BF055E">
              <w:rPr>
                <w:rFonts w:eastAsia="Times New Roman" w:cs="Times New Roman"/>
                <w:sz w:val="18"/>
                <w:szCs w:val="18"/>
                <w:lang w:eastAsia="lv-LV"/>
              </w:rPr>
              <w:br/>
              <w:t xml:space="preserve">2. Veselības aprūpes </w:t>
            </w:r>
            <w:r w:rsidRPr="00BF055E">
              <w:rPr>
                <w:rFonts w:eastAsia="Times New Roman" w:cs="Times New Roman"/>
                <w:sz w:val="18"/>
                <w:szCs w:val="18"/>
                <w:lang w:eastAsia="lv-LV"/>
              </w:rPr>
              <w:lastRenderedPageBreak/>
              <w:t xml:space="preserve">mācību procesā ieviesta simulācijas pieeja visu līmeņu izglītības posmos - </w:t>
            </w:r>
            <w:proofErr w:type="spellStart"/>
            <w:r w:rsidRPr="00BF055E">
              <w:rPr>
                <w:rFonts w:eastAsia="Times New Roman" w:cs="Times New Roman"/>
                <w:sz w:val="18"/>
                <w:szCs w:val="18"/>
                <w:lang w:eastAsia="lv-LV"/>
              </w:rPr>
              <w:t>pamatstudijas</w:t>
            </w:r>
            <w:proofErr w:type="spellEnd"/>
            <w:r w:rsidRPr="00BF055E">
              <w:rPr>
                <w:rFonts w:eastAsia="Times New Roman" w:cs="Times New Roman"/>
                <w:sz w:val="18"/>
                <w:szCs w:val="18"/>
                <w:lang w:eastAsia="lv-LV"/>
              </w:rPr>
              <w:t>, rezidentūra, tālāk izglītība.</w:t>
            </w:r>
          </w:p>
        </w:tc>
        <w:tc>
          <w:tcPr>
            <w:tcW w:w="850" w:type="dxa"/>
            <w:tcBorders>
              <w:top w:val="nil"/>
              <w:left w:val="nil"/>
              <w:bottom w:val="single" w:sz="4" w:space="0" w:color="auto"/>
              <w:right w:val="single" w:sz="4" w:space="0" w:color="auto"/>
            </w:tcBorders>
            <w:shd w:val="clear" w:color="auto" w:fill="auto"/>
            <w:hideMark/>
          </w:tcPr>
          <w:p w14:paraId="02D774D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2024. - 2026.g.</w:t>
            </w:r>
          </w:p>
        </w:tc>
        <w:tc>
          <w:tcPr>
            <w:tcW w:w="3073" w:type="dxa"/>
            <w:tcBorders>
              <w:top w:val="nil"/>
              <w:left w:val="nil"/>
              <w:bottom w:val="single" w:sz="4" w:space="0" w:color="auto"/>
              <w:right w:val="single" w:sz="4" w:space="0" w:color="auto"/>
            </w:tcBorders>
            <w:shd w:val="clear" w:color="auto" w:fill="auto"/>
            <w:hideMark/>
          </w:tcPr>
          <w:p w14:paraId="1EA93445" w14:textId="089D24D1"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3 630 000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finansējums 3 000 000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ne vairāk kā 630 000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5C46F3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VM / CFLA </w:t>
            </w:r>
          </w:p>
        </w:tc>
        <w:tc>
          <w:tcPr>
            <w:tcW w:w="807" w:type="dxa"/>
            <w:tcBorders>
              <w:top w:val="nil"/>
              <w:left w:val="nil"/>
              <w:bottom w:val="single" w:sz="4" w:space="0" w:color="auto"/>
              <w:right w:val="single" w:sz="4" w:space="0" w:color="auto"/>
            </w:tcBorders>
            <w:shd w:val="clear" w:color="auto" w:fill="auto"/>
            <w:hideMark/>
          </w:tcPr>
          <w:p w14:paraId="28F22A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6D64684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2019(2); 2020(1); 2022(1); 2023(1); </w:t>
            </w:r>
            <w:r w:rsidRPr="00BF055E">
              <w:rPr>
                <w:rFonts w:eastAsia="Times New Roman" w:cs="Times New Roman"/>
                <w:sz w:val="18"/>
                <w:szCs w:val="18"/>
                <w:lang w:eastAsia="lv-LV"/>
              </w:rPr>
              <w:lastRenderedPageBreak/>
              <w:t>2024(1); 2024(3)</w:t>
            </w:r>
          </w:p>
        </w:tc>
        <w:tc>
          <w:tcPr>
            <w:tcW w:w="1256" w:type="dxa"/>
            <w:tcBorders>
              <w:top w:val="nil"/>
              <w:left w:val="nil"/>
              <w:bottom w:val="single" w:sz="4" w:space="0" w:color="auto"/>
              <w:right w:val="single" w:sz="4" w:space="0" w:color="auto"/>
            </w:tcBorders>
            <w:shd w:val="clear" w:color="000000" w:fill="FFFFFF"/>
            <w:hideMark/>
          </w:tcPr>
          <w:p w14:paraId="400285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2. Sociālā un ekonomikas noturība, t.sk. Eiropas </w:t>
            </w:r>
            <w:r w:rsidRPr="00BF055E">
              <w:rPr>
                <w:rFonts w:eastAsia="Times New Roman" w:cs="Times New Roman"/>
                <w:sz w:val="18"/>
                <w:szCs w:val="18"/>
                <w:lang w:eastAsia="lv-LV"/>
              </w:rPr>
              <w:lastRenderedPageBreak/>
              <w:t>Sociālo tiesību pīlārs</w:t>
            </w:r>
          </w:p>
        </w:tc>
        <w:tc>
          <w:tcPr>
            <w:tcW w:w="1056" w:type="dxa"/>
            <w:tcBorders>
              <w:top w:val="nil"/>
              <w:left w:val="nil"/>
              <w:bottom w:val="single" w:sz="4" w:space="0" w:color="auto"/>
              <w:right w:val="single" w:sz="4" w:space="0" w:color="auto"/>
            </w:tcBorders>
            <w:shd w:val="clear" w:color="auto" w:fill="auto"/>
            <w:hideMark/>
          </w:tcPr>
          <w:p w14:paraId="3BD101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Vienādas iespējas un darba tirgus pieejamība; </w:t>
            </w:r>
            <w:r w:rsidRPr="00BF055E">
              <w:rPr>
                <w:rFonts w:eastAsia="Times New Roman" w:cs="Times New Roman"/>
                <w:sz w:val="18"/>
                <w:szCs w:val="18"/>
                <w:lang w:eastAsia="lv-LV"/>
              </w:rPr>
              <w:lastRenderedPageBreak/>
              <w:t>Sociālā aizsardzība un iekļaušana</w:t>
            </w:r>
          </w:p>
        </w:tc>
        <w:tc>
          <w:tcPr>
            <w:tcW w:w="980" w:type="dxa"/>
            <w:tcBorders>
              <w:top w:val="nil"/>
              <w:left w:val="nil"/>
              <w:bottom w:val="single" w:sz="4" w:space="0" w:color="auto"/>
              <w:right w:val="single" w:sz="4" w:space="0" w:color="auto"/>
            </w:tcBorders>
            <w:shd w:val="clear" w:color="auto" w:fill="auto"/>
            <w:hideMark/>
          </w:tcPr>
          <w:p w14:paraId="5C24BF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3. Laba veselība un labklājība; 4. </w:t>
            </w:r>
            <w:r w:rsidRPr="00BF055E">
              <w:rPr>
                <w:rFonts w:eastAsia="Times New Roman" w:cs="Times New Roman"/>
                <w:sz w:val="18"/>
                <w:szCs w:val="18"/>
                <w:lang w:eastAsia="lv-LV"/>
              </w:rPr>
              <w:lastRenderedPageBreak/>
              <w:t>Kvalitatīva izglītība</w:t>
            </w:r>
          </w:p>
        </w:tc>
      </w:tr>
      <w:tr w:rsidR="00BF055E" w:rsidRPr="00BF055E" w14:paraId="63D17426"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38F89E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ES kohēzijas politikas programmas 2021.–2027. gadam 4.1.2.6. pasākuma "Uzlabot izglītības iespējas ārstniecības personām, t.sk. uzlabojot tālākizglītības pieejamību" ieviešana</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4E5BBAA" w14:textId="77777777" w:rsidR="00BF055E" w:rsidRPr="00BF055E" w:rsidRDefault="00BF055E" w:rsidP="006357B3">
            <w:pPr>
              <w:spacing w:after="0" w:line="240" w:lineRule="auto"/>
              <w:ind w:firstLine="0"/>
              <w:jc w:val="center"/>
              <w:rPr>
                <w:rFonts w:eastAsia="Times New Roman" w:cs="Times New Roman"/>
                <w:sz w:val="18"/>
                <w:szCs w:val="18"/>
                <w:lang w:eastAsia="lv-LV"/>
              </w:rPr>
            </w:pPr>
            <w:r w:rsidRPr="00BF055E">
              <w:rPr>
                <w:rFonts w:eastAsia="Times New Roman" w:cs="Times New Roman"/>
                <w:sz w:val="18"/>
                <w:szCs w:val="18"/>
                <w:lang w:eastAsia="lv-LV"/>
              </w:rPr>
              <w:t>Uzlabot veselības aprūpes sistēmai nepieciešamā veselības aprūpes personāla kvantitāti, efektivitāti un kvalitāti.</w:t>
            </w:r>
          </w:p>
        </w:tc>
        <w:tc>
          <w:tcPr>
            <w:tcW w:w="2268" w:type="dxa"/>
            <w:tcBorders>
              <w:top w:val="nil"/>
              <w:left w:val="nil"/>
              <w:bottom w:val="single" w:sz="4" w:space="0" w:color="auto"/>
              <w:right w:val="single" w:sz="4" w:space="0" w:color="auto"/>
            </w:tcBorders>
            <w:shd w:val="clear" w:color="000000" w:fill="FFFFFF"/>
            <w:hideMark/>
          </w:tcPr>
          <w:p w14:paraId="6C5D4B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1. Tiesiskā regulējuma pieņemšana.</w:t>
            </w:r>
            <w:r w:rsidRPr="00BF055E">
              <w:rPr>
                <w:rFonts w:eastAsia="Times New Roman" w:cs="Times New Roman"/>
                <w:sz w:val="18"/>
                <w:szCs w:val="18"/>
                <w:lang w:eastAsia="lv-LV"/>
              </w:rPr>
              <w:br/>
              <w:t xml:space="preserve">2. Projekta izstrāde un ieviešana </w:t>
            </w:r>
          </w:p>
        </w:tc>
        <w:tc>
          <w:tcPr>
            <w:tcW w:w="850" w:type="dxa"/>
            <w:tcBorders>
              <w:top w:val="nil"/>
              <w:left w:val="nil"/>
              <w:bottom w:val="single" w:sz="4" w:space="0" w:color="auto"/>
              <w:right w:val="single" w:sz="4" w:space="0" w:color="auto"/>
            </w:tcBorders>
            <w:shd w:val="clear" w:color="000000" w:fill="FFFFFF"/>
            <w:hideMark/>
          </w:tcPr>
          <w:p w14:paraId="523249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2023.g.</w:t>
            </w:r>
            <w:r w:rsidRPr="00BF055E">
              <w:rPr>
                <w:rFonts w:eastAsia="Times New Roman" w:cs="Times New Roman"/>
                <w:sz w:val="18"/>
                <w:szCs w:val="18"/>
                <w:lang w:eastAsia="lv-LV"/>
              </w:rPr>
              <w:br/>
              <w:t>2. no 2024. - 2029.g.</w:t>
            </w:r>
          </w:p>
        </w:tc>
        <w:tc>
          <w:tcPr>
            <w:tcW w:w="3073" w:type="dxa"/>
            <w:tcBorders>
              <w:top w:val="nil"/>
              <w:left w:val="nil"/>
              <w:bottom w:val="single" w:sz="4" w:space="0" w:color="auto"/>
              <w:right w:val="single" w:sz="4" w:space="0" w:color="auto"/>
            </w:tcBorders>
            <w:shd w:val="clear" w:color="auto" w:fill="auto"/>
            <w:hideMark/>
          </w:tcPr>
          <w:p w14:paraId="6E34ACA0" w14:textId="3D5F07F8"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Kopējais finansējums ir 17 400 000.00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skatā ESF+ finansējums 14 790 000.00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nacionālais publiskais finansējums ir 2 610 000.00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12 684 970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(ESF+ finansējums – 10 782 224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1 902 746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75CF79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auto" w:fill="auto"/>
            <w:hideMark/>
          </w:tcPr>
          <w:p w14:paraId="337120E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16076E6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 2024(3)</w:t>
            </w:r>
          </w:p>
        </w:tc>
        <w:tc>
          <w:tcPr>
            <w:tcW w:w="1256" w:type="dxa"/>
            <w:tcBorders>
              <w:top w:val="nil"/>
              <w:left w:val="nil"/>
              <w:bottom w:val="single" w:sz="4" w:space="0" w:color="auto"/>
              <w:right w:val="single" w:sz="4" w:space="0" w:color="auto"/>
            </w:tcBorders>
            <w:shd w:val="clear" w:color="000000" w:fill="FFFFFF"/>
            <w:hideMark/>
          </w:tcPr>
          <w:p w14:paraId="3623E3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19D89D4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Sociālā aizsardzība un iekļaušana</w:t>
            </w:r>
          </w:p>
        </w:tc>
        <w:tc>
          <w:tcPr>
            <w:tcW w:w="980" w:type="dxa"/>
            <w:tcBorders>
              <w:top w:val="nil"/>
              <w:left w:val="nil"/>
              <w:bottom w:val="single" w:sz="4" w:space="0" w:color="auto"/>
              <w:right w:val="single" w:sz="4" w:space="0" w:color="auto"/>
            </w:tcBorders>
            <w:shd w:val="clear" w:color="auto" w:fill="auto"/>
            <w:hideMark/>
          </w:tcPr>
          <w:p w14:paraId="2617382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 4. Kvalitatīva izglītība</w:t>
            </w:r>
          </w:p>
        </w:tc>
      </w:tr>
      <w:tr w:rsidR="00BF055E" w:rsidRPr="00BF055E" w14:paraId="1267F6D9" w14:textId="77777777" w:rsidTr="003B1594">
        <w:trPr>
          <w:trHeight w:val="20"/>
        </w:trPr>
        <w:tc>
          <w:tcPr>
            <w:tcW w:w="1419" w:type="dxa"/>
            <w:tcBorders>
              <w:top w:val="nil"/>
              <w:left w:val="single" w:sz="4" w:space="0" w:color="auto"/>
              <w:bottom w:val="single" w:sz="4" w:space="0" w:color="auto"/>
              <w:right w:val="single" w:sz="4" w:space="0" w:color="auto"/>
            </w:tcBorders>
            <w:shd w:val="clear" w:color="000000" w:fill="FFFFFF"/>
            <w:hideMark/>
          </w:tcPr>
          <w:p w14:paraId="7561C30C"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kohēzijas politikas programmas 2021.–2027. gadam 4.1.2.5. pasākuma "Piesaistīt un noturēt ārstniecības personas darbam valsts apmaksāto veselības aprūpes pakalpojumu sektorā, īpaši </w:t>
            </w:r>
            <w:r w:rsidRPr="00BF055E">
              <w:rPr>
                <w:rFonts w:eastAsia="Times New Roman" w:cs="Times New Roman"/>
                <w:sz w:val="18"/>
                <w:szCs w:val="18"/>
                <w:lang w:eastAsia="lv-LV"/>
              </w:rPr>
              <w:lastRenderedPageBreak/>
              <w:t>stacionāros" ieviešana</w:t>
            </w:r>
          </w:p>
        </w:tc>
        <w:tc>
          <w:tcPr>
            <w:tcW w:w="1134" w:type="dxa"/>
            <w:vMerge/>
            <w:tcBorders>
              <w:top w:val="nil"/>
              <w:left w:val="single" w:sz="4" w:space="0" w:color="auto"/>
              <w:bottom w:val="single" w:sz="4" w:space="0" w:color="auto"/>
              <w:right w:val="single" w:sz="4" w:space="0" w:color="auto"/>
            </w:tcBorders>
            <w:vAlign w:val="center"/>
            <w:hideMark/>
          </w:tcPr>
          <w:p w14:paraId="42849D1E"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748C682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1. Tiesiskā regulējuma pieņemšana.</w:t>
            </w:r>
            <w:r w:rsidRPr="00BF055E">
              <w:rPr>
                <w:rFonts w:eastAsia="Times New Roman" w:cs="Times New Roman"/>
                <w:sz w:val="18"/>
                <w:szCs w:val="18"/>
                <w:lang w:eastAsia="lv-LV"/>
              </w:rPr>
              <w:br/>
              <w:t xml:space="preserve">2. Projekta izstrāde un ieviešana </w:t>
            </w:r>
          </w:p>
        </w:tc>
        <w:tc>
          <w:tcPr>
            <w:tcW w:w="850" w:type="dxa"/>
            <w:tcBorders>
              <w:top w:val="nil"/>
              <w:left w:val="nil"/>
              <w:bottom w:val="single" w:sz="4" w:space="0" w:color="auto"/>
              <w:right w:val="single" w:sz="4" w:space="0" w:color="auto"/>
            </w:tcBorders>
            <w:shd w:val="clear" w:color="000000" w:fill="FFFFFF"/>
            <w:hideMark/>
          </w:tcPr>
          <w:p w14:paraId="4985963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2023.g.</w:t>
            </w:r>
            <w:r w:rsidRPr="00BF055E">
              <w:rPr>
                <w:rFonts w:eastAsia="Times New Roman" w:cs="Times New Roman"/>
                <w:sz w:val="18"/>
                <w:szCs w:val="18"/>
                <w:lang w:eastAsia="lv-LV"/>
              </w:rPr>
              <w:br/>
              <w:t>2. no 2024. - 2029.g.</w:t>
            </w:r>
          </w:p>
        </w:tc>
        <w:tc>
          <w:tcPr>
            <w:tcW w:w="3073" w:type="dxa"/>
            <w:tcBorders>
              <w:top w:val="nil"/>
              <w:left w:val="nil"/>
              <w:bottom w:val="single" w:sz="4" w:space="0" w:color="auto"/>
              <w:right w:val="single" w:sz="4" w:space="0" w:color="auto"/>
            </w:tcBorders>
            <w:shd w:val="clear" w:color="auto" w:fill="auto"/>
            <w:hideMark/>
          </w:tcPr>
          <w:p w14:paraId="24E065DE" w14:textId="7B3EA55A"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Kopējais finansējums ir 6 690 300.00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tai skatā ESF+ finansējums 5 686 755.00</w:t>
            </w:r>
            <w:r w:rsidRPr="00BF055E">
              <w:rPr>
                <w:rFonts w:eastAsia="Times New Roman" w:cs="Times New Roman"/>
                <w:i/>
                <w:sz w:val="18"/>
                <w:szCs w:val="18"/>
                <w:lang w:eastAsia="lv-LV"/>
              </w:rPr>
              <w:t>euro</w:t>
            </w:r>
            <w:r w:rsidRPr="00BF055E">
              <w:rPr>
                <w:rFonts w:eastAsia="Times New Roman" w:cs="Times New Roman"/>
                <w:sz w:val="18"/>
                <w:szCs w:val="18"/>
                <w:lang w:eastAsia="lv-LV"/>
              </w:rPr>
              <w:t xml:space="preserve"> un nacionālais publiskais finansējums 1 003 545.00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4FB0BD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auto" w:fill="auto"/>
            <w:hideMark/>
          </w:tcPr>
          <w:p w14:paraId="4A6B7E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18E9B6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 2024(3)</w:t>
            </w:r>
          </w:p>
        </w:tc>
        <w:tc>
          <w:tcPr>
            <w:tcW w:w="1256" w:type="dxa"/>
            <w:tcBorders>
              <w:top w:val="nil"/>
              <w:left w:val="nil"/>
              <w:bottom w:val="single" w:sz="4" w:space="0" w:color="auto"/>
              <w:right w:val="single" w:sz="4" w:space="0" w:color="auto"/>
            </w:tcBorders>
            <w:shd w:val="clear" w:color="000000" w:fill="FFFFFF"/>
            <w:hideMark/>
          </w:tcPr>
          <w:p w14:paraId="591BB0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16619C4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Taisnīgi darba apstākļi; Sociālā aizsardzība un iekļaušana</w:t>
            </w:r>
          </w:p>
        </w:tc>
        <w:tc>
          <w:tcPr>
            <w:tcW w:w="980" w:type="dxa"/>
            <w:tcBorders>
              <w:top w:val="nil"/>
              <w:left w:val="nil"/>
              <w:bottom w:val="single" w:sz="4" w:space="0" w:color="auto"/>
              <w:right w:val="single" w:sz="4" w:space="0" w:color="auto"/>
            </w:tcBorders>
            <w:shd w:val="clear" w:color="auto" w:fill="auto"/>
            <w:hideMark/>
          </w:tcPr>
          <w:p w14:paraId="39B5E6E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 8. Cienīgs darbs un ekonomikas izaugsme</w:t>
            </w:r>
          </w:p>
        </w:tc>
      </w:tr>
      <w:tr w:rsidR="00BF055E" w:rsidRPr="00BF055E" w14:paraId="3F698FA2" w14:textId="77777777" w:rsidTr="003B1594">
        <w:trPr>
          <w:trHeight w:val="20"/>
        </w:trPr>
        <w:tc>
          <w:tcPr>
            <w:tcW w:w="1419" w:type="dxa"/>
            <w:tcBorders>
              <w:top w:val="nil"/>
              <w:left w:val="single" w:sz="4" w:space="0" w:color="auto"/>
              <w:bottom w:val="single" w:sz="4" w:space="0" w:color="auto"/>
              <w:right w:val="single" w:sz="4" w:space="0" w:color="auto"/>
            </w:tcBorders>
            <w:shd w:val="clear" w:color="auto" w:fill="auto"/>
            <w:hideMark/>
          </w:tcPr>
          <w:p w14:paraId="3975AEE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Reforma 4.2.1.r. Cilvēkresursu nodrošinājums un prasmju pilnveide</w:t>
            </w:r>
          </w:p>
        </w:tc>
        <w:tc>
          <w:tcPr>
            <w:tcW w:w="1134" w:type="dxa"/>
            <w:vMerge/>
            <w:tcBorders>
              <w:top w:val="nil"/>
              <w:left w:val="single" w:sz="4" w:space="0" w:color="auto"/>
              <w:bottom w:val="single" w:sz="4" w:space="0" w:color="auto"/>
              <w:right w:val="single" w:sz="4" w:space="0" w:color="auto"/>
            </w:tcBorders>
            <w:vAlign w:val="center"/>
            <w:hideMark/>
          </w:tcPr>
          <w:p w14:paraId="72C2FBF3"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auto" w:fill="auto"/>
            <w:hideMark/>
          </w:tcPr>
          <w:p w14:paraId="3D4890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Izstrādāta un pieņemta Cilvēkresursu attīstības stratēģija;</w:t>
            </w:r>
            <w:r w:rsidRPr="00BF055E">
              <w:rPr>
                <w:rFonts w:eastAsia="Times New Roman" w:cs="Times New Roman"/>
                <w:sz w:val="18"/>
                <w:szCs w:val="18"/>
                <w:lang w:eastAsia="lv-LV"/>
              </w:rPr>
              <w:br/>
              <w:t>2. Cilvēkresursu kartējuma pieņemšana veselības aprūpes jomā;</w:t>
            </w:r>
            <w:r w:rsidRPr="00BF055E">
              <w:rPr>
                <w:rFonts w:eastAsia="Times New Roman" w:cs="Times New Roman"/>
                <w:sz w:val="18"/>
                <w:szCs w:val="18"/>
                <w:lang w:eastAsia="lv-LV"/>
              </w:rPr>
              <w:br/>
              <w:t>3. Ieviests jauns veselības aprūpes darbinieku atalgojuma modelis;</w:t>
            </w:r>
            <w:r w:rsidRPr="00BF055E">
              <w:rPr>
                <w:rFonts w:eastAsia="Times New Roman" w:cs="Times New Roman"/>
                <w:sz w:val="18"/>
                <w:szCs w:val="18"/>
                <w:lang w:eastAsia="lv-LV"/>
              </w:rPr>
              <w:br/>
              <w:t>4. Veselības aprūpes darbaspēka plānošanas modeļa pieņemšana.</w:t>
            </w:r>
          </w:p>
        </w:tc>
        <w:tc>
          <w:tcPr>
            <w:tcW w:w="850" w:type="dxa"/>
            <w:tcBorders>
              <w:top w:val="nil"/>
              <w:left w:val="nil"/>
              <w:bottom w:val="single" w:sz="4" w:space="0" w:color="auto"/>
              <w:right w:val="single" w:sz="4" w:space="0" w:color="auto"/>
            </w:tcBorders>
            <w:shd w:val="clear" w:color="auto" w:fill="auto"/>
            <w:hideMark/>
          </w:tcPr>
          <w:p w14:paraId="23CAA5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 - 2026.g.</w:t>
            </w:r>
          </w:p>
        </w:tc>
        <w:tc>
          <w:tcPr>
            <w:tcW w:w="3073" w:type="dxa"/>
            <w:tcBorders>
              <w:top w:val="nil"/>
              <w:left w:val="nil"/>
              <w:bottom w:val="single" w:sz="4" w:space="0" w:color="auto"/>
              <w:right w:val="single" w:sz="4" w:space="0" w:color="auto"/>
            </w:tcBorders>
            <w:shd w:val="clear" w:color="auto" w:fill="auto"/>
            <w:hideMark/>
          </w:tcPr>
          <w:p w14:paraId="30449F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605 000 (t.sk., ANM finansējums 500 000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ne vairāk kā 105 000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206" w:type="dxa"/>
            <w:tcBorders>
              <w:top w:val="nil"/>
              <w:left w:val="nil"/>
              <w:bottom w:val="single" w:sz="4" w:space="0" w:color="auto"/>
              <w:right w:val="single" w:sz="4" w:space="0" w:color="auto"/>
            </w:tcBorders>
            <w:shd w:val="clear" w:color="auto" w:fill="auto"/>
            <w:hideMark/>
          </w:tcPr>
          <w:p w14:paraId="5398435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VM</w:t>
            </w:r>
          </w:p>
        </w:tc>
        <w:tc>
          <w:tcPr>
            <w:tcW w:w="807" w:type="dxa"/>
            <w:tcBorders>
              <w:top w:val="nil"/>
              <w:left w:val="nil"/>
              <w:bottom w:val="single" w:sz="4" w:space="0" w:color="auto"/>
              <w:right w:val="single" w:sz="4" w:space="0" w:color="auto"/>
            </w:tcBorders>
            <w:shd w:val="clear" w:color="auto" w:fill="auto"/>
            <w:hideMark/>
          </w:tcPr>
          <w:p w14:paraId="135C68D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x</w:t>
            </w:r>
          </w:p>
        </w:tc>
        <w:tc>
          <w:tcPr>
            <w:tcW w:w="836" w:type="dxa"/>
            <w:tcBorders>
              <w:top w:val="nil"/>
              <w:left w:val="nil"/>
              <w:bottom w:val="single" w:sz="4" w:space="0" w:color="auto"/>
              <w:right w:val="single" w:sz="4" w:space="0" w:color="auto"/>
            </w:tcBorders>
            <w:shd w:val="clear" w:color="auto" w:fill="auto"/>
            <w:hideMark/>
          </w:tcPr>
          <w:p w14:paraId="5B2E49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2020(1); 2022(1); 2023(1); 2024(1); 2024(3)</w:t>
            </w:r>
          </w:p>
        </w:tc>
        <w:tc>
          <w:tcPr>
            <w:tcW w:w="1256" w:type="dxa"/>
            <w:tcBorders>
              <w:top w:val="nil"/>
              <w:left w:val="nil"/>
              <w:bottom w:val="single" w:sz="4" w:space="0" w:color="auto"/>
              <w:right w:val="single" w:sz="4" w:space="0" w:color="auto"/>
            </w:tcBorders>
            <w:shd w:val="clear" w:color="000000" w:fill="FFFFFF"/>
            <w:hideMark/>
          </w:tcPr>
          <w:p w14:paraId="19B4A4B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1056" w:type="dxa"/>
            <w:tcBorders>
              <w:top w:val="nil"/>
              <w:left w:val="nil"/>
              <w:bottom w:val="single" w:sz="4" w:space="0" w:color="auto"/>
              <w:right w:val="single" w:sz="4" w:space="0" w:color="auto"/>
            </w:tcBorders>
            <w:shd w:val="clear" w:color="auto" w:fill="auto"/>
            <w:hideMark/>
          </w:tcPr>
          <w:p w14:paraId="421F5D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Taisnīgi darba apstākļi; Sociālā aizsardzība un iekļaušana</w:t>
            </w:r>
          </w:p>
        </w:tc>
        <w:tc>
          <w:tcPr>
            <w:tcW w:w="980" w:type="dxa"/>
            <w:tcBorders>
              <w:top w:val="nil"/>
              <w:left w:val="nil"/>
              <w:bottom w:val="single" w:sz="4" w:space="0" w:color="auto"/>
              <w:right w:val="single" w:sz="4" w:space="0" w:color="auto"/>
            </w:tcBorders>
            <w:shd w:val="clear" w:color="auto" w:fill="auto"/>
            <w:hideMark/>
          </w:tcPr>
          <w:p w14:paraId="484CA5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Laba veselība un labklājība; 8. Cienīgs darbs un ekonomikas izaugsme</w:t>
            </w:r>
          </w:p>
        </w:tc>
      </w:tr>
    </w:tbl>
    <w:p w14:paraId="4FB7FCFD" w14:textId="77777777" w:rsidR="00BF055E" w:rsidRPr="00BF055E" w:rsidRDefault="00BF055E" w:rsidP="006357B3">
      <w:pPr>
        <w:spacing w:after="0" w:line="240" w:lineRule="auto"/>
        <w:rPr>
          <w:rFonts w:eastAsia="Calibri" w:cs="Times New Roman"/>
          <w:kern w:val="2"/>
          <w:szCs w:val="24"/>
          <w14:ligatures w14:val="standardContextual"/>
        </w:rPr>
      </w:pPr>
    </w:p>
    <w:p w14:paraId="60714628" w14:textId="2CF2A4F3"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.1.4. Izglītība un prasmes</w:t>
      </w:r>
    </w:p>
    <w:p w14:paraId="749D5AF9"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Izglītības un prasmes politikas virzienā iekļautie pasākumi ir sadalīti trīs daļās: kvalitatīva izglītība, zaļo prasmju attīstība un digitālo prasmju attīstība.</w:t>
      </w:r>
    </w:p>
    <w:p w14:paraId="53B7F89E"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Lai uzlabotu </w:t>
      </w:r>
      <w:r w:rsidRPr="00BF055E">
        <w:rPr>
          <w:rFonts w:eastAsia="Calibri" w:cs="Times New Roman"/>
          <w:b/>
          <w:bCs/>
          <w:kern w:val="2"/>
          <w:szCs w:val="24"/>
          <w14:ligatures w14:val="standardContextual"/>
        </w:rPr>
        <w:t>izglītības kvalitāti</w:t>
      </w:r>
      <w:r w:rsidRPr="00BF055E">
        <w:rPr>
          <w:rFonts w:eastAsia="Calibri" w:cs="Times New Roman"/>
          <w:kern w:val="2"/>
          <w:szCs w:val="24"/>
          <w14:ligatures w14:val="standardContextual"/>
        </w:rPr>
        <w:t xml:space="preserve">, Latvija īsteno virkni pasākumus un reformas visās izglītības pakāpēs. Šie pasākumi ir vērsti uz izglītības un mācību sistēmu kvalitātes, </w:t>
      </w:r>
      <w:proofErr w:type="spellStart"/>
      <w:r w:rsidRPr="00BF055E">
        <w:rPr>
          <w:rFonts w:eastAsia="Calibri" w:cs="Times New Roman"/>
          <w:kern w:val="2"/>
          <w:szCs w:val="24"/>
          <w14:ligatures w14:val="standardContextual"/>
        </w:rPr>
        <w:t>iekļautības</w:t>
      </w:r>
      <w:proofErr w:type="spellEnd"/>
      <w:r w:rsidRPr="00BF055E">
        <w:rPr>
          <w:rFonts w:eastAsia="Calibri" w:cs="Times New Roman"/>
          <w:kern w:val="2"/>
          <w:szCs w:val="24"/>
          <w14:ligatures w14:val="standardContextual"/>
        </w:rPr>
        <w:t xml:space="preserve">, efektivitātes un nozīmīguma darba tirgū uzlabošanu, NEET jauniešu integrēšanos izglītībā un nodarbinātībā, izglītības iestāžu nodrošinājumu ar resursiem, augstskolu un koledžu akreditācijas procesa uzlabošanu, izglītības iestāžu infrastruktūras un mācību vides modernizāciju, darba vidē balstītas profesionālās izglītības un mācību pilnveidi, interešu izglītības, brīvā laika un bērnu pieskatīšanas pakalpojumu pieejamības paplašināšana sociālās atstumtības riskam pakļautiem izglītojamajiem un bērniem ar speciālām vajadzībām. Ir paredzēts izveidot pieaugušo formālās un neformālās izglītības kvalitātes novērtēšanas sistēmu, tostarp izstrādājot vienotu metodiku sistēmiskai pieaugušo izglītības kvalitātes uzraudzībai, sniedzot metodisko atbalstu un nodrošinot sabiedrības informēšanu, kā arī veicot pieaugušo izglītības īstenošanas </w:t>
      </w:r>
      <w:proofErr w:type="spellStart"/>
      <w:r w:rsidRPr="00BF055E">
        <w:rPr>
          <w:rFonts w:eastAsia="Calibri" w:cs="Times New Roman"/>
          <w:kern w:val="2"/>
          <w:szCs w:val="24"/>
          <w14:ligatures w14:val="standardContextual"/>
        </w:rPr>
        <w:t>izvērtējumu</w:t>
      </w:r>
      <w:proofErr w:type="spellEnd"/>
      <w:r w:rsidRPr="00BF055E">
        <w:rPr>
          <w:rFonts w:eastAsia="Calibri" w:cs="Times New Roman"/>
          <w:kern w:val="2"/>
          <w:szCs w:val="24"/>
          <w14:ligatures w14:val="standardContextual"/>
        </w:rPr>
        <w:t xml:space="preserve"> un uzraudzību. Vienlaikus sistēmas ieviešanai ārpus ESF atbalsta tvēruma un ilgtspējības nodrošināšanai būs nepieciešami papildu resursi. </w:t>
      </w:r>
    </w:p>
    <w:p w14:paraId="53C9B078"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Paplašinot pieaugušo izglītības pieejamību, atbalsts profesionālo kompetenču pilnveidei tiks nodrošināts 28 tūkst. nodarbināto, tostarp 14 tūkst. ar zemu izglītības līmeni. Lai veicinātu nozaru un darba devēju savu cilvēkresursu stratēģisku attīstību un plānošanu, tostarp ilgtermiņā, un nodrošinātu nepieciešamo atbalstu mācību vajadzību identificēšanai un īstenošanai, ir plānots attīstīt privātas-publiskās partnerības finansēšanas instrumentu "Prasmju fondi”, kas cita starpā veicinās kvalitatīvo un darba devēja prasībām atbilstošo mācību piedāvājumu konkurences apstākļos.</w:t>
      </w:r>
    </w:p>
    <w:p w14:paraId="7B83DB15"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b/>
          <w:bCs/>
          <w:kern w:val="2"/>
          <w:szCs w:val="24"/>
          <w14:ligatures w14:val="standardContextual"/>
        </w:rPr>
        <w:lastRenderedPageBreak/>
        <w:t xml:space="preserve">Zaļo prasmju </w:t>
      </w:r>
      <w:r w:rsidRPr="00BF055E">
        <w:rPr>
          <w:rFonts w:eastAsia="Calibri" w:cs="Times New Roman"/>
          <w:kern w:val="2"/>
          <w:szCs w:val="24"/>
          <w14:ligatures w14:val="standardContextual"/>
        </w:rPr>
        <w:t xml:space="preserve">attīstībai tiek īstenotas vairākas Taisnīgas pārkārtošanās fonda atbalsta programmas un pasākumi, piemēram, kūdras nozarē un saistītājās nozarēs nodarbināto prasmju paaugstināšana un atbalsts profesionālās kvalifikācijas iegūšanai, lai pielāgotos ekonomikas zaļās pārkārtošanās rezultātā radītajām darba tirgus vajadzībām, pašvaldību un reģionu speciālistu prasmju paaugstināšana </w:t>
      </w:r>
      <w:proofErr w:type="spellStart"/>
      <w:r w:rsidRPr="00BF055E">
        <w:rPr>
          <w:rFonts w:eastAsia="Calibri" w:cs="Times New Roman"/>
          <w:kern w:val="2"/>
          <w:szCs w:val="24"/>
          <w14:ligatures w14:val="standardContextual"/>
        </w:rPr>
        <w:t>klimatneitrālas</w:t>
      </w:r>
      <w:proofErr w:type="spellEnd"/>
      <w:r w:rsidRPr="00BF055E">
        <w:rPr>
          <w:rFonts w:eastAsia="Calibri" w:cs="Times New Roman"/>
          <w:kern w:val="2"/>
          <w:szCs w:val="24"/>
          <w14:ligatures w14:val="standardContextual"/>
        </w:rPr>
        <w:t xml:space="preserve"> ekonomikas un sociālekonomisko seku mazināšanas jomā u.c.</w:t>
      </w:r>
    </w:p>
    <w:p w14:paraId="0C78BFA0"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Lai attīstītu </w:t>
      </w:r>
      <w:r w:rsidRPr="00BF055E">
        <w:rPr>
          <w:rFonts w:eastAsia="Calibri" w:cs="Times New Roman"/>
          <w:b/>
          <w:bCs/>
          <w:kern w:val="2"/>
          <w:szCs w:val="24"/>
          <w14:ligatures w14:val="standardContextual"/>
        </w:rPr>
        <w:t>digitālās prasmes</w:t>
      </w:r>
      <w:r w:rsidRPr="00BF055E">
        <w:rPr>
          <w:rFonts w:eastAsia="Calibri" w:cs="Times New Roman"/>
          <w:kern w:val="2"/>
          <w:szCs w:val="24"/>
          <w14:ligatures w14:val="standardContextual"/>
        </w:rPr>
        <w:t xml:space="preserve">, Latvijas FSP ietver virkni pasākumu un reformu, kas tiek īstenotas gan ES fondu atbalsta programmu, gan Latvijas ANM plāna ietvaros. Šo pasākumu ietvaros tiks izstrādāta </w:t>
      </w:r>
      <w:proofErr w:type="spellStart"/>
      <w:r w:rsidRPr="00BF055E">
        <w:rPr>
          <w:rFonts w:eastAsia="Calibri" w:cs="Times New Roman"/>
          <w:kern w:val="2"/>
          <w:szCs w:val="24"/>
          <w14:ligatures w14:val="standardContextual"/>
        </w:rPr>
        <w:t>pašvadītas</w:t>
      </w:r>
      <w:proofErr w:type="spellEnd"/>
      <w:r w:rsidRPr="00BF055E">
        <w:rPr>
          <w:rFonts w:eastAsia="Calibri" w:cs="Times New Roman"/>
          <w:kern w:val="2"/>
          <w:szCs w:val="24"/>
          <w14:ligatures w14:val="standardContextual"/>
        </w:rPr>
        <w:t xml:space="preserve"> mācīšanās pieeja IKT speciālistu sagatavošanā, attīstītas sabiedrības digitālās </w:t>
      </w:r>
      <w:proofErr w:type="spellStart"/>
      <w:r w:rsidRPr="00BF055E">
        <w:rPr>
          <w:rFonts w:eastAsia="Calibri" w:cs="Times New Roman"/>
          <w:kern w:val="2"/>
          <w:szCs w:val="24"/>
          <w14:ligatures w14:val="standardContextual"/>
        </w:rPr>
        <w:t>pamatprasmes</w:t>
      </w:r>
      <w:proofErr w:type="spellEnd"/>
      <w:r w:rsidRPr="00BF055E">
        <w:rPr>
          <w:rFonts w:eastAsia="Calibri" w:cs="Times New Roman"/>
          <w:kern w:val="2"/>
          <w:szCs w:val="24"/>
          <w14:ligatures w14:val="standardContextual"/>
        </w:rPr>
        <w:t xml:space="preserve">, attīstīta un pilotēta individuālo mācību kontu pieeja, nodrošināta augsta līmeņa digitālo prasmju apguve, nodrošināta studiju procesa </w:t>
      </w:r>
      <w:proofErr w:type="spellStart"/>
      <w:r w:rsidRPr="00BF055E">
        <w:rPr>
          <w:rFonts w:eastAsia="Calibri" w:cs="Times New Roman"/>
          <w:kern w:val="2"/>
          <w:szCs w:val="24"/>
          <w14:ligatures w14:val="standardContextual"/>
        </w:rPr>
        <w:t>digitalizācija</w:t>
      </w:r>
      <w:proofErr w:type="spellEnd"/>
      <w:r w:rsidRPr="00BF055E">
        <w:rPr>
          <w:rFonts w:eastAsia="Calibri" w:cs="Times New Roman"/>
          <w:kern w:val="2"/>
          <w:szCs w:val="24"/>
          <w14:ligatures w14:val="standardContextual"/>
        </w:rPr>
        <w:t>, augstskolu studiju vides modernizācija, attīstītas jauniešu digitālās prasmes, mazināta digitālā plaisa sociāli neaizsargātajiem izglītojamajiem, pedagogu, tai skaitā pirmsskolas izglītības pedagogu, digitālo prasmju pilnveide u.c. pasākumi.</w:t>
      </w:r>
    </w:p>
    <w:p w14:paraId="0F5C0E82" w14:textId="54AF425B"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Izglītība un prasmes</w:t>
      </w:r>
    </w:p>
    <w:tbl>
      <w:tblPr>
        <w:tblW w:w="0" w:type="auto"/>
        <w:tblLook w:val="04A0" w:firstRow="1" w:lastRow="0" w:firstColumn="1" w:lastColumn="0" w:noHBand="0" w:noVBand="1"/>
      </w:tblPr>
      <w:tblGrid>
        <w:gridCol w:w="1861"/>
        <w:gridCol w:w="1839"/>
        <w:gridCol w:w="2739"/>
        <w:gridCol w:w="960"/>
        <w:gridCol w:w="1566"/>
        <w:gridCol w:w="1171"/>
        <w:gridCol w:w="783"/>
        <w:gridCol w:w="717"/>
        <w:gridCol w:w="1057"/>
        <w:gridCol w:w="895"/>
        <w:gridCol w:w="972"/>
      </w:tblGrid>
      <w:tr w:rsidR="00BF055E" w:rsidRPr="00BF055E" w14:paraId="60E803D3" w14:textId="77777777" w:rsidTr="003B1594">
        <w:trPr>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95B3D7"/>
            <w:vAlign w:val="center"/>
            <w:hideMark/>
          </w:tcPr>
          <w:p w14:paraId="59A5393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1839" w:type="dxa"/>
            <w:tcBorders>
              <w:top w:val="single" w:sz="4" w:space="0" w:color="auto"/>
              <w:left w:val="nil"/>
              <w:bottom w:val="single" w:sz="4" w:space="0" w:color="auto"/>
              <w:right w:val="single" w:sz="4" w:space="0" w:color="auto"/>
            </w:tcBorders>
            <w:shd w:val="clear" w:color="000000" w:fill="95B3D7"/>
            <w:vAlign w:val="center"/>
            <w:hideMark/>
          </w:tcPr>
          <w:p w14:paraId="3291B2D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739" w:type="dxa"/>
            <w:tcBorders>
              <w:top w:val="single" w:sz="4" w:space="0" w:color="auto"/>
              <w:left w:val="nil"/>
              <w:bottom w:val="single" w:sz="4" w:space="0" w:color="auto"/>
              <w:right w:val="single" w:sz="4" w:space="0" w:color="auto"/>
            </w:tcBorders>
            <w:shd w:val="clear" w:color="000000" w:fill="95B3D7"/>
            <w:vAlign w:val="center"/>
            <w:hideMark/>
          </w:tcPr>
          <w:p w14:paraId="1A8718E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960" w:type="dxa"/>
            <w:tcBorders>
              <w:top w:val="single" w:sz="4" w:space="0" w:color="auto"/>
              <w:left w:val="nil"/>
              <w:bottom w:val="single" w:sz="4" w:space="0" w:color="auto"/>
              <w:right w:val="single" w:sz="4" w:space="0" w:color="auto"/>
            </w:tcBorders>
            <w:shd w:val="clear" w:color="000000" w:fill="95B3D7"/>
            <w:vAlign w:val="center"/>
            <w:hideMark/>
          </w:tcPr>
          <w:p w14:paraId="4BD4441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668" w:type="dxa"/>
            <w:tcBorders>
              <w:top w:val="single" w:sz="4" w:space="0" w:color="auto"/>
              <w:left w:val="nil"/>
              <w:bottom w:val="single" w:sz="4" w:space="0" w:color="auto"/>
              <w:right w:val="single" w:sz="4" w:space="0" w:color="auto"/>
            </w:tcBorders>
            <w:shd w:val="clear" w:color="000000" w:fill="95B3D7"/>
            <w:vAlign w:val="center"/>
            <w:hideMark/>
          </w:tcPr>
          <w:p w14:paraId="29451A3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069" w:type="dxa"/>
            <w:tcBorders>
              <w:top w:val="single" w:sz="4" w:space="0" w:color="auto"/>
              <w:left w:val="nil"/>
              <w:bottom w:val="single" w:sz="4" w:space="0" w:color="auto"/>
              <w:right w:val="single" w:sz="4" w:space="0" w:color="auto"/>
            </w:tcBorders>
            <w:shd w:val="clear" w:color="000000" w:fill="95B3D7"/>
            <w:vAlign w:val="center"/>
            <w:hideMark/>
          </w:tcPr>
          <w:p w14:paraId="5B0AC2F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46E6263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ANM/ES budžets (MFF)</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065402F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6001828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34FA8BD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0AD322B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3181460F" w14:textId="77777777" w:rsidTr="003B1594">
        <w:trPr>
          <w:trHeight w:val="20"/>
          <w:tblHeader/>
        </w:trPr>
        <w:tc>
          <w:tcPr>
            <w:tcW w:w="0" w:type="auto"/>
            <w:gridSpan w:val="11"/>
            <w:tcBorders>
              <w:top w:val="single" w:sz="4" w:space="0" w:color="auto"/>
              <w:left w:val="single" w:sz="4" w:space="0" w:color="auto"/>
              <w:bottom w:val="single" w:sz="4" w:space="0" w:color="auto"/>
              <w:right w:val="single" w:sz="4" w:space="0" w:color="auto"/>
            </w:tcBorders>
            <w:shd w:val="clear" w:color="000000" w:fill="F2DCDB"/>
            <w:hideMark/>
          </w:tcPr>
          <w:p w14:paraId="3FE78FB7"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Izglītība un prasmes</w:t>
            </w:r>
          </w:p>
        </w:tc>
      </w:tr>
      <w:tr w:rsidR="00BF055E" w:rsidRPr="00BF055E" w14:paraId="348C69AC" w14:textId="77777777" w:rsidTr="003B1594">
        <w:trPr>
          <w:trHeight w:val="20"/>
        </w:trPr>
        <w:tc>
          <w:tcPr>
            <w:tcW w:w="0" w:type="auto"/>
            <w:gridSpan w:val="11"/>
            <w:tcBorders>
              <w:top w:val="single" w:sz="4" w:space="0" w:color="auto"/>
              <w:left w:val="single" w:sz="4" w:space="0" w:color="auto"/>
              <w:bottom w:val="single" w:sz="4" w:space="0" w:color="auto"/>
              <w:right w:val="single" w:sz="4" w:space="0" w:color="auto"/>
            </w:tcBorders>
            <w:shd w:val="clear" w:color="000000" w:fill="F2F2F2"/>
            <w:hideMark/>
          </w:tcPr>
          <w:p w14:paraId="47697A7A"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Kvalitatīva izglītība</w:t>
            </w:r>
          </w:p>
        </w:tc>
      </w:tr>
      <w:tr w:rsidR="00BF055E" w:rsidRPr="00BF055E" w14:paraId="6D2FC2B3"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09BEAC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ESF+ programma "Uzlabot izglītības un mācību sistēmu kvalitāti, </w:t>
            </w:r>
            <w:proofErr w:type="spellStart"/>
            <w:r w:rsidRPr="00BF055E">
              <w:rPr>
                <w:rFonts w:eastAsia="Times New Roman" w:cs="Times New Roman"/>
                <w:sz w:val="18"/>
                <w:szCs w:val="18"/>
                <w:lang w:eastAsia="lv-LV"/>
              </w:rPr>
              <w:t>iekļautību</w:t>
            </w:r>
            <w:proofErr w:type="spellEnd"/>
            <w:r w:rsidRPr="00BF055E">
              <w:rPr>
                <w:rFonts w:eastAsia="Times New Roman" w:cs="Times New Roman"/>
                <w:sz w:val="18"/>
                <w:szCs w:val="18"/>
                <w:lang w:eastAsia="lv-LV"/>
              </w:rPr>
              <w:t xml:space="preserve">, efektivitāti un nozīmīgumu darba tirgū, tostarp ar neformālās un </w:t>
            </w:r>
            <w:proofErr w:type="spellStart"/>
            <w:r w:rsidRPr="00BF055E">
              <w:rPr>
                <w:rFonts w:eastAsia="Times New Roman" w:cs="Times New Roman"/>
                <w:sz w:val="18"/>
                <w:szCs w:val="18"/>
                <w:lang w:eastAsia="lv-LV"/>
              </w:rPr>
              <w:t>ikdienējās</w:t>
            </w:r>
            <w:proofErr w:type="spellEnd"/>
            <w:r w:rsidRPr="00BF055E">
              <w:rPr>
                <w:rFonts w:eastAsia="Times New Roman" w:cs="Times New Roman"/>
                <w:sz w:val="18"/>
                <w:szCs w:val="18"/>
                <w:lang w:eastAsia="lv-LV"/>
              </w:rPr>
              <w:t xml:space="preserve"> mācīšanās validēšanas palīdzību, lai atbalstītu </w:t>
            </w:r>
            <w:proofErr w:type="spellStart"/>
            <w:r w:rsidRPr="00BF055E">
              <w:rPr>
                <w:rFonts w:eastAsia="Times New Roman" w:cs="Times New Roman"/>
                <w:sz w:val="18"/>
                <w:szCs w:val="18"/>
                <w:lang w:eastAsia="lv-LV"/>
              </w:rPr>
              <w:t>pamatkompetenču</w:t>
            </w:r>
            <w:proofErr w:type="spellEnd"/>
            <w:r w:rsidRPr="00BF055E">
              <w:rPr>
                <w:rFonts w:eastAsia="Times New Roman" w:cs="Times New Roman"/>
                <w:sz w:val="18"/>
                <w:szCs w:val="18"/>
                <w:lang w:eastAsia="lv-LV"/>
              </w:rPr>
              <w:t>, tostarp uzņēmējdarbības un digitālo prasmju, apguvi, un sekmējot duālo mācību sistēmu un māceklības ieviešanu" (4.2.2.4. pasākums)</w:t>
            </w:r>
          </w:p>
        </w:tc>
        <w:tc>
          <w:tcPr>
            <w:tcW w:w="1839" w:type="dxa"/>
            <w:tcBorders>
              <w:top w:val="nil"/>
              <w:left w:val="nil"/>
              <w:bottom w:val="single" w:sz="4" w:space="0" w:color="auto"/>
              <w:right w:val="single" w:sz="4" w:space="0" w:color="auto"/>
            </w:tcBorders>
            <w:shd w:val="clear" w:color="000000" w:fill="FFFFFF"/>
            <w:hideMark/>
          </w:tcPr>
          <w:p w14:paraId="72F31D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izglītības kvalitātes monitoringa sistēmas (turpmāk – IKMS) attīstība izglītības kvalitātes uzraudzībai, novērtēšanai un nodrošināšanai valsts, pašvaldības un izglītības iestādes līmenī un indivīda līmenī, kā arī datu </w:t>
            </w:r>
            <w:proofErr w:type="spellStart"/>
            <w:r w:rsidRPr="00BF055E">
              <w:rPr>
                <w:rFonts w:eastAsia="Times New Roman" w:cs="Times New Roman"/>
                <w:sz w:val="18"/>
                <w:szCs w:val="18"/>
                <w:lang w:eastAsia="lv-LV"/>
              </w:rPr>
              <w:t>pratības</w:t>
            </w:r>
            <w:proofErr w:type="spellEnd"/>
            <w:r w:rsidRPr="00BF055E">
              <w:rPr>
                <w:rFonts w:eastAsia="Times New Roman" w:cs="Times New Roman"/>
                <w:sz w:val="18"/>
                <w:szCs w:val="18"/>
                <w:lang w:eastAsia="lv-LV"/>
              </w:rPr>
              <w:t xml:space="preserve"> kapacitātes stiprināšana pilnvērtīgai IKMS lietošanai datos balstītiem lēmumiem izglītības kvalitātes uzraudzībai, novērtēšanai un nodrošināšanai</w:t>
            </w:r>
          </w:p>
        </w:tc>
        <w:tc>
          <w:tcPr>
            <w:tcW w:w="2739" w:type="dxa"/>
            <w:tcBorders>
              <w:top w:val="nil"/>
              <w:left w:val="nil"/>
              <w:bottom w:val="single" w:sz="4" w:space="0" w:color="auto"/>
              <w:right w:val="single" w:sz="4" w:space="0" w:color="auto"/>
            </w:tcBorders>
            <w:shd w:val="clear" w:color="000000" w:fill="FFFFFF"/>
            <w:hideMark/>
          </w:tcPr>
          <w:p w14:paraId="73BAAC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2024.g. 3.ceturksnis; 2) Projektu iesniegumu atlases izsludināšana 2024.g. 3.ceturksnis/ 2024.g. 4.ceturksnis.</w:t>
            </w:r>
          </w:p>
        </w:tc>
        <w:tc>
          <w:tcPr>
            <w:tcW w:w="960" w:type="dxa"/>
            <w:tcBorders>
              <w:top w:val="nil"/>
              <w:left w:val="nil"/>
              <w:bottom w:val="single" w:sz="4" w:space="0" w:color="auto"/>
              <w:right w:val="single" w:sz="4" w:space="0" w:color="auto"/>
            </w:tcBorders>
            <w:shd w:val="clear" w:color="000000" w:fill="FFFFFF"/>
            <w:hideMark/>
          </w:tcPr>
          <w:p w14:paraId="5B65DB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w:t>
            </w:r>
          </w:p>
        </w:tc>
        <w:tc>
          <w:tcPr>
            <w:tcW w:w="1668" w:type="dxa"/>
            <w:tcBorders>
              <w:top w:val="nil"/>
              <w:left w:val="nil"/>
              <w:bottom w:val="single" w:sz="4" w:space="0" w:color="auto"/>
              <w:right w:val="single" w:sz="4" w:space="0" w:color="auto"/>
            </w:tcBorders>
            <w:shd w:val="clear" w:color="auto" w:fill="auto"/>
            <w:hideMark/>
          </w:tcPr>
          <w:p w14:paraId="6DA30422" w14:textId="2D5A7159"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 kopējais finansējums 20 786 378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ESF+ 17 668 421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un VB – 3 117 957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21E27A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000000" w:fill="FFFFFF"/>
            <w:hideMark/>
          </w:tcPr>
          <w:p w14:paraId="088234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0627CE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2023(4); 2024(3)</w:t>
            </w:r>
          </w:p>
        </w:tc>
        <w:tc>
          <w:tcPr>
            <w:tcW w:w="0" w:type="auto"/>
            <w:tcBorders>
              <w:top w:val="nil"/>
              <w:left w:val="nil"/>
              <w:bottom w:val="single" w:sz="4" w:space="0" w:color="auto"/>
              <w:right w:val="single" w:sz="4" w:space="0" w:color="auto"/>
            </w:tcBorders>
            <w:shd w:val="clear" w:color="000000" w:fill="FFFFFF"/>
            <w:hideMark/>
          </w:tcPr>
          <w:p w14:paraId="40283D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62C4111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16D10EC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061A47B9"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5C4D3C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ESF+ programma "Sekmēt NEET jauniešu integrēšanos izglītībā un nodarbinātībā" (4.2.3.4..pasākums)</w:t>
            </w:r>
          </w:p>
        </w:tc>
        <w:tc>
          <w:tcPr>
            <w:tcW w:w="1839" w:type="dxa"/>
            <w:tcBorders>
              <w:top w:val="nil"/>
              <w:left w:val="nil"/>
              <w:bottom w:val="single" w:sz="4" w:space="0" w:color="auto"/>
              <w:right w:val="single" w:sz="4" w:space="0" w:color="auto"/>
            </w:tcBorders>
            <w:shd w:val="clear" w:color="000000" w:fill="FFFFFF"/>
            <w:hideMark/>
          </w:tcPr>
          <w:p w14:paraId="1A25FE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 mērķis ir attīstīt jauniešu, kuri pirms iesaistes projektā ir vecumā no 15 līdz 29 gadiem (ieskaitot) un kuri nemācās, nestrādā un neapgūst arodu un nav reģistrēti Nodarbinātības valsts aģentūrā kā bezdarbnieki, prasmes un veicināt viņu iesaisti izglītībā un mācību pasākumos, tai skaitā aroda apguvē pie amata meistara, nodarbinātībā vai Nodarbinātības valsts aģentūras īstenotajos pasākumos, kā arī nevalstisko organizāciju vai jauniešu centru darbībā.</w:t>
            </w:r>
          </w:p>
        </w:tc>
        <w:tc>
          <w:tcPr>
            <w:tcW w:w="2739" w:type="dxa"/>
            <w:tcBorders>
              <w:top w:val="nil"/>
              <w:left w:val="nil"/>
              <w:bottom w:val="single" w:sz="4" w:space="0" w:color="auto"/>
              <w:right w:val="single" w:sz="4" w:space="0" w:color="auto"/>
            </w:tcBorders>
            <w:shd w:val="clear" w:color="000000" w:fill="FFFFFF"/>
            <w:hideMark/>
          </w:tcPr>
          <w:p w14:paraId="3E9C72E8" w14:textId="01BB3349"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1)MK noteikumi apstiprināti 2023.g. IV cet.</w:t>
            </w:r>
            <w:r w:rsidRPr="00BF055E">
              <w:rPr>
                <w:rFonts w:eastAsia="Times New Roman" w:cs="Times New Roman"/>
                <w:sz w:val="18"/>
                <w:szCs w:val="18"/>
                <w:lang w:eastAsia="lv-LV"/>
              </w:rPr>
              <w:br/>
              <w:t>2) Projekts uzsākts 2024.g. II cet.</w:t>
            </w:r>
          </w:p>
        </w:tc>
        <w:tc>
          <w:tcPr>
            <w:tcW w:w="960" w:type="dxa"/>
            <w:tcBorders>
              <w:top w:val="nil"/>
              <w:left w:val="nil"/>
              <w:bottom w:val="single" w:sz="4" w:space="0" w:color="auto"/>
              <w:right w:val="single" w:sz="4" w:space="0" w:color="auto"/>
            </w:tcBorders>
            <w:shd w:val="clear" w:color="000000" w:fill="FFFFFF"/>
            <w:hideMark/>
          </w:tcPr>
          <w:p w14:paraId="12F0F37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2024.-2029.gads</w:t>
            </w:r>
          </w:p>
        </w:tc>
        <w:tc>
          <w:tcPr>
            <w:tcW w:w="1668" w:type="dxa"/>
            <w:tcBorders>
              <w:top w:val="nil"/>
              <w:left w:val="nil"/>
              <w:bottom w:val="single" w:sz="4" w:space="0" w:color="auto"/>
              <w:right w:val="single" w:sz="4" w:space="0" w:color="auto"/>
            </w:tcBorders>
            <w:shd w:val="clear" w:color="auto" w:fill="auto"/>
            <w:hideMark/>
          </w:tcPr>
          <w:p w14:paraId="40B802A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Plānotais kopējais finansējums ir 6 525 000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(tai skaitā elastības finansējums 1 029 482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tai skaitā ESF + finansējums – 5 546250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875 060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un valsts budžeta līdzfinansējums – 978 750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154 422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6E49A66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IZM/JSPA</w:t>
            </w:r>
          </w:p>
        </w:tc>
        <w:tc>
          <w:tcPr>
            <w:tcW w:w="0" w:type="auto"/>
            <w:tcBorders>
              <w:top w:val="nil"/>
              <w:left w:val="nil"/>
              <w:bottom w:val="single" w:sz="4" w:space="0" w:color="auto"/>
              <w:right w:val="single" w:sz="4" w:space="0" w:color="auto"/>
            </w:tcBorders>
            <w:shd w:val="clear" w:color="000000" w:fill="FFFFFF"/>
            <w:hideMark/>
          </w:tcPr>
          <w:p w14:paraId="1A8124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6758372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2023(4); 2024(3)</w:t>
            </w:r>
          </w:p>
        </w:tc>
        <w:tc>
          <w:tcPr>
            <w:tcW w:w="0" w:type="auto"/>
            <w:tcBorders>
              <w:top w:val="nil"/>
              <w:left w:val="nil"/>
              <w:bottom w:val="single" w:sz="4" w:space="0" w:color="auto"/>
              <w:right w:val="single" w:sz="4" w:space="0" w:color="auto"/>
            </w:tcBorders>
            <w:shd w:val="clear" w:color="000000" w:fill="FFFFFF"/>
            <w:hideMark/>
          </w:tcPr>
          <w:p w14:paraId="3E491B8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15B1D8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62D0FA2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6E7CFDB0"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393E40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ESF+ programma "Uzlabot izglītības un mācību sistēmu kvalitāti, </w:t>
            </w:r>
            <w:proofErr w:type="spellStart"/>
            <w:r w:rsidRPr="00BF055E">
              <w:rPr>
                <w:rFonts w:eastAsia="Times New Roman" w:cs="Times New Roman"/>
                <w:sz w:val="18"/>
                <w:szCs w:val="18"/>
                <w:lang w:eastAsia="lv-LV"/>
              </w:rPr>
              <w:t>iekļautību</w:t>
            </w:r>
            <w:proofErr w:type="spellEnd"/>
            <w:r w:rsidRPr="00BF055E">
              <w:rPr>
                <w:rFonts w:eastAsia="Times New Roman" w:cs="Times New Roman"/>
                <w:sz w:val="18"/>
                <w:szCs w:val="18"/>
                <w:lang w:eastAsia="lv-LV"/>
              </w:rPr>
              <w:t xml:space="preserve">, efektivitāti un nozīmīgumu darba tirgū, tostarp ar neformālās un </w:t>
            </w:r>
            <w:proofErr w:type="spellStart"/>
            <w:r w:rsidRPr="00BF055E">
              <w:rPr>
                <w:rFonts w:eastAsia="Times New Roman" w:cs="Times New Roman"/>
                <w:sz w:val="18"/>
                <w:szCs w:val="18"/>
                <w:lang w:eastAsia="lv-LV"/>
              </w:rPr>
              <w:t>ikdienējās</w:t>
            </w:r>
            <w:proofErr w:type="spellEnd"/>
            <w:r w:rsidRPr="00BF055E">
              <w:rPr>
                <w:rFonts w:eastAsia="Times New Roman" w:cs="Times New Roman"/>
                <w:sz w:val="18"/>
                <w:szCs w:val="18"/>
                <w:lang w:eastAsia="lv-LV"/>
              </w:rPr>
              <w:t xml:space="preserve"> mācīšanās validēšanas palīdzību, lai atbalstītu </w:t>
            </w:r>
            <w:proofErr w:type="spellStart"/>
            <w:r w:rsidRPr="00BF055E">
              <w:rPr>
                <w:rFonts w:eastAsia="Times New Roman" w:cs="Times New Roman"/>
                <w:sz w:val="18"/>
                <w:szCs w:val="18"/>
                <w:lang w:eastAsia="lv-LV"/>
              </w:rPr>
              <w:t>pamatkompetenču</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lastRenderedPageBreak/>
              <w:t>tostarp uzņēmējdarbības un digitālo prasmju, apguvi, un sekmējot duālo mācību sistēmu un māceklības ieviešanu" (4.2.2.5. pasākums)</w:t>
            </w:r>
          </w:p>
        </w:tc>
        <w:tc>
          <w:tcPr>
            <w:tcW w:w="1839" w:type="dxa"/>
            <w:tcBorders>
              <w:top w:val="nil"/>
              <w:left w:val="nil"/>
              <w:bottom w:val="single" w:sz="4" w:space="0" w:color="auto"/>
              <w:right w:val="single" w:sz="4" w:space="0" w:color="auto"/>
            </w:tcBorders>
            <w:shd w:val="clear" w:color="000000" w:fill="FFFFFF"/>
            <w:hideMark/>
          </w:tcPr>
          <w:p w14:paraId="244116D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nodrošināt dalību starptautisko organizāciju īstenotajos starptautiskajos izglītības pētījumos un programmās izglītības politikas izstrādei un </w:t>
            </w:r>
            <w:proofErr w:type="spellStart"/>
            <w:r w:rsidRPr="00BF055E">
              <w:rPr>
                <w:rFonts w:eastAsia="Times New Roman" w:cs="Times New Roman"/>
                <w:sz w:val="18"/>
                <w:szCs w:val="18"/>
                <w:lang w:eastAsia="lv-LV"/>
              </w:rPr>
              <w:t>rīcībpolitikas</w:t>
            </w:r>
            <w:proofErr w:type="spellEnd"/>
            <w:r w:rsidRPr="00BF055E">
              <w:rPr>
                <w:rFonts w:eastAsia="Times New Roman" w:cs="Times New Roman"/>
                <w:sz w:val="18"/>
                <w:szCs w:val="18"/>
                <w:lang w:eastAsia="lv-LV"/>
              </w:rPr>
              <w:t xml:space="preserve"> ieviešanas un ietekmes izvērtēšanai.</w:t>
            </w:r>
          </w:p>
        </w:tc>
        <w:tc>
          <w:tcPr>
            <w:tcW w:w="2739" w:type="dxa"/>
            <w:tcBorders>
              <w:top w:val="nil"/>
              <w:left w:val="nil"/>
              <w:bottom w:val="single" w:sz="4" w:space="0" w:color="auto"/>
              <w:right w:val="single" w:sz="4" w:space="0" w:color="auto"/>
            </w:tcBorders>
            <w:shd w:val="clear" w:color="000000" w:fill="FFFFFF"/>
            <w:hideMark/>
          </w:tcPr>
          <w:p w14:paraId="7016B1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MK noteikumi apstiprināti 04.07.24. Notiek projekta īstenošana</w:t>
            </w:r>
          </w:p>
        </w:tc>
        <w:tc>
          <w:tcPr>
            <w:tcW w:w="960" w:type="dxa"/>
            <w:tcBorders>
              <w:top w:val="nil"/>
              <w:left w:val="nil"/>
              <w:bottom w:val="single" w:sz="4" w:space="0" w:color="auto"/>
              <w:right w:val="single" w:sz="4" w:space="0" w:color="auto"/>
            </w:tcBorders>
            <w:shd w:val="clear" w:color="000000" w:fill="FFFFFF"/>
            <w:hideMark/>
          </w:tcPr>
          <w:p w14:paraId="319B52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2022-2029</w:t>
            </w:r>
          </w:p>
        </w:tc>
        <w:tc>
          <w:tcPr>
            <w:tcW w:w="1668" w:type="dxa"/>
            <w:tcBorders>
              <w:top w:val="nil"/>
              <w:left w:val="nil"/>
              <w:bottom w:val="single" w:sz="4" w:space="0" w:color="auto"/>
              <w:right w:val="single" w:sz="4" w:space="0" w:color="auto"/>
            </w:tcBorders>
            <w:shd w:val="clear" w:color="auto" w:fill="auto"/>
            <w:hideMark/>
          </w:tcPr>
          <w:p w14:paraId="2EAB4A8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 ietvaros plānotais kopējais finansējums ir 6 835 606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tai skaitā ESF+ finansējums 5 810 265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un valsts budžeta finansējums 1 025 341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7C57FF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000000" w:fill="FFFFFF"/>
            <w:hideMark/>
          </w:tcPr>
          <w:p w14:paraId="56FB649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054F71E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2023(4); 2024(3)</w:t>
            </w:r>
          </w:p>
        </w:tc>
        <w:tc>
          <w:tcPr>
            <w:tcW w:w="0" w:type="auto"/>
            <w:tcBorders>
              <w:top w:val="nil"/>
              <w:left w:val="nil"/>
              <w:bottom w:val="single" w:sz="4" w:space="0" w:color="auto"/>
              <w:right w:val="single" w:sz="4" w:space="0" w:color="auto"/>
            </w:tcBorders>
            <w:shd w:val="clear" w:color="000000" w:fill="FFFFFF"/>
            <w:hideMark/>
          </w:tcPr>
          <w:p w14:paraId="53D0FA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132D26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462AAEB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1460E491"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C1D420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ERAF programma "“Izglītības iestāžu nodrošinājums pilnveidotā vispārējās izglītības satura kvalitatīvai ieviešanai pirmsskolas izglītības pakāpē” (4.2.1.4.pasākums)</w:t>
            </w:r>
          </w:p>
        </w:tc>
        <w:tc>
          <w:tcPr>
            <w:tcW w:w="1839" w:type="dxa"/>
            <w:tcBorders>
              <w:top w:val="nil"/>
              <w:left w:val="nil"/>
              <w:bottom w:val="single" w:sz="4" w:space="0" w:color="auto"/>
              <w:right w:val="single" w:sz="4" w:space="0" w:color="auto"/>
            </w:tcBorders>
            <w:shd w:val="clear" w:color="000000" w:fill="FFFFFF"/>
            <w:hideMark/>
          </w:tcPr>
          <w:p w14:paraId="197AA8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Uzlabot izglītības iestāžu nodrošinājumu ar resursiem (mācību līdzekļi, izglītības tehnoloģijas un aprīkojums, sporta un ārpustelpu aktivitāšu inventārs)</w:t>
            </w:r>
          </w:p>
        </w:tc>
        <w:tc>
          <w:tcPr>
            <w:tcW w:w="2739" w:type="dxa"/>
            <w:tcBorders>
              <w:top w:val="nil"/>
              <w:left w:val="nil"/>
              <w:bottom w:val="single" w:sz="4" w:space="0" w:color="auto"/>
              <w:right w:val="single" w:sz="4" w:space="0" w:color="auto"/>
            </w:tcBorders>
            <w:shd w:val="clear" w:color="000000" w:fill="FFFFFF"/>
            <w:hideMark/>
          </w:tcPr>
          <w:p w14:paraId="118D428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1)MK noteikumu apstiprināšana (2024.g.IV cet.)</w:t>
            </w:r>
            <w:r w:rsidRPr="00BF055E">
              <w:rPr>
                <w:rFonts w:eastAsia="Times New Roman" w:cs="Times New Roman"/>
                <w:sz w:val="18"/>
                <w:szCs w:val="18"/>
                <w:lang w:eastAsia="lv-LV"/>
              </w:rPr>
              <w:br/>
              <w:t>2) Projekta uzsākšana (2025.g. 1. pusgads)</w:t>
            </w:r>
          </w:p>
        </w:tc>
        <w:tc>
          <w:tcPr>
            <w:tcW w:w="960" w:type="dxa"/>
            <w:tcBorders>
              <w:top w:val="nil"/>
              <w:left w:val="nil"/>
              <w:bottom w:val="single" w:sz="4" w:space="0" w:color="auto"/>
              <w:right w:val="single" w:sz="4" w:space="0" w:color="auto"/>
            </w:tcBorders>
            <w:shd w:val="clear" w:color="000000" w:fill="FFFFFF"/>
            <w:hideMark/>
          </w:tcPr>
          <w:p w14:paraId="733E06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2025.-2026.gads</w:t>
            </w:r>
          </w:p>
        </w:tc>
        <w:tc>
          <w:tcPr>
            <w:tcW w:w="1668" w:type="dxa"/>
            <w:tcBorders>
              <w:top w:val="nil"/>
              <w:left w:val="nil"/>
              <w:bottom w:val="single" w:sz="4" w:space="0" w:color="auto"/>
              <w:right w:val="single" w:sz="4" w:space="0" w:color="auto"/>
            </w:tcBorders>
            <w:shd w:val="clear" w:color="auto" w:fill="auto"/>
            <w:hideMark/>
          </w:tcPr>
          <w:p w14:paraId="2D7A95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Plānotais kopējais attiecināmais finansējums ir 3 858 774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578 816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tai skaitā ERAF finansējums 3 279 958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491 994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ne mazāk kā 578 816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86 822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52B447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 /VISC</w:t>
            </w:r>
          </w:p>
        </w:tc>
        <w:tc>
          <w:tcPr>
            <w:tcW w:w="0" w:type="auto"/>
            <w:tcBorders>
              <w:top w:val="nil"/>
              <w:left w:val="nil"/>
              <w:bottom w:val="single" w:sz="4" w:space="0" w:color="auto"/>
              <w:right w:val="single" w:sz="4" w:space="0" w:color="auto"/>
            </w:tcBorders>
            <w:shd w:val="clear" w:color="000000" w:fill="FFFFFF"/>
            <w:hideMark/>
          </w:tcPr>
          <w:p w14:paraId="691D1E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1D181D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4136DD4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0D38A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7E656F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7713CBFB"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642D48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ERAF programma "Izglītības iestāžu nodrošinājums pilnveidotā vispārējās izglītības satura kvalitatīvai ieviešanai pamata un vidējās izglītības pakāpē" </w:t>
            </w:r>
            <w:r w:rsidRPr="00BF055E">
              <w:rPr>
                <w:rFonts w:eastAsia="Times New Roman" w:cs="Times New Roman"/>
                <w:sz w:val="18"/>
                <w:szCs w:val="18"/>
                <w:lang w:eastAsia="lv-LV"/>
              </w:rPr>
              <w:lastRenderedPageBreak/>
              <w:t>(4.2.1.5.pasākuma 2.kārta)</w:t>
            </w:r>
          </w:p>
        </w:tc>
        <w:tc>
          <w:tcPr>
            <w:tcW w:w="1839" w:type="dxa"/>
            <w:tcBorders>
              <w:top w:val="nil"/>
              <w:left w:val="nil"/>
              <w:bottom w:val="single" w:sz="4" w:space="0" w:color="auto"/>
              <w:right w:val="single" w:sz="4" w:space="0" w:color="auto"/>
            </w:tcBorders>
            <w:shd w:val="clear" w:color="000000" w:fill="FFFFFF"/>
            <w:hideMark/>
          </w:tcPr>
          <w:p w14:paraId="384C98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Uzlabot izglītības iestāžu infrastruktūru, t.sk. izveidot vai atjaunot STEM priekšmetu kabinetus</w:t>
            </w:r>
          </w:p>
        </w:tc>
        <w:tc>
          <w:tcPr>
            <w:tcW w:w="2739" w:type="dxa"/>
            <w:tcBorders>
              <w:top w:val="nil"/>
              <w:left w:val="nil"/>
              <w:bottom w:val="single" w:sz="4" w:space="0" w:color="auto"/>
              <w:right w:val="single" w:sz="4" w:space="0" w:color="auto"/>
            </w:tcBorders>
            <w:shd w:val="clear" w:color="000000" w:fill="FFFFFF"/>
            <w:hideMark/>
          </w:tcPr>
          <w:p w14:paraId="6D81AE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Projekta otrās atlases kārtas MK noteikumu projekta apstiprināšana (2024.gada 4.cetursksnis); 2) Projekta piektās atlases kārtas izsludināšana (2025.gada 1.ceturksnis)</w:t>
            </w:r>
          </w:p>
        </w:tc>
        <w:tc>
          <w:tcPr>
            <w:tcW w:w="960" w:type="dxa"/>
            <w:tcBorders>
              <w:top w:val="nil"/>
              <w:left w:val="nil"/>
              <w:bottom w:val="single" w:sz="4" w:space="0" w:color="auto"/>
              <w:right w:val="single" w:sz="4" w:space="0" w:color="auto"/>
            </w:tcBorders>
            <w:shd w:val="clear" w:color="000000" w:fill="FFFFFF"/>
            <w:hideMark/>
          </w:tcPr>
          <w:p w14:paraId="231E903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2025.-2027.g.</w:t>
            </w:r>
          </w:p>
        </w:tc>
        <w:tc>
          <w:tcPr>
            <w:tcW w:w="1668" w:type="dxa"/>
            <w:tcBorders>
              <w:top w:val="nil"/>
              <w:left w:val="nil"/>
              <w:bottom w:val="single" w:sz="4" w:space="0" w:color="auto"/>
              <w:right w:val="single" w:sz="4" w:space="0" w:color="auto"/>
            </w:tcBorders>
            <w:shd w:val="clear" w:color="auto" w:fill="auto"/>
            <w:hideMark/>
          </w:tcPr>
          <w:p w14:paraId="668F0A0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finansējums, neizdalot investīcijas STEM: 38 886 399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ERAF 33 053 439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w:t>
            </w:r>
            <w:r w:rsidRPr="00BF055E">
              <w:rPr>
                <w:rFonts w:eastAsia="Times New Roman" w:cs="Times New Roman"/>
                <w:sz w:val="18"/>
                <w:szCs w:val="18"/>
                <w:lang w:eastAsia="lv-LV"/>
              </w:rPr>
              <w:lastRenderedPageBreak/>
              <w:t xml:space="preserve">pašvaldību budžeta līdzfinansējums 5 832 960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187FD6E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w:t>
            </w:r>
          </w:p>
        </w:tc>
        <w:tc>
          <w:tcPr>
            <w:tcW w:w="0" w:type="auto"/>
            <w:tcBorders>
              <w:top w:val="nil"/>
              <w:left w:val="nil"/>
              <w:bottom w:val="single" w:sz="4" w:space="0" w:color="auto"/>
              <w:right w:val="single" w:sz="4" w:space="0" w:color="auto"/>
            </w:tcBorders>
            <w:shd w:val="clear" w:color="000000" w:fill="FFFFFF"/>
            <w:hideMark/>
          </w:tcPr>
          <w:p w14:paraId="7B633B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28F414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36D0452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6EFA13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0ACD0A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3A972252"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D8544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ERAF programma "Infrastruktūras un mācību vides pilnveide efektīvas, kvalitatīvas un mūsdienīgas izglītības īstenošanai speciālās izglītības iestādēs" (4.2.1.3.pasākums)</w:t>
            </w:r>
          </w:p>
        </w:tc>
        <w:tc>
          <w:tcPr>
            <w:tcW w:w="1839" w:type="dxa"/>
            <w:tcBorders>
              <w:top w:val="nil"/>
              <w:left w:val="nil"/>
              <w:bottom w:val="single" w:sz="4" w:space="0" w:color="auto"/>
              <w:right w:val="single" w:sz="4" w:space="0" w:color="auto"/>
            </w:tcBorders>
            <w:shd w:val="clear" w:color="000000" w:fill="FFFFFF"/>
            <w:hideMark/>
          </w:tcPr>
          <w:p w14:paraId="0CA11C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Speciālās izglītības iestāžu mācību vides uzlabošana, iepriekš veicot speciālās izglītības iestāžu tīkla sakārtošanu.</w:t>
            </w:r>
          </w:p>
        </w:tc>
        <w:tc>
          <w:tcPr>
            <w:tcW w:w="2739" w:type="dxa"/>
            <w:tcBorders>
              <w:top w:val="nil"/>
              <w:left w:val="nil"/>
              <w:bottom w:val="single" w:sz="4" w:space="0" w:color="auto"/>
              <w:right w:val="single" w:sz="4" w:space="0" w:color="auto"/>
            </w:tcBorders>
            <w:shd w:val="clear" w:color="000000" w:fill="FFFFFF"/>
            <w:hideMark/>
          </w:tcPr>
          <w:p w14:paraId="1BDE3A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(14.11.2023); 2) Projektu iesniegumu atlases uzsākšana (08.03.2024).</w:t>
            </w:r>
          </w:p>
        </w:tc>
        <w:tc>
          <w:tcPr>
            <w:tcW w:w="960" w:type="dxa"/>
            <w:tcBorders>
              <w:top w:val="nil"/>
              <w:left w:val="nil"/>
              <w:bottom w:val="single" w:sz="4" w:space="0" w:color="auto"/>
              <w:right w:val="single" w:sz="4" w:space="0" w:color="auto"/>
            </w:tcBorders>
            <w:shd w:val="clear" w:color="000000" w:fill="FFFFFF"/>
            <w:hideMark/>
          </w:tcPr>
          <w:p w14:paraId="377670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w:t>
            </w:r>
          </w:p>
        </w:tc>
        <w:tc>
          <w:tcPr>
            <w:tcW w:w="1668" w:type="dxa"/>
            <w:tcBorders>
              <w:top w:val="nil"/>
              <w:left w:val="nil"/>
              <w:bottom w:val="single" w:sz="4" w:space="0" w:color="auto"/>
              <w:right w:val="single" w:sz="4" w:space="0" w:color="auto"/>
            </w:tcBorders>
            <w:shd w:val="clear" w:color="auto" w:fill="auto"/>
            <w:hideMark/>
          </w:tcPr>
          <w:p w14:paraId="55D431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finansējums: 17 400 000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ERAF 14 790 000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pašvaldību budžeta līdzfinansējums 2 610 000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4887D1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000000" w:fill="FFFFFF"/>
            <w:hideMark/>
          </w:tcPr>
          <w:p w14:paraId="1D7D0C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615AD40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4860D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55B46D5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05D43F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48468F8A"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530C87AB" w14:textId="2BB52225"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investīcija "Izglītības iestāžu infrastruktūras pilnveide un aprīkošana" (3.1.1.5.i investīcija)</w:t>
            </w:r>
          </w:p>
        </w:tc>
        <w:tc>
          <w:tcPr>
            <w:tcW w:w="1839" w:type="dxa"/>
            <w:tcBorders>
              <w:top w:val="nil"/>
              <w:left w:val="nil"/>
              <w:bottom w:val="single" w:sz="4" w:space="0" w:color="auto"/>
              <w:right w:val="single" w:sz="4" w:space="0" w:color="auto"/>
            </w:tcBorders>
            <w:shd w:val="clear" w:color="000000" w:fill="FFFFFF"/>
            <w:hideMark/>
          </w:tcPr>
          <w:p w14:paraId="22BD89D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Mācību vides uzlabošana visaptveroša pašvaldību izglītības iestāžu tīkla sakārtošanas rezultātā izveidotās pamatskolās, tādējādi veicinot kvalitatīvas izglītības ieguvi ārpus novadu pašvaldību administratīvajiem centriem.</w:t>
            </w:r>
          </w:p>
        </w:tc>
        <w:tc>
          <w:tcPr>
            <w:tcW w:w="2739" w:type="dxa"/>
            <w:tcBorders>
              <w:top w:val="nil"/>
              <w:left w:val="nil"/>
              <w:bottom w:val="single" w:sz="4" w:space="0" w:color="auto"/>
              <w:right w:val="single" w:sz="4" w:space="0" w:color="auto"/>
            </w:tcBorders>
            <w:shd w:val="clear" w:color="000000" w:fill="FFFFFF"/>
            <w:hideMark/>
          </w:tcPr>
          <w:p w14:paraId="5C5D7A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(04.10.2022); 2) Projektu iesniegumu atlases uzsākšana (24.12.2023).</w:t>
            </w:r>
          </w:p>
        </w:tc>
        <w:tc>
          <w:tcPr>
            <w:tcW w:w="960" w:type="dxa"/>
            <w:tcBorders>
              <w:top w:val="nil"/>
              <w:left w:val="nil"/>
              <w:bottom w:val="single" w:sz="4" w:space="0" w:color="auto"/>
              <w:right w:val="single" w:sz="4" w:space="0" w:color="auto"/>
            </w:tcBorders>
            <w:shd w:val="clear" w:color="000000" w:fill="FFFFFF"/>
            <w:hideMark/>
          </w:tcPr>
          <w:p w14:paraId="093672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2023-2026</w:t>
            </w:r>
          </w:p>
        </w:tc>
        <w:tc>
          <w:tcPr>
            <w:tcW w:w="1668" w:type="dxa"/>
            <w:tcBorders>
              <w:top w:val="nil"/>
              <w:left w:val="nil"/>
              <w:bottom w:val="single" w:sz="4" w:space="0" w:color="auto"/>
              <w:right w:val="single" w:sz="4" w:space="0" w:color="auto"/>
            </w:tcBorders>
            <w:shd w:val="clear" w:color="auto" w:fill="auto"/>
            <w:hideMark/>
          </w:tcPr>
          <w:p w14:paraId="08E36197" w14:textId="6CFF314B"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kopējais finansējums: 38 587 794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31 890 739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pašvaldību budžeta līdzfinansējums 6 697 055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162384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auto" w:fill="auto"/>
            <w:hideMark/>
          </w:tcPr>
          <w:p w14:paraId="6B9FB1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auto" w:fill="auto"/>
            <w:hideMark/>
          </w:tcPr>
          <w:p w14:paraId="686FAE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1F7EE7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628D0BB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58080F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2DC118CA"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55FD814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ESF+ programma "Mācību procesa kvalitātes pilnveide, īstenojot pedagogu profesionālās darbības atbalsta sistēmas attīstību, izglītojamo izcilības aktivitāšu nodrošināšanu un metodiskā atbalsta materiālu izstrādi </w:t>
            </w:r>
            <w:r w:rsidRPr="00BF055E">
              <w:rPr>
                <w:rFonts w:eastAsia="Times New Roman" w:cs="Times New Roman"/>
                <w:sz w:val="18"/>
                <w:szCs w:val="18"/>
                <w:lang w:eastAsia="lv-LV"/>
              </w:rPr>
              <w:lastRenderedPageBreak/>
              <w:t>pedagogam" (4.2.2.3. pasākums)</w:t>
            </w:r>
          </w:p>
        </w:tc>
        <w:tc>
          <w:tcPr>
            <w:tcW w:w="1839" w:type="dxa"/>
            <w:tcBorders>
              <w:top w:val="nil"/>
              <w:left w:val="nil"/>
              <w:bottom w:val="single" w:sz="4" w:space="0" w:color="auto"/>
              <w:right w:val="single" w:sz="4" w:space="0" w:color="auto"/>
            </w:tcBorders>
            <w:shd w:val="clear" w:color="auto" w:fill="auto"/>
            <w:hideMark/>
          </w:tcPr>
          <w:p w14:paraId="7954E9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Izveidot un attīstīt vienotu un stratēģiski pārraudzītu profesionālā atbalsta sistēmu valsts, pašvaldību un izglītības iestāžu līmenī mācību procesa kvalitātes pilnveidei vispārējā un profesionālā </w:t>
            </w:r>
            <w:r w:rsidRPr="00BF055E">
              <w:rPr>
                <w:rFonts w:eastAsia="Times New Roman" w:cs="Times New Roman"/>
                <w:sz w:val="18"/>
                <w:szCs w:val="18"/>
                <w:lang w:eastAsia="lv-LV"/>
              </w:rPr>
              <w:lastRenderedPageBreak/>
              <w:t xml:space="preserve">izglītībā, veicināt izglītojamo izcilību un nodrošināt metodiskā atbalsta materiālus pedagogiem. Pasākuma laikā pedagogiem (ietverot dažādu izglītības  pakāpju un izglītības iestāžu veidu pedagogus) tiks nodrošināts profesionālais atbalsts jautājumos, kas saistīti ar mācību priekšmeta metodiku un didaktiku, dažādu skolēnu mācīšanās vajadzībām, digitālo </w:t>
            </w:r>
            <w:proofErr w:type="spellStart"/>
            <w:r w:rsidRPr="00BF055E">
              <w:rPr>
                <w:rFonts w:eastAsia="Times New Roman" w:cs="Times New Roman"/>
                <w:sz w:val="18"/>
                <w:szCs w:val="18"/>
                <w:lang w:eastAsia="lv-LV"/>
              </w:rPr>
              <w:t>pratību</w:t>
            </w:r>
            <w:proofErr w:type="spellEnd"/>
            <w:r w:rsidRPr="00BF055E">
              <w:rPr>
                <w:rFonts w:eastAsia="Times New Roman" w:cs="Times New Roman"/>
                <w:sz w:val="18"/>
                <w:szCs w:val="18"/>
                <w:lang w:eastAsia="lv-LV"/>
              </w:rPr>
              <w:t>, u.c. jautājumiem.</w:t>
            </w:r>
          </w:p>
        </w:tc>
        <w:tc>
          <w:tcPr>
            <w:tcW w:w="2739" w:type="dxa"/>
            <w:tcBorders>
              <w:top w:val="nil"/>
              <w:left w:val="nil"/>
              <w:bottom w:val="single" w:sz="4" w:space="0" w:color="auto"/>
              <w:right w:val="single" w:sz="4" w:space="0" w:color="auto"/>
            </w:tcBorders>
            <w:shd w:val="clear" w:color="000000" w:fill="FFFFFF"/>
            <w:hideMark/>
          </w:tcPr>
          <w:p w14:paraId="4985AE3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MK noteikumi apstiprināti 11.06.24. Projekta iesnieguma iesniegšanas termiņš: 01.10.24.</w:t>
            </w:r>
          </w:p>
        </w:tc>
        <w:tc>
          <w:tcPr>
            <w:tcW w:w="960" w:type="dxa"/>
            <w:tcBorders>
              <w:top w:val="nil"/>
              <w:left w:val="nil"/>
              <w:bottom w:val="single" w:sz="4" w:space="0" w:color="auto"/>
              <w:right w:val="single" w:sz="4" w:space="0" w:color="auto"/>
            </w:tcBorders>
            <w:shd w:val="clear" w:color="000000" w:fill="FFFFFF"/>
            <w:hideMark/>
          </w:tcPr>
          <w:p w14:paraId="28787B9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w:t>
            </w:r>
          </w:p>
        </w:tc>
        <w:tc>
          <w:tcPr>
            <w:tcW w:w="1668" w:type="dxa"/>
            <w:tcBorders>
              <w:top w:val="nil"/>
              <w:left w:val="nil"/>
              <w:bottom w:val="single" w:sz="4" w:space="0" w:color="auto"/>
              <w:right w:val="single" w:sz="4" w:space="0" w:color="auto"/>
            </w:tcBorders>
            <w:shd w:val="clear" w:color="auto" w:fill="auto"/>
            <w:hideMark/>
          </w:tcPr>
          <w:p w14:paraId="31296D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finansējums: 67 841 032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ESF+  57 664 877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10 176 155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1D68078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000000" w:fill="FFFFFF"/>
            <w:hideMark/>
          </w:tcPr>
          <w:p w14:paraId="3AF6B7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25F3AF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2023(4); 2024(3)</w:t>
            </w:r>
          </w:p>
        </w:tc>
        <w:tc>
          <w:tcPr>
            <w:tcW w:w="0" w:type="auto"/>
            <w:tcBorders>
              <w:top w:val="nil"/>
              <w:left w:val="nil"/>
              <w:bottom w:val="single" w:sz="4" w:space="0" w:color="auto"/>
              <w:right w:val="single" w:sz="4" w:space="0" w:color="auto"/>
            </w:tcBorders>
            <w:shd w:val="clear" w:color="000000" w:fill="FFFFFF"/>
            <w:hideMark/>
          </w:tcPr>
          <w:p w14:paraId="10A9DC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5F8E105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6815F7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4EEBD5B1"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63E0C63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ESF+ programma "Interešu izglītības, brīvā laika un bērnu pieskatīšanas pakalpojumu pieejamības paplašināšana sociālās atstumtības riskam pakļautiem izglītojamajiem un bērniem ar speciālām vajadzībām" (4.2.3.2.)</w:t>
            </w:r>
          </w:p>
        </w:tc>
        <w:tc>
          <w:tcPr>
            <w:tcW w:w="1839" w:type="dxa"/>
            <w:tcBorders>
              <w:top w:val="nil"/>
              <w:left w:val="nil"/>
              <w:bottom w:val="single" w:sz="4" w:space="0" w:color="auto"/>
              <w:right w:val="single" w:sz="4" w:space="0" w:color="auto"/>
            </w:tcBorders>
            <w:shd w:val="clear" w:color="auto" w:fill="auto"/>
            <w:hideMark/>
          </w:tcPr>
          <w:p w14:paraId="4120F4BC" w14:textId="05AB23BB"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Pasākums tiks īstenots divās projektu iesniegumu atlases kārtās: 1.kārtā- Nodrošināt mērķa grupas izglītojamiem izglītības iestāžu brīvlaikā interešu izglītības programmas lingvistiskai kompetencei - </w:t>
            </w:r>
            <w:proofErr w:type="spellStart"/>
            <w:r w:rsidRPr="00BF055E">
              <w:rPr>
                <w:rFonts w:eastAsia="Times New Roman" w:cs="Times New Roman"/>
                <w:sz w:val="18"/>
                <w:szCs w:val="18"/>
                <w:lang w:eastAsia="lv-LV"/>
              </w:rPr>
              <w:t>tekstpratībā</w:t>
            </w:r>
            <w:proofErr w:type="spellEnd"/>
            <w:r w:rsidRPr="00BF055E">
              <w:rPr>
                <w:rFonts w:eastAsia="Times New Roman" w:cs="Times New Roman"/>
                <w:sz w:val="18"/>
                <w:szCs w:val="18"/>
                <w:lang w:eastAsia="lv-LV"/>
              </w:rPr>
              <w:t xml:space="preserve">, kas organizētas kā dienas nometnes (ar izglītojamo pieskatīšanu), </w:t>
            </w:r>
            <w:r w:rsidRPr="00BF055E">
              <w:rPr>
                <w:rFonts w:eastAsia="Times New Roman" w:cs="Times New Roman"/>
                <w:sz w:val="18"/>
                <w:szCs w:val="18"/>
                <w:lang w:eastAsia="lv-LV"/>
              </w:rPr>
              <w:lastRenderedPageBreak/>
              <w:t>stimulējot brīvā laika pavadīšanā motivāciju lasīt - gan izzinošai etniskās kultūras apgūšanai, gan lasītprasmes mazākumtautību valodās praktizēšanai, lai radoši iesaistītu Latvijas kultūrvides daudzveidībā kopienā esošo mazākumtautību izglītojamos, atbilstoši konkrētās vecumgrupas interesēm sasniegumiem atbilstošajā izglītības pakāpē. 2.kārtā - finansējuma intervence virzīta STEM interešu izglītības attīstībai - STEM apguves veicināšanai, pievēršoties tai tieši agrīnākajos izglītības posmos un to īstenojot pašvaldību izglītības ekosistēmas ietvaros - ar kopienas pieeju STEM izglītības stiprināšanai.</w:t>
            </w:r>
          </w:p>
        </w:tc>
        <w:tc>
          <w:tcPr>
            <w:tcW w:w="2739" w:type="dxa"/>
            <w:tcBorders>
              <w:top w:val="nil"/>
              <w:left w:val="nil"/>
              <w:bottom w:val="single" w:sz="4" w:space="0" w:color="auto"/>
              <w:right w:val="single" w:sz="4" w:space="0" w:color="auto"/>
            </w:tcBorders>
            <w:shd w:val="clear" w:color="auto" w:fill="auto"/>
            <w:hideMark/>
          </w:tcPr>
          <w:p w14:paraId="2859B8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1.kārtai 1) MK noteikumu apstiprināšana 2024.g. 4.ceturksnis; 2) Projektu iesniegumu atlases izsludināšana 2025.g. 1.ceturksnis.                                     2.kārtai 1) MK noteikumu apstiprināšana 2025.g. 4.ceturksnis; 2) Projektu iesniegumu atlases izsludināšana 2025.g. 4.ceturksnis/ 2026.g. 1.ceturksnis. </w:t>
            </w:r>
          </w:p>
        </w:tc>
        <w:tc>
          <w:tcPr>
            <w:tcW w:w="960" w:type="dxa"/>
            <w:tcBorders>
              <w:top w:val="nil"/>
              <w:left w:val="nil"/>
              <w:bottom w:val="single" w:sz="4" w:space="0" w:color="auto"/>
              <w:right w:val="single" w:sz="4" w:space="0" w:color="auto"/>
            </w:tcBorders>
            <w:shd w:val="clear" w:color="000000" w:fill="FFFFFF"/>
            <w:hideMark/>
          </w:tcPr>
          <w:p w14:paraId="1505D9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w:t>
            </w:r>
          </w:p>
        </w:tc>
        <w:tc>
          <w:tcPr>
            <w:tcW w:w="1668" w:type="dxa"/>
            <w:tcBorders>
              <w:top w:val="nil"/>
              <w:left w:val="nil"/>
              <w:bottom w:val="single" w:sz="4" w:space="0" w:color="auto"/>
              <w:right w:val="single" w:sz="4" w:space="0" w:color="auto"/>
            </w:tcBorders>
            <w:shd w:val="clear" w:color="auto" w:fill="auto"/>
            <w:hideMark/>
          </w:tcPr>
          <w:p w14:paraId="1C7CFA79" w14:textId="118676DC"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Pasākumam pieejamais kopējais attiecināmais finansējums: 6 620 000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ESF+ finansējums – 5 627 000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finansējums – 993 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Pasākuma 1.projektu iesniegumu atlases kārtā </w:t>
            </w:r>
            <w:r w:rsidRPr="00BF055E">
              <w:rPr>
                <w:rFonts w:eastAsia="Times New Roman" w:cs="Times New Roman"/>
                <w:sz w:val="18"/>
                <w:szCs w:val="18"/>
                <w:lang w:eastAsia="lv-LV"/>
              </w:rPr>
              <w:lastRenderedPageBreak/>
              <w:t xml:space="preserve">plānotais un pieejamais attiecināmais finansējums ir 1 620 000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ESF+ finansējums – 1 377 000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finansējums – 243 000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2.projektu iesniegumu atlases kārtas plānotais un pieejamais attiecināmais finansējumu 5 000 000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(ESF– 4 250 000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750 000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01A1BD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 VISC</w:t>
            </w:r>
          </w:p>
        </w:tc>
        <w:tc>
          <w:tcPr>
            <w:tcW w:w="0" w:type="auto"/>
            <w:tcBorders>
              <w:top w:val="nil"/>
              <w:left w:val="nil"/>
              <w:bottom w:val="single" w:sz="4" w:space="0" w:color="auto"/>
              <w:right w:val="single" w:sz="4" w:space="0" w:color="auto"/>
            </w:tcBorders>
            <w:shd w:val="clear" w:color="000000" w:fill="FFFFFF"/>
            <w:hideMark/>
          </w:tcPr>
          <w:p w14:paraId="34DCF9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1C6616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137B7E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03B72F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25AF3E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64FD2DFF"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871D7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ESF+ programma "Kvalitatīvas un mūsdienīgas izglītības </w:t>
            </w:r>
            <w:r w:rsidRPr="00BF055E">
              <w:rPr>
                <w:rFonts w:eastAsia="Times New Roman" w:cs="Times New Roman"/>
                <w:sz w:val="18"/>
                <w:szCs w:val="18"/>
                <w:lang w:eastAsia="lv-LV"/>
              </w:rPr>
              <w:lastRenderedPageBreak/>
              <w:t>īstenošana pirmsskolas, pamata un vidējās izglītības pakāpē" (4.2.2.1. pasākums)</w:t>
            </w:r>
          </w:p>
        </w:tc>
        <w:tc>
          <w:tcPr>
            <w:tcW w:w="1839" w:type="dxa"/>
            <w:tcBorders>
              <w:top w:val="nil"/>
              <w:left w:val="nil"/>
              <w:bottom w:val="single" w:sz="4" w:space="0" w:color="auto"/>
              <w:right w:val="single" w:sz="4" w:space="0" w:color="auto"/>
            </w:tcBorders>
            <w:shd w:val="clear" w:color="000000" w:fill="FFFFFF"/>
            <w:hideMark/>
          </w:tcPr>
          <w:p w14:paraId="52655D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Nodrošināt bērniem un jauniešiem iespēju apmeklēt norises </w:t>
            </w:r>
            <w:r w:rsidRPr="00BF055E">
              <w:rPr>
                <w:rFonts w:eastAsia="Times New Roman" w:cs="Times New Roman"/>
                <w:sz w:val="18"/>
                <w:szCs w:val="18"/>
                <w:lang w:eastAsia="lv-LV"/>
              </w:rPr>
              <w:lastRenderedPageBreak/>
              <w:t>STEAM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turpmāko mācīšanās izvēli minētajās jomās</w:t>
            </w:r>
          </w:p>
        </w:tc>
        <w:tc>
          <w:tcPr>
            <w:tcW w:w="2739" w:type="dxa"/>
            <w:tcBorders>
              <w:top w:val="nil"/>
              <w:left w:val="nil"/>
              <w:bottom w:val="single" w:sz="4" w:space="0" w:color="auto"/>
              <w:right w:val="single" w:sz="4" w:space="0" w:color="auto"/>
            </w:tcBorders>
            <w:shd w:val="clear" w:color="000000" w:fill="FFFFFF"/>
            <w:hideMark/>
          </w:tcPr>
          <w:p w14:paraId="15B1CE9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MK noteikumu apstiprināšana 2024.g. 4.ceturksnis; 2) Projektu iesniegumu atlases izsludināšana </w:t>
            </w:r>
            <w:r w:rsidRPr="00BF055E">
              <w:rPr>
                <w:rFonts w:eastAsia="Times New Roman" w:cs="Times New Roman"/>
                <w:sz w:val="18"/>
                <w:szCs w:val="18"/>
                <w:lang w:eastAsia="lv-LV"/>
              </w:rPr>
              <w:lastRenderedPageBreak/>
              <w:t>2024.g. 4.ceturksnis/ 2025.g. 1.ceturksnis.</w:t>
            </w:r>
          </w:p>
        </w:tc>
        <w:tc>
          <w:tcPr>
            <w:tcW w:w="960" w:type="dxa"/>
            <w:tcBorders>
              <w:top w:val="nil"/>
              <w:left w:val="nil"/>
              <w:bottom w:val="single" w:sz="4" w:space="0" w:color="auto"/>
              <w:right w:val="single" w:sz="4" w:space="0" w:color="auto"/>
            </w:tcBorders>
            <w:shd w:val="clear" w:color="000000" w:fill="FFFFFF"/>
            <w:hideMark/>
          </w:tcPr>
          <w:p w14:paraId="614E70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2024-2027</w:t>
            </w:r>
          </w:p>
        </w:tc>
        <w:tc>
          <w:tcPr>
            <w:tcW w:w="1668" w:type="dxa"/>
            <w:tcBorders>
              <w:top w:val="nil"/>
              <w:left w:val="nil"/>
              <w:bottom w:val="single" w:sz="4" w:space="0" w:color="auto"/>
              <w:right w:val="single" w:sz="4" w:space="0" w:color="auto"/>
            </w:tcBorders>
            <w:shd w:val="clear" w:color="auto" w:fill="auto"/>
            <w:hideMark/>
          </w:tcPr>
          <w:p w14:paraId="194D70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finansējums: 34 </w:t>
            </w:r>
            <w:r w:rsidRPr="00BF055E">
              <w:rPr>
                <w:rFonts w:eastAsia="Times New Roman" w:cs="Times New Roman"/>
                <w:sz w:val="18"/>
                <w:szCs w:val="18"/>
                <w:lang w:eastAsia="lv-LV"/>
              </w:rPr>
              <w:lastRenderedPageBreak/>
              <w:t xml:space="preserve">009 600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ESF+ 33 158 160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5 851 440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4AE6CB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w:t>
            </w:r>
          </w:p>
        </w:tc>
        <w:tc>
          <w:tcPr>
            <w:tcW w:w="0" w:type="auto"/>
            <w:tcBorders>
              <w:top w:val="nil"/>
              <w:left w:val="nil"/>
              <w:bottom w:val="single" w:sz="4" w:space="0" w:color="auto"/>
              <w:right w:val="single" w:sz="4" w:space="0" w:color="auto"/>
            </w:tcBorders>
            <w:shd w:val="clear" w:color="000000" w:fill="FFFFFF"/>
            <w:hideMark/>
          </w:tcPr>
          <w:p w14:paraId="130F11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441BE2D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CD9B8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477E7C4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Vienādas iespējas un darba </w:t>
            </w:r>
            <w:r w:rsidRPr="00BF055E">
              <w:rPr>
                <w:rFonts w:eastAsia="Times New Roman" w:cs="Times New Roman"/>
                <w:sz w:val="18"/>
                <w:szCs w:val="18"/>
                <w:lang w:eastAsia="lv-LV"/>
              </w:rPr>
              <w:lastRenderedPageBreak/>
              <w:t>tirgus pieejamība</w:t>
            </w:r>
          </w:p>
        </w:tc>
        <w:tc>
          <w:tcPr>
            <w:tcW w:w="0" w:type="auto"/>
            <w:tcBorders>
              <w:top w:val="nil"/>
              <w:left w:val="nil"/>
              <w:bottom w:val="single" w:sz="4" w:space="0" w:color="auto"/>
              <w:right w:val="single" w:sz="4" w:space="0" w:color="auto"/>
            </w:tcBorders>
            <w:shd w:val="clear" w:color="000000" w:fill="FFFFFF"/>
            <w:hideMark/>
          </w:tcPr>
          <w:p w14:paraId="5A7210D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4.Kvalitatīva izglītība</w:t>
            </w:r>
          </w:p>
        </w:tc>
      </w:tr>
      <w:tr w:rsidR="00BF055E" w:rsidRPr="00BF055E" w14:paraId="52B42CDB"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5FDA6F5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ESF+ programma "Integrēta "skola-kopiena" sadarbības programma atstumtības riska mazināšanai izglītības iestādēs" (4.2.3.1. pasākums)</w:t>
            </w:r>
          </w:p>
        </w:tc>
        <w:tc>
          <w:tcPr>
            <w:tcW w:w="1839" w:type="dxa"/>
            <w:tcBorders>
              <w:top w:val="nil"/>
              <w:left w:val="nil"/>
              <w:bottom w:val="single" w:sz="4" w:space="0" w:color="auto"/>
              <w:right w:val="single" w:sz="4" w:space="0" w:color="auto"/>
            </w:tcBorders>
            <w:shd w:val="clear" w:color="000000" w:fill="FFFFFF"/>
            <w:hideMark/>
          </w:tcPr>
          <w:p w14:paraId="59ED74E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Attīstīt integrētu skolas-kopienas jeb pašvaldības izglītības ekosistēmas pieeju, veicinot starpinstitūciju sadarbību un izglītojamā vecāku (personu, kas realizē aizgādību) iesaisti izglītības procesā, lai nodrošinātu koordinētu rīcību sociālās atstumtības un priekšlaicīgas mācību pārtraukšanas riska samazināšanai izglītojamiem un </w:t>
            </w:r>
            <w:r w:rsidRPr="00BF055E">
              <w:rPr>
                <w:rFonts w:eastAsia="Times New Roman" w:cs="Times New Roman"/>
                <w:sz w:val="18"/>
                <w:szCs w:val="18"/>
                <w:lang w:eastAsia="lv-LV"/>
              </w:rPr>
              <w:lastRenderedPageBreak/>
              <w:t>sekmētu vispārējās pamatizglītības un vidējās izglītības satura apguvi</w:t>
            </w:r>
          </w:p>
        </w:tc>
        <w:tc>
          <w:tcPr>
            <w:tcW w:w="2739" w:type="dxa"/>
            <w:tcBorders>
              <w:top w:val="nil"/>
              <w:left w:val="nil"/>
              <w:bottom w:val="single" w:sz="4" w:space="0" w:color="auto"/>
              <w:right w:val="single" w:sz="4" w:space="0" w:color="auto"/>
            </w:tcBorders>
            <w:shd w:val="clear" w:color="000000" w:fill="FFFFFF"/>
            <w:hideMark/>
          </w:tcPr>
          <w:p w14:paraId="05AAB32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MK noteikumi apstiprināti 16.07.2024. Projekta iesnieguma atlase: 2024.g. III, IV cet.</w:t>
            </w:r>
          </w:p>
        </w:tc>
        <w:tc>
          <w:tcPr>
            <w:tcW w:w="960" w:type="dxa"/>
            <w:tcBorders>
              <w:top w:val="nil"/>
              <w:left w:val="nil"/>
              <w:bottom w:val="single" w:sz="4" w:space="0" w:color="auto"/>
              <w:right w:val="single" w:sz="4" w:space="0" w:color="auto"/>
            </w:tcBorders>
            <w:shd w:val="clear" w:color="000000" w:fill="FFFFFF"/>
            <w:hideMark/>
          </w:tcPr>
          <w:p w14:paraId="00A70AC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w:t>
            </w:r>
          </w:p>
        </w:tc>
        <w:tc>
          <w:tcPr>
            <w:tcW w:w="1668" w:type="dxa"/>
            <w:tcBorders>
              <w:top w:val="nil"/>
              <w:left w:val="nil"/>
              <w:bottom w:val="single" w:sz="4" w:space="0" w:color="auto"/>
              <w:right w:val="single" w:sz="4" w:space="0" w:color="auto"/>
            </w:tcBorders>
            <w:shd w:val="clear" w:color="auto" w:fill="auto"/>
            <w:hideMark/>
          </w:tcPr>
          <w:p w14:paraId="2356201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finansējums: 23 490 000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ESF+ 19 966 500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3 523 500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3A1995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000000" w:fill="FFFFFF"/>
            <w:hideMark/>
          </w:tcPr>
          <w:p w14:paraId="028F0CB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44E766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C57FC8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567FF56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05F63D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357060AA"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6529BE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 ( 4.2.1.6.pasākums)</w:t>
            </w:r>
          </w:p>
        </w:tc>
        <w:tc>
          <w:tcPr>
            <w:tcW w:w="1839" w:type="dxa"/>
            <w:tcBorders>
              <w:top w:val="nil"/>
              <w:left w:val="nil"/>
              <w:bottom w:val="single" w:sz="4" w:space="0" w:color="auto"/>
              <w:right w:val="single" w:sz="4" w:space="0" w:color="auto"/>
            </w:tcBorders>
            <w:shd w:val="clear" w:color="000000" w:fill="FFFFFF"/>
            <w:hideMark/>
          </w:tcPr>
          <w:p w14:paraId="0D82DDA4" w14:textId="6E8A89AF"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Mērķis - Izglītības un zinātnes ministrijas un Kultūras ministrijas profesionālās izglītības iestāžu, t.sk. tehnikumu, mākslu izglītības kompetences centru un profesionālo vidusskolu, un </w:t>
            </w:r>
            <w:proofErr w:type="spellStart"/>
            <w:r w:rsidRPr="00BF055E">
              <w:rPr>
                <w:rFonts w:eastAsia="Times New Roman" w:cs="Times New Roman"/>
                <w:sz w:val="18"/>
                <w:szCs w:val="18"/>
                <w:lang w:eastAsia="lv-LV"/>
              </w:rPr>
              <w:t>Iekšlietu</w:t>
            </w:r>
            <w:proofErr w:type="spellEnd"/>
            <w:r w:rsidRPr="00BF055E">
              <w:rPr>
                <w:rFonts w:eastAsia="Times New Roman" w:cs="Times New Roman"/>
                <w:sz w:val="18"/>
                <w:szCs w:val="18"/>
                <w:lang w:eastAsia="lv-LV"/>
              </w:rPr>
              <w:t xml:space="preserve"> ministrijas koledžu (turpmāk – profesionālās izglītības iestādes) mācību vides modernizēšana nozarēm aktuālo prasmju apguvei.</w:t>
            </w:r>
          </w:p>
        </w:tc>
        <w:tc>
          <w:tcPr>
            <w:tcW w:w="2739" w:type="dxa"/>
            <w:tcBorders>
              <w:top w:val="nil"/>
              <w:left w:val="nil"/>
              <w:bottom w:val="single" w:sz="4" w:space="0" w:color="auto"/>
              <w:right w:val="single" w:sz="4" w:space="0" w:color="auto"/>
            </w:tcBorders>
            <w:shd w:val="clear" w:color="000000" w:fill="FFFFFF"/>
            <w:hideMark/>
          </w:tcPr>
          <w:p w14:paraId="707D84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MK noteikumi par pasākuma īstenošanu pieņemti 18.06.2024., Nr. 388. Notiek atlases nolikuma izstrāde un saskaņošana. III. </w:t>
            </w:r>
            <w:proofErr w:type="spellStart"/>
            <w:r w:rsidRPr="00BF055E">
              <w:rPr>
                <w:rFonts w:eastAsia="Times New Roman" w:cs="Times New Roman"/>
                <w:sz w:val="18"/>
                <w:szCs w:val="18"/>
                <w:lang w:eastAsia="lv-LV"/>
              </w:rPr>
              <w:t>cet</w:t>
            </w:r>
            <w:proofErr w:type="spellEnd"/>
            <w:r w:rsidRPr="00BF055E">
              <w:rPr>
                <w:rFonts w:eastAsia="Times New Roman" w:cs="Times New Roman"/>
                <w:sz w:val="18"/>
                <w:szCs w:val="18"/>
                <w:lang w:eastAsia="lv-LV"/>
              </w:rPr>
              <w:t xml:space="preserve"> . plānota atlases uzsākšana. IV </w:t>
            </w:r>
            <w:proofErr w:type="spellStart"/>
            <w:r w:rsidRPr="00BF055E">
              <w:rPr>
                <w:rFonts w:eastAsia="Times New Roman" w:cs="Times New Roman"/>
                <w:sz w:val="18"/>
                <w:szCs w:val="18"/>
                <w:lang w:eastAsia="lv-LV"/>
              </w:rPr>
              <w:t>cet</w:t>
            </w:r>
            <w:proofErr w:type="spellEnd"/>
            <w:r w:rsidRPr="00BF055E">
              <w:rPr>
                <w:rFonts w:eastAsia="Times New Roman" w:cs="Times New Roman"/>
                <w:sz w:val="18"/>
                <w:szCs w:val="18"/>
                <w:lang w:eastAsia="lv-LV"/>
              </w:rPr>
              <w:t xml:space="preserve"> plānota projektu īstenošanas uzsākšana.</w:t>
            </w:r>
          </w:p>
        </w:tc>
        <w:tc>
          <w:tcPr>
            <w:tcW w:w="960" w:type="dxa"/>
            <w:tcBorders>
              <w:top w:val="nil"/>
              <w:left w:val="nil"/>
              <w:bottom w:val="single" w:sz="4" w:space="0" w:color="auto"/>
              <w:right w:val="single" w:sz="4" w:space="0" w:color="auto"/>
            </w:tcBorders>
            <w:shd w:val="clear" w:color="000000" w:fill="FFFFFF"/>
            <w:hideMark/>
          </w:tcPr>
          <w:p w14:paraId="1A404F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2021.- 2029.</w:t>
            </w:r>
          </w:p>
        </w:tc>
        <w:tc>
          <w:tcPr>
            <w:tcW w:w="1668" w:type="dxa"/>
            <w:tcBorders>
              <w:top w:val="nil"/>
              <w:left w:val="nil"/>
              <w:bottom w:val="single" w:sz="4" w:space="0" w:color="auto"/>
              <w:right w:val="single" w:sz="4" w:space="0" w:color="auto"/>
            </w:tcBorders>
            <w:shd w:val="clear" w:color="auto" w:fill="auto"/>
            <w:hideMark/>
          </w:tcPr>
          <w:p w14:paraId="3034CF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ietvaros plānotais kopējais attiecināmais finansējums ir 54 561 705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finansējuma apjoms 7 528 444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Eiropas Reģionālās attīstības fonda finansējums 46 377 448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finansējuma apjoms 6 399 178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tai skaitā 5 805 785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kas pārsniedz pasākumam pieejamo Eiropas Reģionālās attīstības fonda finansējumu) un valsts budžeta līdzfinansējums 8 184 257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finansējuma apjoms 1 129 266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75099B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AI IZM</w:t>
            </w:r>
            <w:r w:rsidRPr="00BF055E">
              <w:rPr>
                <w:rFonts w:eastAsia="Times New Roman" w:cs="Times New Roman"/>
                <w:sz w:val="18"/>
                <w:szCs w:val="18"/>
                <w:lang w:eastAsia="lv-LV"/>
              </w:rPr>
              <w:br/>
              <w:t>LI - KM IeM</w:t>
            </w:r>
          </w:p>
        </w:tc>
        <w:tc>
          <w:tcPr>
            <w:tcW w:w="0" w:type="auto"/>
            <w:tcBorders>
              <w:top w:val="nil"/>
              <w:left w:val="nil"/>
              <w:bottom w:val="single" w:sz="4" w:space="0" w:color="auto"/>
              <w:right w:val="single" w:sz="4" w:space="0" w:color="auto"/>
            </w:tcBorders>
            <w:shd w:val="clear" w:color="000000" w:fill="FFFFFF"/>
            <w:hideMark/>
          </w:tcPr>
          <w:p w14:paraId="0C92C4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7597696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4CB3EF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2DF82C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24D25E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57AC7EB5"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333918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Pievilcīgas, elastīgas un kvalitatīvas profesionālās izglītības sistēmas attīstība Latvijas tautsaimniecības produktivitātes paaugstināšanai un konkurētspējas veicināšanai</w:t>
            </w:r>
          </w:p>
        </w:tc>
        <w:tc>
          <w:tcPr>
            <w:tcW w:w="1839" w:type="dxa"/>
            <w:tcBorders>
              <w:top w:val="nil"/>
              <w:left w:val="nil"/>
              <w:bottom w:val="single" w:sz="4" w:space="0" w:color="auto"/>
              <w:right w:val="single" w:sz="4" w:space="0" w:color="auto"/>
            </w:tcBorders>
            <w:shd w:val="clear" w:color="000000" w:fill="FFFFFF"/>
            <w:hideMark/>
          </w:tcPr>
          <w:p w14:paraId="305E55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Spēcīgākas darba vidē balstītas mācības profesionālās izglītības un mācību pilnveidošanai Latvijā</w:t>
            </w:r>
          </w:p>
        </w:tc>
        <w:tc>
          <w:tcPr>
            <w:tcW w:w="2739" w:type="dxa"/>
            <w:tcBorders>
              <w:top w:val="nil"/>
              <w:left w:val="nil"/>
              <w:bottom w:val="single" w:sz="4" w:space="0" w:color="auto"/>
              <w:right w:val="single" w:sz="4" w:space="0" w:color="auto"/>
            </w:tcBorders>
            <w:shd w:val="clear" w:color="000000" w:fill="FFFFFF"/>
            <w:hideMark/>
          </w:tcPr>
          <w:p w14:paraId="2E0B37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Latvijas-Šveices sadarbības programmas 2.kārtas projekta ietvaros plānots:</w:t>
            </w:r>
            <w:r w:rsidRPr="00BF055E">
              <w:rPr>
                <w:rFonts w:eastAsia="Times New Roman" w:cs="Times New Roman"/>
                <w:sz w:val="18"/>
                <w:szCs w:val="18"/>
                <w:lang w:eastAsia="lv-LV"/>
              </w:rPr>
              <w:br/>
              <w:t>1. Darba vidē balstītas (DVB) mācības pieejas tālāka attīstība</w:t>
            </w:r>
            <w:r w:rsidRPr="00BF055E">
              <w:rPr>
                <w:rFonts w:eastAsia="Times New Roman" w:cs="Times New Roman"/>
                <w:sz w:val="18"/>
                <w:szCs w:val="18"/>
                <w:lang w:eastAsia="lv-LV"/>
              </w:rPr>
              <w:br/>
              <w:t>2. nozarē balstītas eksaminācijas pieejas attīstība</w:t>
            </w:r>
            <w:r w:rsidRPr="00BF055E">
              <w:rPr>
                <w:rFonts w:eastAsia="Times New Roman" w:cs="Times New Roman"/>
                <w:sz w:val="18"/>
                <w:szCs w:val="18"/>
                <w:lang w:eastAsia="lv-LV"/>
              </w:rPr>
              <w:br/>
              <w:t>3. mācību līdzekļu attīstība profesionālajā izglītībā</w:t>
            </w:r>
            <w:r w:rsidRPr="00BF055E">
              <w:rPr>
                <w:rFonts w:eastAsia="Times New Roman" w:cs="Times New Roman"/>
                <w:sz w:val="18"/>
                <w:szCs w:val="18"/>
                <w:lang w:eastAsia="lv-LV"/>
              </w:rPr>
              <w:br/>
              <w:t>4. jaunu profesionālās izglītības pedagogu sagatavošana</w:t>
            </w:r>
          </w:p>
        </w:tc>
        <w:tc>
          <w:tcPr>
            <w:tcW w:w="960" w:type="dxa"/>
            <w:tcBorders>
              <w:top w:val="nil"/>
              <w:left w:val="nil"/>
              <w:bottom w:val="single" w:sz="4" w:space="0" w:color="auto"/>
              <w:right w:val="single" w:sz="4" w:space="0" w:color="auto"/>
            </w:tcBorders>
            <w:shd w:val="clear" w:color="000000" w:fill="FFFFFF"/>
            <w:hideMark/>
          </w:tcPr>
          <w:p w14:paraId="7F4ECB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31.12.2029.</w:t>
            </w:r>
          </w:p>
        </w:tc>
        <w:tc>
          <w:tcPr>
            <w:tcW w:w="1668" w:type="dxa"/>
            <w:tcBorders>
              <w:top w:val="nil"/>
              <w:left w:val="nil"/>
              <w:bottom w:val="single" w:sz="4" w:space="0" w:color="auto"/>
              <w:right w:val="single" w:sz="4" w:space="0" w:color="auto"/>
            </w:tcBorders>
            <w:shd w:val="clear" w:color="000000" w:fill="FFFFFF"/>
            <w:hideMark/>
          </w:tcPr>
          <w:p w14:paraId="0CD53D3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Latvijas-Šveices sadarbības programmas 2. kārtas finansējums</w:t>
            </w:r>
            <w:r w:rsidRPr="00BF055E">
              <w:rPr>
                <w:rFonts w:eastAsia="Times New Roman" w:cs="Times New Roman"/>
                <w:sz w:val="18"/>
                <w:szCs w:val="18"/>
                <w:lang w:eastAsia="lv-LV"/>
              </w:rPr>
              <w:br/>
              <w:t>10 milj. CHF</w:t>
            </w:r>
          </w:p>
        </w:tc>
        <w:tc>
          <w:tcPr>
            <w:tcW w:w="1069" w:type="dxa"/>
            <w:tcBorders>
              <w:top w:val="nil"/>
              <w:left w:val="nil"/>
              <w:bottom w:val="single" w:sz="4" w:space="0" w:color="auto"/>
              <w:right w:val="single" w:sz="4" w:space="0" w:color="auto"/>
            </w:tcBorders>
            <w:shd w:val="clear" w:color="000000" w:fill="FFFFFF"/>
            <w:hideMark/>
          </w:tcPr>
          <w:p w14:paraId="6B992A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 VISC</w:t>
            </w:r>
          </w:p>
        </w:tc>
        <w:tc>
          <w:tcPr>
            <w:tcW w:w="0" w:type="auto"/>
            <w:tcBorders>
              <w:top w:val="nil"/>
              <w:left w:val="nil"/>
              <w:bottom w:val="single" w:sz="4" w:space="0" w:color="auto"/>
              <w:right w:val="single" w:sz="4" w:space="0" w:color="auto"/>
            </w:tcBorders>
            <w:shd w:val="clear" w:color="000000" w:fill="FFFFFF"/>
            <w:hideMark/>
          </w:tcPr>
          <w:p w14:paraId="6E12E9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6694B9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2969F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1777EF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6F2E20C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1DF1D05C" w14:textId="77777777" w:rsidTr="003B1594">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0F85CE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ESF+ programma "Indukcijas gada ieviešana pedagogu sagatavošanas studiju programmās" (4.2.2.7. pasākums)</w:t>
            </w:r>
          </w:p>
        </w:tc>
        <w:tc>
          <w:tcPr>
            <w:tcW w:w="1839" w:type="dxa"/>
            <w:tcBorders>
              <w:top w:val="nil"/>
              <w:left w:val="nil"/>
              <w:bottom w:val="single" w:sz="4" w:space="0" w:color="auto"/>
              <w:right w:val="single" w:sz="4" w:space="0" w:color="auto"/>
            </w:tcBorders>
            <w:shd w:val="clear" w:color="auto" w:fill="auto"/>
            <w:hideMark/>
          </w:tcPr>
          <w:p w14:paraId="1B5E61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 mērķis ir sniegt atbalstu skolotāja kvalifikāciju ieguvušajiem pedagogu sagatavošanas studiju programmu absolventiem pirmajā gadā pēc studiju pabeigšanas, lai piesaistītu un noturētu pedagogus.</w:t>
            </w:r>
          </w:p>
        </w:tc>
        <w:tc>
          <w:tcPr>
            <w:tcW w:w="2739" w:type="dxa"/>
            <w:tcBorders>
              <w:top w:val="nil"/>
              <w:left w:val="nil"/>
              <w:bottom w:val="single" w:sz="4" w:space="0" w:color="auto"/>
              <w:right w:val="single" w:sz="4" w:space="0" w:color="auto"/>
            </w:tcBorders>
            <w:shd w:val="clear" w:color="auto" w:fill="auto"/>
            <w:hideMark/>
          </w:tcPr>
          <w:p w14:paraId="0ECF94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MK noteikumi par pasākuma īstenošanu pieņemti 13.07.2023., Nr. 403. Notiek projekta īstenošana.</w:t>
            </w:r>
          </w:p>
        </w:tc>
        <w:tc>
          <w:tcPr>
            <w:tcW w:w="960" w:type="dxa"/>
            <w:tcBorders>
              <w:top w:val="nil"/>
              <w:left w:val="nil"/>
              <w:bottom w:val="single" w:sz="4" w:space="0" w:color="auto"/>
              <w:right w:val="single" w:sz="4" w:space="0" w:color="auto"/>
            </w:tcBorders>
            <w:shd w:val="clear" w:color="auto" w:fill="auto"/>
            <w:hideMark/>
          </w:tcPr>
          <w:p w14:paraId="4C90A2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2023.-2026.g.</w:t>
            </w:r>
          </w:p>
        </w:tc>
        <w:tc>
          <w:tcPr>
            <w:tcW w:w="1668" w:type="dxa"/>
            <w:tcBorders>
              <w:top w:val="nil"/>
              <w:left w:val="nil"/>
              <w:bottom w:val="single" w:sz="4" w:space="0" w:color="auto"/>
              <w:right w:val="single" w:sz="4" w:space="0" w:color="auto"/>
            </w:tcBorders>
            <w:shd w:val="clear" w:color="auto" w:fill="auto"/>
            <w:hideMark/>
          </w:tcPr>
          <w:p w14:paraId="63C7811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Pasākumam pieejamais kopējais attiecināmais finansējums ir 3 425 840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ko veido ESF+ finansējums 2 911 964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apmērā un valsts budžeta līdzfinansējums 513 876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apmērā.</w:t>
            </w:r>
          </w:p>
        </w:tc>
        <w:tc>
          <w:tcPr>
            <w:tcW w:w="1069" w:type="dxa"/>
            <w:tcBorders>
              <w:top w:val="nil"/>
              <w:left w:val="nil"/>
              <w:bottom w:val="single" w:sz="4" w:space="0" w:color="auto"/>
              <w:right w:val="single" w:sz="4" w:space="0" w:color="auto"/>
            </w:tcBorders>
            <w:shd w:val="clear" w:color="auto" w:fill="auto"/>
            <w:hideMark/>
          </w:tcPr>
          <w:p w14:paraId="77AF45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IZM/LU</w:t>
            </w:r>
          </w:p>
        </w:tc>
        <w:tc>
          <w:tcPr>
            <w:tcW w:w="0" w:type="auto"/>
            <w:tcBorders>
              <w:top w:val="nil"/>
              <w:left w:val="nil"/>
              <w:bottom w:val="single" w:sz="4" w:space="0" w:color="auto"/>
              <w:right w:val="single" w:sz="4" w:space="0" w:color="auto"/>
            </w:tcBorders>
            <w:shd w:val="clear" w:color="auto" w:fill="auto"/>
            <w:hideMark/>
          </w:tcPr>
          <w:p w14:paraId="1A0F5D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5A8699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8B281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3247C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59D365B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661E20D8" w14:textId="77777777" w:rsidTr="003B1594">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60D319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fondu 2021.–2027. perioda 4.2.2.6. pasākums “Cikliskas institucionālās akreditācijas ieviešana augstākajā izglītībā” </w:t>
            </w:r>
          </w:p>
        </w:tc>
        <w:tc>
          <w:tcPr>
            <w:tcW w:w="1839" w:type="dxa"/>
            <w:tcBorders>
              <w:top w:val="nil"/>
              <w:left w:val="nil"/>
              <w:bottom w:val="single" w:sz="4" w:space="0" w:color="auto"/>
              <w:right w:val="single" w:sz="4" w:space="0" w:color="auto"/>
            </w:tcBorders>
            <w:shd w:val="clear" w:color="auto" w:fill="auto"/>
            <w:hideMark/>
          </w:tcPr>
          <w:p w14:paraId="1D8E2F1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Plānotā atbalsta mērķis ir nodrošināt atbalstu pārejai uz augstskolu un koledžu ciklisku institucionālo akreditāciju augstākās izglītības kvalitātes uzlabošanai. </w:t>
            </w:r>
            <w:r w:rsidRPr="00BF055E">
              <w:rPr>
                <w:rFonts w:eastAsia="Times New Roman" w:cs="Times New Roman"/>
                <w:sz w:val="18"/>
                <w:szCs w:val="18"/>
                <w:lang w:eastAsia="lv-LV"/>
              </w:rPr>
              <w:br/>
              <w:t xml:space="preserve">Atbalsta </w:t>
            </w:r>
            <w:proofErr w:type="spellStart"/>
            <w:r w:rsidRPr="00BF055E">
              <w:rPr>
                <w:rFonts w:eastAsia="Times New Roman" w:cs="Times New Roman"/>
                <w:sz w:val="18"/>
                <w:szCs w:val="18"/>
                <w:lang w:eastAsia="lv-LV"/>
              </w:rPr>
              <w:t>ietvarots</w:t>
            </w:r>
            <w:proofErr w:type="spellEnd"/>
            <w:r w:rsidRPr="00BF055E">
              <w:rPr>
                <w:rFonts w:eastAsia="Times New Roman" w:cs="Times New Roman"/>
                <w:sz w:val="18"/>
                <w:szCs w:val="18"/>
                <w:lang w:eastAsia="lv-LV"/>
              </w:rPr>
              <w:t xml:space="preserve"> paredzēta: </w:t>
            </w:r>
            <w:r w:rsidRPr="00BF055E">
              <w:rPr>
                <w:rFonts w:eastAsia="Times New Roman" w:cs="Times New Roman"/>
                <w:sz w:val="18"/>
                <w:szCs w:val="18"/>
                <w:lang w:eastAsia="lv-LV"/>
              </w:rPr>
              <w:br/>
              <w:t xml:space="preserve">cikliskas institucionālās akreditācijas </w:t>
            </w:r>
            <w:r w:rsidRPr="00BF055E">
              <w:rPr>
                <w:rFonts w:eastAsia="Times New Roman" w:cs="Times New Roman"/>
                <w:sz w:val="18"/>
                <w:szCs w:val="18"/>
                <w:lang w:eastAsia="lv-LV"/>
              </w:rPr>
              <w:lastRenderedPageBreak/>
              <w:t xml:space="preserve">ieviešanai nepieciešamās normatīvās un informatīvās bāzes sagatavošana (priekšlikumi, metodikas, vadlīnijas); </w:t>
            </w:r>
            <w:r w:rsidRPr="00BF055E">
              <w:rPr>
                <w:rFonts w:eastAsia="Times New Roman" w:cs="Times New Roman"/>
                <w:sz w:val="18"/>
                <w:szCs w:val="18"/>
                <w:lang w:eastAsia="lv-LV"/>
              </w:rPr>
              <w:br/>
              <w:t xml:space="preserve">akreditācijas aģentūras e-platformas funkcionalitātes papildināšana un pilnveide (simulācijas);  </w:t>
            </w:r>
            <w:r w:rsidRPr="00BF055E">
              <w:rPr>
                <w:rFonts w:eastAsia="Times New Roman" w:cs="Times New Roman"/>
                <w:sz w:val="18"/>
                <w:szCs w:val="18"/>
                <w:lang w:eastAsia="lv-LV"/>
              </w:rPr>
              <w:br/>
              <w:t xml:space="preserve">cikliskas institucionālās akreditācijas aprobācija, tai skaitā </w:t>
            </w:r>
            <w:proofErr w:type="spellStart"/>
            <w:r w:rsidRPr="00BF055E">
              <w:rPr>
                <w:rFonts w:eastAsia="Times New Roman" w:cs="Times New Roman"/>
                <w:sz w:val="18"/>
                <w:szCs w:val="18"/>
                <w:lang w:eastAsia="lv-LV"/>
              </w:rPr>
              <w:t>pilotakreditāciju</w:t>
            </w:r>
            <w:proofErr w:type="spellEnd"/>
            <w:r w:rsidRPr="00BF055E">
              <w:rPr>
                <w:rFonts w:eastAsia="Times New Roman" w:cs="Times New Roman"/>
                <w:sz w:val="18"/>
                <w:szCs w:val="18"/>
                <w:lang w:eastAsia="lv-LV"/>
              </w:rPr>
              <w:t xml:space="preserve"> īstenošana; </w:t>
            </w:r>
            <w:r w:rsidRPr="00BF055E">
              <w:rPr>
                <w:rFonts w:eastAsia="Times New Roman" w:cs="Times New Roman"/>
                <w:sz w:val="18"/>
                <w:szCs w:val="18"/>
                <w:lang w:eastAsia="lv-LV"/>
              </w:rPr>
              <w:br/>
              <w:t xml:space="preserve"> Akreditācijas ekspertu, akreditācijas aģentūras  un augstskolu darbinieku mācības institucionālās akreditācijas nodrošināšanai; </w:t>
            </w:r>
            <w:r w:rsidRPr="00BF055E">
              <w:rPr>
                <w:rFonts w:eastAsia="Times New Roman" w:cs="Times New Roman"/>
                <w:sz w:val="18"/>
                <w:szCs w:val="18"/>
                <w:lang w:eastAsia="lv-LV"/>
              </w:rPr>
              <w:br/>
              <w:t xml:space="preserve">atbalsta pasākumi augstskolu iekšējās kvalitātes nodrošināšanas sistēmas pilnveidei. </w:t>
            </w:r>
          </w:p>
        </w:tc>
        <w:tc>
          <w:tcPr>
            <w:tcW w:w="2739" w:type="dxa"/>
            <w:tcBorders>
              <w:top w:val="nil"/>
              <w:left w:val="nil"/>
              <w:bottom w:val="single" w:sz="4" w:space="0" w:color="auto"/>
              <w:right w:val="single" w:sz="4" w:space="0" w:color="auto"/>
            </w:tcBorders>
            <w:shd w:val="clear" w:color="auto" w:fill="auto"/>
            <w:hideMark/>
          </w:tcPr>
          <w:p w14:paraId="72B236C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2024. gada III cet. - MK noteikumu apstiprināšana</w:t>
            </w:r>
            <w:r w:rsidRPr="00BF055E">
              <w:rPr>
                <w:rFonts w:eastAsia="Times New Roman" w:cs="Times New Roman"/>
                <w:sz w:val="18"/>
                <w:szCs w:val="18"/>
                <w:lang w:eastAsia="lv-LV"/>
              </w:rPr>
              <w:br/>
            </w:r>
            <w:r w:rsidRPr="00BF055E">
              <w:rPr>
                <w:rFonts w:eastAsia="Times New Roman" w:cs="Times New Roman"/>
                <w:sz w:val="18"/>
                <w:szCs w:val="18"/>
                <w:lang w:eastAsia="lv-LV"/>
              </w:rPr>
              <w:br/>
              <w:t>2024. gada IV cet. – atlases uzsākšana</w:t>
            </w:r>
            <w:r w:rsidRPr="00BF055E">
              <w:rPr>
                <w:rFonts w:eastAsia="Times New Roman" w:cs="Times New Roman"/>
                <w:sz w:val="18"/>
                <w:szCs w:val="18"/>
                <w:lang w:eastAsia="lv-LV"/>
              </w:rPr>
              <w:br/>
            </w:r>
            <w:r w:rsidRPr="00BF055E">
              <w:rPr>
                <w:rFonts w:eastAsia="Times New Roman" w:cs="Times New Roman"/>
                <w:sz w:val="18"/>
                <w:szCs w:val="18"/>
                <w:lang w:eastAsia="lv-LV"/>
              </w:rPr>
              <w:br/>
              <w:t>31.12. 2027. – projekta īstenošanas noslēgums Ierobežota projekta iesnieguma atlase. Finansējuma saņēmējs - Akadēmiskās informācijas centrs</w:t>
            </w:r>
          </w:p>
        </w:tc>
        <w:tc>
          <w:tcPr>
            <w:tcW w:w="960" w:type="dxa"/>
            <w:tcBorders>
              <w:top w:val="nil"/>
              <w:left w:val="nil"/>
              <w:bottom w:val="single" w:sz="4" w:space="0" w:color="auto"/>
              <w:right w:val="single" w:sz="4" w:space="0" w:color="auto"/>
            </w:tcBorders>
            <w:shd w:val="clear" w:color="auto" w:fill="auto"/>
            <w:hideMark/>
          </w:tcPr>
          <w:p w14:paraId="39EBBE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Finansējuma saņēmējam izmaksas ir attiecināmas no 2024. gada 1. augusta, ja tās atbilst </w:t>
            </w:r>
            <w:r w:rsidRPr="00BF055E">
              <w:rPr>
                <w:rFonts w:eastAsia="Times New Roman" w:cs="Times New Roman"/>
                <w:sz w:val="18"/>
                <w:szCs w:val="18"/>
                <w:lang w:eastAsia="lv-LV"/>
              </w:rPr>
              <w:lastRenderedPageBreak/>
              <w:t xml:space="preserve">MKN minētajām izmaksu pozīcijām. </w:t>
            </w:r>
            <w:r w:rsidRPr="00BF055E">
              <w:rPr>
                <w:rFonts w:eastAsia="Times New Roman" w:cs="Times New Roman"/>
                <w:sz w:val="18"/>
                <w:szCs w:val="18"/>
                <w:lang w:eastAsia="lv-LV"/>
              </w:rPr>
              <w:br/>
            </w:r>
            <w:r w:rsidRPr="00BF055E">
              <w:rPr>
                <w:rFonts w:eastAsia="Times New Roman" w:cs="Times New Roman"/>
                <w:sz w:val="18"/>
                <w:szCs w:val="18"/>
                <w:lang w:eastAsia="lv-LV"/>
              </w:rPr>
              <w:br/>
              <w:t>2024 - 2027</w:t>
            </w:r>
          </w:p>
        </w:tc>
        <w:tc>
          <w:tcPr>
            <w:tcW w:w="1668" w:type="dxa"/>
            <w:tcBorders>
              <w:top w:val="nil"/>
              <w:left w:val="nil"/>
              <w:bottom w:val="single" w:sz="4" w:space="0" w:color="auto"/>
              <w:right w:val="single" w:sz="4" w:space="0" w:color="auto"/>
            </w:tcBorders>
            <w:shd w:val="clear" w:color="auto" w:fill="auto"/>
            <w:hideMark/>
          </w:tcPr>
          <w:p w14:paraId="24023C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Pasākuma plānotais un pieejamais kopējais attiecināmais finansējums ir 1 183 000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tai skaitā ESF+ finansējums – 1 005 550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177 450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w:t>
            </w:r>
          </w:p>
        </w:tc>
        <w:tc>
          <w:tcPr>
            <w:tcW w:w="1069" w:type="dxa"/>
            <w:tcBorders>
              <w:top w:val="nil"/>
              <w:left w:val="nil"/>
              <w:bottom w:val="single" w:sz="4" w:space="0" w:color="auto"/>
              <w:right w:val="single" w:sz="4" w:space="0" w:color="auto"/>
            </w:tcBorders>
            <w:shd w:val="clear" w:color="auto" w:fill="auto"/>
            <w:hideMark/>
          </w:tcPr>
          <w:p w14:paraId="04DD5E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IZM/CFLA</w:t>
            </w:r>
          </w:p>
        </w:tc>
        <w:tc>
          <w:tcPr>
            <w:tcW w:w="0" w:type="auto"/>
            <w:tcBorders>
              <w:top w:val="nil"/>
              <w:left w:val="nil"/>
              <w:bottom w:val="single" w:sz="4" w:space="0" w:color="auto"/>
              <w:right w:val="single" w:sz="4" w:space="0" w:color="auto"/>
            </w:tcBorders>
            <w:shd w:val="clear" w:color="auto" w:fill="auto"/>
            <w:hideMark/>
          </w:tcPr>
          <w:p w14:paraId="3B8AEF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5C0008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2023(4); 2024(3)</w:t>
            </w:r>
          </w:p>
        </w:tc>
        <w:tc>
          <w:tcPr>
            <w:tcW w:w="0" w:type="auto"/>
            <w:tcBorders>
              <w:top w:val="nil"/>
              <w:left w:val="nil"/>
              <w:bottom w:val="single" w:sz="4" w:space="0" w:color="auto"/>
              <w:right w:val="single" w:sz="4" w:space="0" w:color="auto"/>
            </w:tcBorders>
            <w:shd w:val="clear" w:color="000000" w:fill="FFFFFF"/>
            <w:hideMark/>
          </w:tcPr>
          <w:p w14:paraId="084C47E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16E092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Sociālā aizsardzība un iekļaušana</w:t>
            </w:r>
          </w:p>
        </w:tc>
        <w:tc>
          <w:tcPr>
            <w:tcW w:w="0" w:type="auto"/>
            <w:tcBorders>
              <w:top w:val="nil"/>
              <w:left w:val="nil"/>
              <w:bottom w:val="single" w:sz="4" w:space="0" w:color="auto"/>
              <w:right w:val="single" w:sz="4" w:space="0" w:color="auto"/>
            </w:tcBorders>
            <w:shd w:val="clear" w:color="000000" w:fill="FFFFFF"/>
            <w:hideMark/>
          </w:tcPr>
          <w:p w14:paraId="25631B6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7A3785D1"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2CDED8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Prasmju fondu attīstība un pilotēšana</w:t>
            </w:r>
            <w:r w:rsidRPr="00BF055E">
              <w:rPr>
                <w:rFonts w:eastAsia="Times New Roman" w:cs="Times New Roman"/>
                <w:sz w:val="18"/>
                <w:szCs w:val="18"/>
                <w:lang w:eastAsia="lv-LV"/>
              </w:rPr>
              <w:br/>
            </w:r>
            <w:r w:rsidRPr="00BF055E">
              <w:rPr>
                <w:rFonts w:eastAsia="Times New Roman" w:cs="Times New Roman"/>
                <w:sz w:val="18"/>
                <w:szCs w:val="18"/>
                <w:lang w:eastAsia="lv-LV"/>
              </w:rPr>
              <w:br/>
              <w:t xml:space="preserve">(ESF+ 4.2.4.1. </w:t>
            </w:r>
            <w:r w:rsidRPr="00BF055E">
              <w:rPr>
                <w:rFonts w:eastAsia="Times New Roman" w:cs="Times New Roman"/>
                <w:sz w:val="18"/>
                <w:szCs w:val="18"/>
                <w:lang w:eastAsia="lv-LV"/>
              </w:rPr>
              <w:lastRenderedPageBreak/>
              <w:t>pasākuma "Atbalsts nozaru vajadzībās balstītai pieaugušo izglītībai" otrā kārta)</w:t>
            </w:r>
          </w:p>
        </w:tc>
        <w:tc>
          <w:tcPr>
            <w:tcW w:w="1839" w:type="dxa"/>
            <w:tcBorders>
              <w:top w:val="nil"/>
              <w:left w:val="nil"/>
              <w:bottom w:val="single" w:sz="4" w:space="0" w:color="auto"/>
              <w:right w:val="single" w:sz="4" w:space="0" w:color="auto"/>
            </w:tcBorders>
            <w:shd w:val="clear" w:color="000000" w:fill="FFFFFF"/>
            <w:hideMark/>
          </w:tcPr>
          <w:p w14:paraId="7C2B7FB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Izstrādāt Latvijai atbilstošu prasmju fondu finansēšanas un </w:t>
            </w:r>
            <w:r w:rsidRPr="00BF055E">
              <w:rPr>
                <w:rFonts w:eastAsia="Times New Roman" w:cs="Times New Roman"/>
                <w:sz w:val="18"/>
                <w:szCs w:val="18"/>
                <w:lang w:eastAsia="lv-LV"/>
              </w:rPr>
              <w:lastRenderedPageBreak/>
              <w:t xml:space="preserve">darbības modeli, ar nodomu tam ilgtermiņā kļūt par </w:t>
            </w:r>
            <w:proofErr w:type="spellStart"/>
            <w:r w:rsidRPr="00BF055E">
              <w:rPr>
                <w:rFonts w:eastAsia="Times New Roman" w:cs="Times New Roman"/>
                <w:sz w:val="18"/>
                <w:szCs w:val="18"/>
                <w:lang w:eastAsia="lv-LV"/>
              </w:rPr>
              <w:t>pašregulējošu</w:t>
            </w:r>
            <w:proofErr w:type="spellEnd"/>
            <w:r w:rsidRPr="00BF055E">
              <w:rPr>
                <w:rFonts w:eastAsia="Times New Roman" w:cs="Times New Roman"/>
                <w:sz w:val="18"/>
                <w:szCs w:val="18"/>
                <w:lang w:eastAsia="lv-LV"/>
              </w:rPr>
              <w:t xml:space="preserve"> un </w:t>
            </w:r>
            <w:proofErr w:type="spellStart"/>
            <w:r w:rsidRPr="00BF055E">
              <w:rPr>
                <w:rFonts w:eastAsia="Times New Roman" w:cs="Times New Roman"/>
                <w:sz w:val="18"/>
                <w:szCs w:val="18"/>
                <w:lang w:eastAsia="lv-LV"/>
              </w:rPr>
              <w:t>pašfinansējošu</w:t>
            </w:r>
            <w:proofErr w:type="spellEnd"/>
            <w:r w:rsidRPr="00BF055E">
              <w:rPr>
                <w:rFonts w:eastAsia="Times New Roman" w:cs="Times New Roman"/>
                <w:sz w:val="18"/>
                <w:szCs w:val="18"/>
                <w:lang w:eastAsia="lv-LV"/>
              </w:rPr>
              <w:t xml:space="preserve"> struktūru, attīstot sociālajā dialogā balstītu sistēmu nozares uzņēmumā nodarbināto, tai skaitā, </w:t>
            </w:r>
            <w:proofErr w:type="spellStart"/>
            <w:r w:rsidRPr="00BF055E">
              <w:rPr>
                <w:rFonts w:eastAsia="Times New Roman" w:cs="Times New Roman"/>
                <w:sz w:val="18"/>
                <w:szCs w:val="18"/>
                <w:lang w:eastAsia="lv-LV"/>
              </w:rPr>
              <w:t>pašnodarbināto</w:t>
            </w:r>
            <w:proofErr w:type="spellEnd"/>
            <w:r w:rsidRPr="00BF055E">
              <w:rPr>
                <w:rFonts w:eastAsia="Times New Roman" w:cs="Times New Roman"/>
                <w:sz w:val="18"/>
                <w:szCs w:val="18"/>
                <w:lang w:eastAsia="lv-LV"/>
              </w:rPr>
              <w:t xml:space="preserve"> un nozares potenciālā darba spēka prasmju attīstībai ātrai un efektīvai darbaspēka pielāgošanai darba tirgus attīstības vajadzībām.</w:t>
            </w:r>
          </w:p>
        </w:tc>
        <w:tc>
          <w:tcPr>
            <w:tcW w:w="2739" w:type="dxa"/>
            <w:tcBorders>
              <w:top w:val="nil"/>
              <w:left w:val="nil"/>
              <w:bottom w:val="single" w:sz="4" w:space="0" w:color="auto"/>
              <w:right w:val="single" w:sz="4" w:space="0" w:color="auto"/>
            </w:tcBorders>
            <w:shd w:val="clear" w:color="000000" w:fill="FFFFFF"/>
            <w:hideMark/>
          </w:tcPr>
          <w:p w14:paraId="2BCFC7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(2024.g.IV cet.)</w:t>
            </w:r>
            <w:r w:rsidRPr="00BF055E">
              <w:rPr>
                <w:rFonts w:eastAsia="Times New Roman" w:cs="Times New Roman"/>
                <w:sz w:val="18"/>
                <w:szCs w:val="18"/>
                <w:lang w:eastAsia="lv-LV"/>
              </w:rPr>
              <w:br/>
              <w:t>2) 2) Projekta / u uzsākšana (2025.g. 1. pusgads)</w:t>
            </w:r>
          </w:p>
        </w:tc>
        <w:tc>
          <w:tcPr>
            <w:tcW w:w="960" w:type="dxa"/>
            <w:tcBorders>
              <w:top w:val="nil"/>
              <w:left w:val="nil"/>
              <w:bottom w:val="single" w:sz="4" w:space="0" w:color="auto"/>
              <w:right w:val="single" w:sz="4" w:space="0" w:color="auto"/>
            </w:tcBorders>
            <w:shd w:val="clear" w:color="000000" w:fill="FFFFFF"/>
            <w:hideMark/>
          </w:tcPr>
          <w:p w14:paraId="5D1FBE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 -2029.</w:t>
            </w:r>
          </w:p>
        </w:tc>
        <w:tc>
          <w:tcPr>
            <w:tcW w:w="1668" w:type="dxa"/>
            <w:tcBorders>
              <w:top w:val="nil"/>
              <w:left w:val="nil"/>
              <w:bottom w:val="single" w:sz="4" w:space="0" w:color="auto"/>
              <w:right w:val="single" w:sz="4" w:space="0" w:color="auto"/>
            </w:tcBorders>
            <w:shd w:val="clear" w:color="auto" w:fill="auto"/>
            <w:hideMark/>
          </w:tcPr>
          <w:p w14:paraId="25D4A4C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pieejamais attiecināmais </w:t>
            </w:r>
            <w:r w:rsidRPr="00BF055E">
              <w:rPr>
                <w:rFonts w:eastAsia="Times New Roman" w:cs="Times New Roman"/>
                <w:sz w:val="18"/>
                <w:szCs w:val="18"/>
                <w:lang w:eastAsia="lv-LV"/>
              </w:rPr>
              <w:lastRenderedPageBreak/>
              <w:t>publiskais finansējums  5 762 728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w:t>
            </w:r>
            <w:r w:rsidRPr="00BF055E">
              <w:rPr>
                <w:rFonts w:eastAsia="Times New Roman" w:cs="Times New Roman"/>
                <w:sz w:val="18"/>
                <w:szCs w:val="18"/>
                <w:lang w:eastAsia="lv-LV"/>
              </w:rPr>
              <w:br/>
              <w:t xml:space="preserve">ESF+: 4 898 319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 VB: 864 409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69C25C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w:t>
            </w:r>
          </w:p>
        </w:tc>
        <w:tc>
          <w:tcPr>
            <w:tcW w:w="0" w:type="auto"/>
            <w:tcBorders>
              <w:top w:val="nil"/>
              <w:left w:val="nil"/>
              <w:bottom w:val="single" w:sz="4" w:space="0" w:color="auto"/>
              <w:right w:val="single" w:sz="4" w:space="0" w:color="auto"/>
            </w:tcBorders>
            <w:shd w:val="clear" w:color="000000" w:fill="FFFFFF"/>
            <w:hideMark/>
          </w:tcPr>
          <w:p w14:paraId="6061B92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20085C3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w:t>
            </w:r>
          </w:p>
        </w:tc>
        <w:tc>
          <w:tcPr>
            <w:tcW w:w="0" w:type="auto"/>
            <w:tcBorders>
              <w:top w:val="nil"/>
              <w:left w:val="nil"/>
              <w:bottom w:val="single" w:sz="4" w:space="0" w:color="auto"/>
              <w:right w:val="single" w:sz="4" w:space="0" w:color="auto"/>
            </w:tcBorders>
            <w:shd w:val="clear" w:color="000000" w:fill="FFFFFF"/>
            <w:hideMark/>
          </w:tcPr>
          <w:p w14:paraId="7BC778E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2E7659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Vienādas iespējas un darba tirgus </w:t>
            </w:r>
            <w:r w:rsidRPr="00BF055E">
              <w:rPr>
                <w:rFonts w:eastAsia="Times New Roman" w:cs="Times New Roman"/>
                <w:sz w:val="18"/>
                <w:szCs w:val="18"/>
                <w:lang w:eastAsia="lv-LV"/>
              </w:rPr>
              <w:lastRenderedPageBreak/>
              <w:t>pieejamība</w:t>
            </w:r>
          </w:p>
        </w:tc>
        <w:tc>
          <w:tcPr>
            <w:tcW w:w="0" w:type="auto"/>
            <w:tcBorders>
              <w:top w:val="nil"/>
              <w:left w:val="nil"/>
              <w:bottom w:val="single" w:sz="4" w:space="0" w:color="auto"/>
              <w:right w:val="single" w:sz="4" w:space="0" w:color="auto"/>
            </w:tcBorders>
            <w:shd w:val="clear" w:color="000000" w:fill="FFFFFF"/>
            <w:hideMark/>
          </w:tcPr>
          <w:p w14:paraId="0D6517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4.Kvalitatīva izglītība</w:t>
            </w:r>
          </w:p>
        </w:tc>
      </w:tr>
      <w:tr w:rsidR="00BF055E" w:rsidRPr="00BF055E" w14:paraId="7AEBF0E0"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3F15AD0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Kvalitātes uzraudzība pieaugušo izglītībā </w:t>
            </w:r>
            <w:r w:rsidRPr="00BF055E">
              <w:rPr>
                <w:rFonts w:eastAsia="Times New Roman" w:cs="Times New Roman"/>
                <w:sz w:val="18"/>
                <w:szCs w:val="18"/>
                <w:lang w:eastAsia="lv-LV"/>
              </w:rPr>
              <w:br/>
              <w:t>(ESF+ 4.2.4.2 pasākuma "Atbalsts pieaugušo individuālajās vajadzībās balstītai pieaugušo izglītībai" ietvaros)</w:t>
            </w:r>
          </w:p>
        </w:tc>
        <w:tc>
          <w:tcPr>
            <w:tcW w:w="1839" w:type="dxa"/>
            <w:tcBorders>
              <w:top w:val="nil"/>
              <w:left w:val="nil"/>
              <w:bottom w:val="single" w:sz="4" w:space="0" w:color="auto"/>
              <w:right w:val="single" w:sz="4" w:space="0" w:color="auto"/>
            </w:tcBorders>
            <w:shd w:val="clear" w:color="000000" w:fill="FFFFFF"/>
            <w:hideMark/>
          </w:tcPr>
          <w:p w14:paraId="3D9B69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Attīstīt pieaugušo formālās un neformālās izglītības kvalitātes uzraudzības sistēmu </w:t>
            </w:r>
          </w:p>
        </w:tc>
        <w:tc>
          <w:tcPr>
            <w:tcW w:w="2739" w:type="dxa"/>
            <w:tcBorders>
              <w:top w:val="nil"/>
              <w:left w:val="nil"/>
              <w:bottom w:val="single" w:sz="4" w:space="0" w:color="auto"/>
              <w:right w:val="single" w:sz="4" w:space="0" w:color="auto"/>
            </w:tcBorders>
            <w:shd w:val="clear" w:color="000000" w:fill="FFFFFF"/>
            <w:hideMark/>
          </w:tcPr>
          <w:p w14:paraId="0E31783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Izveidota pieaugušo formālās un neformālās izglītības kvalitātes uzraudzības sistēma, tostarp:</w:t>
            </w:r>
            <w:r w:rsidRPr="00BF055E">
              <w:rPr>
                <w:rFonts w:eastAsia="Times New Roman" w:cs="Times New Roman"/>
                <w:sz w:val="18"/>
                <w:szCs w:val="18"/>
                <w:lang w:eastAsia="lv-LV"/>
              </w:rPr>
              <w:br/>
              <w:t>1) Apstiprināts un uzsākta SAM 4.2.4.2. projekta īstenošana (2024. 4. cet.)</w:t>
            </w:r>
            <w:r w:rsidRPr="00BF055E">
              <w:rPr>
                <w:rFonts w:eastAsia="Times New Roman" w:cs="Times New Roman"/>
                <w:sz w:val="18"/>
                <w:szCs w:val="18"/>
                <w:lang w:eastAsia="lv-LV"/>
              </w:rPr>
              <w:br/>
              <w:t xml:space="preserve">2) Izstrādāta vienota metodika sistēmiskai pieaugušo izglītības kvalitātes uzraudzībai un ieviešanas plāns tās īstenošanai; </w:t>
            </w:r>
            <w:r w:rsidRPr="00BF055E">
              <w:rPr>
                <w:rFonts w:eastAsia="Times New Roman" w:cs="Times New Roman"/>
                <w:sz w:val="18"/>
                <w:szCs w:val="18"/>
                <w:lang w:eastAsia="lv-LV"/>
              </w:rPr>
              <w:br/>
              <w:t xml:space="preserve">3) sniegts metodiskais atbalsts izglītības iestādēm (regulāri); </w:t>
            </w:r>
            <w:r w:rsidRPr="00BF055E">
              <w:rPr>
                <w:rFonts w:eastAsia="Times New Roman" w:cs="Times New Roman"/>
                <w:sz w:val="18"/>
                <w:szCs w:val="18"/>
                <w:lang w:eastAsia="lv-LV"/>
              </w:rPr>
              <w:br/>
              <w:t>4) nodrošināta sabiedrības informēšana par pieaugušo izglītības kvalitāti (regulāri);</w:t>
            </w:r>
            <w:r w:rsidRPr="00BF055E">
              <w:rPr>
                <w:rFonts w:eastAsia="Times New Roman" w:cs="Times New Roman"/>
                <w:sz w:val="18"/>
                <w:szCs w:val="18"/>
                <w:lang w:eastAsia="lv-LV"/>
              </w:rPr>
              <w:br/>
              <w:t>5) veikta pieaugošo izglītības īstenotāju darbības un pieaugušo izglītības programmu īstenošanas uzraudzība (regulāri).</w:t>
            </w:r>
          </w:p>
        </w:tc>
        <w:tc>
          <w:tcPr>
            <w:tcW w:w="960" w:type="dxa"/>
            <w:tcBorders>
              <w:top w:val="nil"/>
              <w:left w:val="nil"/>
              <w:bottom w:val="single" w:sz="4" w:space="0" w:color="auto"/>
              <w:right w:val="single" w:sz="4" w:space="0" w:color="auto"/>
            </w:tcBorders>
            <w:shd w:val="clear" w:color="000000" w:fill="FFFFFF"/>
            <w:hideMark/>
          </w:tcPr>
          <w:p w14:paraId="1ADDF7E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2024.-2029. </w:t>
            </w:r>
          </w:p>
        </w:tc>
        <w:tc>
          <w:tcPr>
            <w:tcW w:w="1668" w:type="dxa"/>
            <w:tcBorders>
              <w:top w:val="nil"/>
              <w:left w:val="nil"/>
              <w:bottom w:val="single" w:sz="4" w:space="0" w:color="auto"/>
              <w:right w:val="single" w:sz="4" w:space="0" w:color="auto"/>
            </w:tcBorders>
            <w:shd w:val="clear" w:color="auto" w:fill="auto"/>
            <w:hideMark/>
          </w:tcPr>
          <w:p w14:paraId="507C208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SAM 4.2.4.2. pasākuma plānotais kopējais attiecināmais finansējums: 34 623 466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ESF+: 29 429 946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VB : 5 193 520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1069" w:type="dxa"/>
            <w:tcBorders>
              <w:top w:val="nil"/>
              <w:left w:val="nil"/>
              <w:bottom w:val="single" w:sz="4" w:space="0" w:color="auto"/>
              <w:right w:val="single" w:sz="4" w:space="0" w:color="auto"/>
            </w:tcBorders>
            <w:shd w:val="clear" w:color="000000" w:fill="FFFFFF"/>
            <w:hideMark/>
          </w:tcPr>
          <w:p w14:paraId="44F98D9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 (IKVD), VIAA / LM (NVA), EM</w:t>
            </w:r>
          </w:p>
        </w:tc>
        <w:tc>
          <w:tcPr>
            <w:tcW w:w="0" w:type="auto"/>
            <w:tcBorders>
              <w:top w:val="nil"/>
              <w:left w:val="nil"/>
              <w:bottom w:val="single" w:sz="4" w:space="0" w:color="auto"/>
              <w:right w:val="single" w:sz="4" w:space="0" w:color="auto"/>
            </w:tcBorders>
            <w:shd w:val="clear" w:color="000000" w:fill="FFFFFF"/>
            <w:hideMark/>
          </w:tcPr>
          <w:p w14:paraId="34B91D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3CB7A8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w:t>
            </w:r>
          </w:p>
        </w:tc>
        <w:tc>
          <w:tcPr>
            <w:tcW w:w="0" w:type="auto"/>
            <w:tcBorders>
              <w:top w:val="nil"/>
              <w:left w:val="nil"/>
              <w:bottom w:val="single" w:sz="4" w:space="0" w:color="auto"/>
              <w:right w:val="single" w:sz="4" w:space="0" w:color="auto"/>
            </w:tcBorders>
            <w:shd w:val="clear" w:color="000000" w:fill="FFFFFF"/>
            <w:hideMark/>
          </w:tcPr>
          <w:p w14:paraId="6CB95E6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1E67E85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134937B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725CFA74"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884A9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Nodarbināto iedzīvotāju, tai skaitā ar zemu izglītības līmeni, kvalifikācijas un prasmju pilnveide  (re-</w:t>
            </w:r>
            <w:proofErr w:type="spellStart"/>
            <w:r w:rsidRPr="00BF055E">
              <w:rPr>
                <w:rFonts w:eastAsia="Times New Roman" w:cs="Times New Roman"/>
                <w:sz w:val="18"/>
                <w:szCs w:val="18"/>
                <w:lang w:eastAsia="lv-LV"/>
              </w:rPr>
              <w:t>skilling</w:t>
            </w:r>
            <w:proofErr w:type="spellEnd"/>
            <w:r w:rsidRPr="00BF055E">
              <w:rPr>
                <w:rFonts w:eastAsia="Times New Roman" w:cs="Times New Roman"/>
                <w:sz w:val="18"/>
                <w:szCs w:val="18"/>
                <w:lang w:eastAsia="lv-LV"/>
              </w:rPr>
              <w:t xml:space="preserve"> / </w:t>
            </w:r>
            <w:proofErr w:type="spellStart"/>
            <w:r w:rsidRPr="00BF055E">
              <w:rPr>
                <w:rFonts w:eastAsia="Times New Roman" w:cs="Times New Roman"/>
                <w:sz w:val="18"/>
                <w:szCs w:val="18"/>
                <w:lang w:eastAsia="lv-LV"/>
              </w:rPr>
              <w:t>up-skilling</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(ESF+ 4.2.4.2 pasākums "Atbalsts pieaugušo individuālajās vajadzībās balstītai pieaugušo izglītībai")</w:t>
            </w:r>
          </w:p>
        </w:tc>
        <w:tc>
          <w:tcPr>
            <w:tcW w:w="1839" w:type="dxa"/>
            <w:tcBorders>
              <w:top w:val="nil"/>
              <w:left w:val="nil"/>
              <w:bottom w:val="single" w:sz="4" w:space="0" w:color="auto"/>
              <w:right w:val="single" w:sz="4" w:space="0" w:color="auto"/>
            </w:tcBorders>
            <w:shd w:val="clear" w:color="000000" w:fill="FFFFFF"/>
            <w:hideMark/>
          </w:tcPr>
          <w:p w14:paraId="246586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Nodrošināt atbalstu 28 000 nodarbinātām personām, t.sk.  14 000 nodarbinām personām ar zemu izglītības līmeni darba tirgū nepieciešamo prasmju vai kvalifikācijas iegūšanai vai pilnveidei </w:t>
            </w:r>
          </w:p>
        </w:tc>
        <w:tc>
          <w:tcPr>
            <w:tcW w:w="2739" w:type="dxa"/>
            <w:tcBorders>
              <w:top w:val="nil"/>
              <w:left w:val="nil"/>
              <w:bottom w:val="single" w:sz="4" w:space="0" w:color="auto"/>
              <w:right w:val="single" w:sz="4" w:space="0" w:color="auto"/>
            </w:tcBorders>
            <w:shd w:val="clear" w:color="000000" w:fill="FFFFFF"/>
            <w:hideMark/>
          </w:tcPr>
          <w:p w14:paraId="65D87D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Apstiprināts un uzsākta SAM 4.2.4.2. projekta īstenošana (2024. 4. cet.)</w:t>
            </w:r>
            <w:r w:rsidRPr="00BF055E">
              <w:rPr>
                <w:rFonts w:eastAsia="Times New Roman" w:cs="Times New Roman"/>
                <w:sz w:val="18"/>
                <w:szCs w:val="18"/>
                <w:lang w:eastAsia="lv-LV"/>
              </w:rPr>
              <w:br/>
              <w:t>2) Izstrādāts konceptuāla risinājuma apraksts un tā</w:t>
            </w:r>
            <w:r w:rsidRPr="00BF055E">
              <w:rPr>
                <w:rFonts w:eastAsia="Times New Roman" w:cs="Times New Roman"/>
                <w:sz w:val="18"/>
                <w:szCs w:val="18"/>
                <w:lang w:eastAsia="lv-LV"/>
              </w:rPr>
              <w:br/>
              <w:t>īstenošanas plāns, lai sasniegtu, informētu un motivētu nodarbinātos ar zemu izglītības līmeni iesaistīties mācībās (2024. gada 2024. gada 4.cet.);</w:t>
            </w:r>
            <w:r w:rsidRPr="00BF055E">
              <w:rPr>
                <w:rFonts w:eastAsia="Times New Roman" w:cs="Times New Roman"/>
                <w:sz w:val="18"/>
                <w:szCs w:val="18"/>
                <w:lang w:eastAsia="lv-LV"/>
              </w:rPr>
              <w:br/>
              <w:t>3) Nodrošināts atbalsts un mācības (regulāri);</w:t>
            </w:r>
            <w:r w:rsidRPr="00BF055E">
              <w:rPr>
                <w:rFonts w:eastAsia="Times New Roman" w:cs="Times New Roman"/>
                <w:sz w:val="18"/>
                <w:szCs w:val="18"/>
                <w:lang w:eastAsia="lv-LV"/>
              </w:rPr>
              <w:br/>
              <w:t>4) Aktualizēts konceptuālā risinājuma apraksts un tā īstenošanas plāns (1xgadā)</w:t>
            </w:r>
          </w:p>
        </w:tc>
        <w:tc>
          <w:tcPr>
            <w:tcW w:w="960" w:type="dxa"/>
            <w:tcBorders>
              <w:top w:val="nil"/>
              <w:left w:val="nil"/>
              <w:bottom w:val="single" w:sz="4" w:space="0" w:color="auto"/>
              <w:right w:val="single" w:sz="4" w:space="0" w:color="auto"/>
            </w:tcBorders>
            <w:shd w:val="clear" w:color="000000" w:fill="FFFFFF"/>
            <w:hideMark/>
          </w:tcPr>
          <w:p w14:paraId="3D462C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 </w:t>
            </w:r>
          </w:p>
        </w:tc>
        <w:tc>
          <w:tcPr>
            <w:tcW w:w="1668" w:type="dxa"/>
            <w:tcBorders>
              <w:top w:val="nil"/>
              <w:left w:val="nil"/>
              <w:bottom w:val="single" w:sz="4" w:space="0" w:color="auto"/>
              <w:right w:val="single" w:sz="4" w:space="0" w:color="auto"/>
            </w:tcBorders>
            <w:shd w:val="clear" w:color="auto" w:fill="auto"/>
            <w:hideMark/>
          </w:tcPr>
          <w:p w14:paraId="48164F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ESF+ SAM 4.2.4.2. finansējuma ietvaros  </w:t>
            </w:r>
            <w:r w:rsidRPr="00BF055E">
              <w:rPr>
                <w:rFonts w:eastAsia="Times New Roman" w:cs="Times New Roman"/>
                <w:sz w:val="18"/>
                <w:szCs w:val="18"/>
                <w:lang w:eastAsia="lv-LV"/>
              </w:rPr>
              <w:br/>
              <w:t xml:space="preserve">Pasākumam plānotais kopējais attiecināmais finansējums ir 34 623 466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ko veido ESF+ finansējums – 29 429 946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5 193 520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1B048A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 (VIAA) / EM, LM</w:t>
            </w:r>
          </w:p>
        </w:tc>
        <w:tc>
          <w:tcPr>
            <w:tcW w:w="0" w:type="auto"/>
            <w:tcBorders>
              <w:top w:val="nil"/>
              <w:left w:val="nil"/>
              <w:bottom w:val="single" w:sz="4" w:space="0" w:color="auto"/>
              <w:right w:val="single" w:sz="4" w:space="0" w:color="auto"/>
            </w:tcBorders>
            <w:shd w:val="clear" w:color="000000" w:fill="FFFFFF"/>
            <w:hideMark/>
          </w:tcPr>
          <w:p w14:paraId="1842C0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53EDF9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w:t>
            </w:r>
          </w:p>
        </w:tc>
        <w:tc>
          <w:tcPr>
            <w:tcW w:w="0" w:type="auto"/>
            <w:tcBorders>
              <w:top w:val="nil"/>
              <w:left w:val="nil"/>
              <w:bottom w:val="single" w:sz="4" w:space="0" w:color="auto"/>
              <w:right w:val="single" w:sz="4" w:space="0" w:color="auto"/>
            </w:tcBorders>
            <w:shd w:val="clear" w:color="000000" w:fill="FFFFFF"/>
            <w:hideMark/>
          </w:tcPr>
          <w:p w14:paraId="6B8804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5C226E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2FFC051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6E3EDA55" w14:textId="77777777" w:rsidTr="003B1594">
        <w:trPr>
          <w:trHeight w:val="20"/>
        </w:trPr>
        <w:tc>
          <w:tcPr>
            <w:tcW w:w="0" w:type="auto"/>
            <w:gridSpan w:val="11"/>
            <w:tcBorders>
              <w:top w:val="single" w:sz="4" w:space="0" w:color="auto"/>
              <w:left w:val="single" w:sz="4" w:space="0" w:color="auto"/>
              <w:bottom w:val="single" w:sz="4" w:space="0" w:color="auto"/>
              <w:right w:val="single" w:sz="4" w:space="0" w:color="auto"/>
            </w:tcBorders>
            <w:shd w:val="clear" w:color="000000" w:fill="F2F2F2"/>
            <w:hideMark/>
          </w:tcPr>
          <w:p w14:paraId="74013AEF"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Zaļo prasmju attīstība</w:t>
            </w:r>
          </w:p>
        </w:tc>
      </w:tr>
      <w:tr w:rsidR="00BF055E" w:rsidRPr="00BF055E" w14:paraId="05B46020"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C4AE4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(ESF+ SAM 6.1.1.5. pasākums "Nodarbināto prasmju paaugstināšana un atbalsts kvalifikācijas iegūšanai, atbalsts darbaspēka mācībām")</w:t>
            </w:r>
          </w:p>
        </w:tc>
        <w:tc>
          <w:tcPr>
            <w:tcW w:w="1839" w:type="dxa"/>
            <w:tcBorders>
              <w:top w:val="nil"/>
              <w:left w:val="nil"/>
              <w:bottom w:val="single" w:sz="4" w:space="0" w:color="auto"/>
              <w:right w:val="single" w:sz="4" w:space="0" w:color="auto"/>
            </w:tcBorders>
            <w:shd w:val="clear" w:color="000000" w:fill="FFFFFF"/>
            <w:hideMark/>
          </w:tcPr>
          <w:p w14:paraId="6024DCF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Kūdras nozarē un saistītājās nozarēs nodarbināto prasmju paaugstināšana un atbalsts profesionālās kvalifikācijas iegūšanai, lai pielāgotos ekonomikas zaļās pārkārtošanās rezultātā radītajām darba tirgus vajadzībām. Kurzemes, Latgales, Vidzemes un Zemgales statistiskajā reģionā atbalstīto nodarbināto skaits – 3 950; Profesionālajā izglītībā iesaistīto izglītojamo skaits  - 1  609. </w:t>
            </w:r>
          </w:p>
        </w:tc>
        <w:tc>
          <w:tcPr>
            <w:tcW w:w="2739" w:type="dxa"/>
            <w:tcBorders>
              <w:top w:val="nil"/>
              <w:left w:val="nil"/>
              <w:bottom w:val="single" w:sz="4" w:space="0" w:color="auto"/>
              <w:right w:val="single" w:sz="4" w:space="0" w:color="auto"/>
            </w:tcBorders>
            <w:shd w:val="clear" w:color="000000" w:fill="FFFFFF"/>
            <w:hideMark/>
          </w:tcPr>
          <w:p w14:paraId="013F150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(2024.g.IV cet.);</w:t>
            </w:r>
            <w:r w:rsidRPr="00BF055E">
              <w:rPr>
                <w:rFonts w:eastAsia="Times New Roman" w:cs="Times New Roman"/>
                <w:sz w:val="18"/>
                <w:szCs w:val="18"/>
                <w:lang w:eastAsia="lv-LV"/>
              </w:rPr>
              <w:br/>
              <w:t>2) Projekta uzsākšana (2025.g. 1. pusgads).</w:t>
            </w:r>
          </w:p>
        </w:tc>
        <w:tc>
          <w:tcPr>
            <w:tcW w:w="960" w:type="dxa"/>
            <w:tcBorders>
              <w:top w:val="nil"/>
              <w:left w:val="nil"/>
              <w:bottom w:val="single" w:sz="4" w:space="0" w:color="auto"/>
              <w:right w:val="single" w:sz="4" w:space="0" w:color="auto"/>
            </w:tcBorders>
            <w:shd w:val="clear" w:color="000000" w:fill="FFFFFF"/>
            <w:hideMark/>
          </w:tcPr>
          <w:p w14:paraId="6C177B9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 </w:t>
            </w:r>
          </w:p>
        </w:tc>
        <w:tc>
          <w:tcPr>
            <w:tcW w:w="1668" w:type="dxa"/>
            <w:tcBorders>
              <w:top w:val="nil"/>
              <w:left w:val="nil"/>
              <w:bottom w:val="single" w:sz="4" w:space="0" w:color="auto"/>
              <w:right w:val="single" w:sz="4" w:space="0" w:color="auto"/>
            </w:tcBorders>
            <w:shd w:val="clear" w:color="auto" w:fill="auto"/>
            <w:hideMark/>
          </w:tcPr>
          <w:p w14:paraId="5BEC86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Plānotais kopējais attiecināmais finansējums: 19 937 020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Taisnīgas pārkārtošanas fonda finansējums: 16 946 467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VB:  2 990 553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1BFC481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000000" w:fill="FFFFFF"/>
            <w:hideMark/>
          </w:tcPr>
          <w:p w14:paraId="3867014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 (JTF)</w:t>
            </w:r>
          </w:p>
        </w:tc>
        <w:tc>
          <w:tcPr>
            <w:tcW w:w="0" w:type="auto"/>
            <w:tcBorders>
              <w:top w:val="nil"/>
              <w:left w:val="nil"/>
              <w:bottom w:val="single" w:sz="4" w:space="0" w:color="auto"/>
              <w:right w:val="single" w:sz="4" w:space="0" w:color="auto"/>
            </w:tcBorders>
            <w:shd w:val="clear" w:color="auto" w:fill="auto"/>
            <w:hideMark/>
          </w:tcPr>
          <w:p w14:paraId="62A9205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2020(2); 2023(4); 2024(3)</w:t>
            </w:r>
          </w:p>
        </w:tc>
        <w:tc>
          <w:tcPr>
            <w:tcW w:w="0" w:type="auto"/>
            <w:tcBorders>
              <w:top w:val="nil"/>
              <w:left w:val="nil"/>
              <w:bottom w:val="single" w:sz="4" w:space="0" w:color="auto"/>
              <w:right w:val="single" w:sz="4" w:space="0" w:color="auto"/>
            </w:tcBorders>
            <w:shd w:val="clear" w:color="000000" w:fill="FFFFFF"/>
            <w:hideMark/>
          </w:tcPr>
          <w:p w14:paraId="0D4992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5A7C7E6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75096D5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3245FA2B"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3D8640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Pašvaldību un reģionu speciālistu prasmju paaugstināšana </w:t>
            </w:r>
            <w:proofErr w:type="spellStart"/>
            <w:r w:rsidRPr="00BF055E">
              <w:rPr>
                <w:rFonts w:eastAsia="Times New Roman" w:cs="Times New Roman"/>
                <w:sz w:val="18"/>
                <w:szCs w:val="18"/>
                <w:lang w:eastAsia="lv-LV"/>
              </w:rPr>
              <w:t>klimatneitrālas</w:t>
            </w:r>
            <w:proofErr w:type="spellEnd"/>
            <w:r w:rsidRPr="00BF055E">
              <w:rPr>
                <w:rFonts w:eastAsia="Times New Roman" w:cs="Times New Roman"/>
                <w:sz w:val="18"/>
                <w:szCs w:val="18"/>
                <w:lang w:eastAsia="lv-LV"/>
              </w:rPr>
              <w:t xml:space="preserve"> ekonomikas un sociālekonomisko seku saistībā ar klimata pārmaiņām mazināšanas jautājumos (Programma (TPTP)</w:t>
            </w:r>
            <w:r w:rsidRPr="00BF055E">
              <w:rPr>
                <w:rFonts w:eastAsia="Times New Roman" w:cs="Times New Roman"/>
                <w:sz w:val="18"/>
                <w:szCs w:val="18"/>
                <w:lang w:eastAsia="lv-LV"/>
              </w:rPr>
              <w:br/>
              <w:t>6.1.1.8. (bez elastības finansējuma rādītājos un finansēs))</w:t>
            </w:r>
          </w:p>
        </w:tc>
        <w:tc>
          <w:tcPr>
            <w:tcW w:w="1839" w:type="dxa"/>
            <w:tcBorders>
              <w:top w:val="nil"/>
              <w:left w:val="nil"/>
              <w:bottom w:val="single" w:sz="4" w:space="0" w:color="auto"/>
              <w:right w:val="single" w:sz="4" w:space="0" w:color="auto"/>
            </w:tcBorders>
            <w:shd w:val="clear" w:color="000000" w:fill="FFFFFF"/>
            <w:hideMark/>
          </w:tcPr>
          <w:p w14:paraId="4F82F19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plānošanas reģionu un pašvaldību prasmju paaugstināšanas veicināšanā, lai nodrošinātu virzību uz </w:t>
            </w:r>
            <w:proofErr w:type="spellStart"/>
            <w:r w:rsidRPr="00BF055E">
              <w:rPr>
                <w:rFonts w:eastAsia="Times New Roman" w:cs="Times New Roman"/>
                <w:sz w:val="18"/>
                <w:szCs w:val="18"/>
                <w:lang w:eastAsia="lv-LV"/>
              </w:rPr>
              <w:t>klimatneitrālu</w:t>
            </w:r>
            <w:proofErr w:type="spellEnd"/>
            <w:r w:rsidRPr="00BF055E">
              <w:rPr>
                <w:rFonts w:eastAsia="Times New Roman" w:cs="Times New Roman"/>
                <w:sz w:val="18"/>
                <w:szCs w:val="18"/>
                <w:lang w:eastAsia="lv-LV"/>
              </w:rPr>
              <w:t xml:space="preserve"> ekonomiku un mazinātu riskus saistībā ar klimata pārmaiņām visvairāk skartajos reģionos, veicinot sociālekonomisko seku mazināšanu.</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īstenotas 4 reģionāla mēroga mācību programmas;</w:t>
            </w:r>
            <w:r w:rsidRPr="00BF055E">
              <w:rPr>
                <w:rFonts w:eastAsia="Times New Roman" w:cs="Times New Roman"/>
                <w:sz w:val="18"/>
                <w:szCs w:val="18"/>
                <w:lang w:eastAsia="lv-LV"/>
              </w:rPr>
              <w:br/>
              <w:t>2) 178 pašvaldību un reģionu speciālisti ar pilnveidotām zināšanām un prasmēm.</w:t>
            </w:r>
          </w:p>
        </w:tc>
        <w:tc>
          <w:tcPr>
            <w:tcW w:w="2739" w:type="dxa"/>
            <w:tcBorders>
              <w:top w:val="nil"/>
              <w:left w:val="nil"/>
              <w:bottom w:val="single" w:sz="4" w:space="0" w:color="auto"/>
              <w:right w:val="single" w:sz="4" w:space="0" w:color="auto"/>
            </w:tcBorders>
            <w:shd w:val="clear" w:color="000000" w:fill="FFFFFF"/>
            <w:hideMark/>
          </w:tcPr>
          <w:p w14:paraId="6D7AB71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(17.10.2023.);</w:t>
            </w:r>
            <w:r w:rsidRPr="00BF055E">
              <w:rPr>
                <w:rFonts w:eastAsia="Times New Roman" w:cs="Times New Roman"/>
                <w:sz w:val="18"/>
                <w:szCs w:val="18"/>
                <w:lang w:eastAsia="lv-LV"/>
              </w:rPr>
              <w:br/>
              <w:t>2) projektu iesniegumu vērtēšanas kritēriju apstiprināšana ES fondu Uzraudzības komitejā (19.07.2023.);</w:t>
            </w:r>
            <w:r w:rsidRPr="00BF055E">
              <w:rPr>
                <w:rFonts w:eastAsia="Times New Roman" w:cs="Times New Roman"/>
                <w:sz w:val="18"/>
                <w:szCs w:val="18"/>
                <w:lang w:eastAsia="lv-LV"/>
              </w:rPr>
              <w:br/>
              <w:t>3) ierobežotas atlases uzsākšana (15.11.2023.);</w:t>
            </w:r>
            <w:r w:rsidRPr="00BF055E">
              <w:rPr>
                <w:rFonts w:eastAsia="Times New Roman" w:cs="Times New Roman"/>
                <w:sz w:val="18"/>
                <w:szCs w:val="18"/>
                <w:lang w:eastAsia="lv-LV"/>
              </w:rPr>
              <w:br/>
              <w:t>4) līguma slēgšana (15.07.2024.) un projekta īstenošana.</w:t>
            </w:r>
          </w:p>
        </w:tc>
        <w:tc>
          <w:tcPr>
            <w:tcW w:w="960" w:type="dxa"/>
            <w:tcBorders>
              <w:top w:val="nil"/>
              <w:left w:val="nil"/>
              <w:bottom w:val="single" w:sz="4" w:space="0" w:color="auto"/>
              <w:right w:val="single" w:sz="4" w:space="0" w:color="auto"/>
            </w:tcBorders>
            <w:shd w:val="clear" w:color="000000" w:fill="FFFFFF"/>
            <w:hideMark/>
          </w:tcPr>
          <w:p w14:paraId="17CE14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15.07.2024.-31.12.2029.</w:t>
            </w:r>
          </w:p>
        </w:tc>
        <w:tc>
          <w:tcPr>
            <w:tcW w:w="1668" w:type="dxa"/>
            <w:tcBorders>
              <w:top w:val="nil"/>
              <w:left w:val="nil"/>
              <w:bottom w:val="single" w:sz="4" w:space="0" w:color="auto"/>
              <w:right w:val="single" w:sz="4" w:space="0" w:color="auto"/>
            </w:tcBorders>
            <w:shd w:val="clear" w:color="000000" w:fill="FFFFFF"/>
            <w:hideMark/>
          </w:tcPr>
          <w:p w14:paraId="57F4EF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1,4 milj. TPF; </w:t>
            </w:r>
            <w:r w:rsidRPr="00BF055E">
              <w:rPr>
                <w:rFonts w:eastAsia="Times New Roman" w:cs="Times New Roman"/>
                <w:sz w:val="18"/>
                <w:szCs w:val="18"/>
                <w:lang w:eastAsia="lv-LV"/>
              </w:rPr>
              <w:br/>
              <w:t>0,3 milj. nacionālais finansējums (valsts budžets)</w:t>
            </w:r>
          </w:p>
        </w:tc>
        <w:tc>
          <w:tcPr>
            <w:tcW w:w="1069" w:type="dxa"/>
            <w:tcBorders>
              <w:top w:val="nil"/>
              <w:left w:val="nil"/>
              <w:bottom w:val="single" w:sz="4" w:space="0" w:color="auto"/>
              <w:right w:val="single" w:sz="4" w:space="0" w:color="auto"/>
            </w:tcBorders>
            <w:shd w:val="clear" w:color="000000" w:fill="FFFFFF"/>
            <w:hideMark/>
          </w:tcPr>
          <w:p w14:paraId="6A9217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0" w:type="auto"/>
            <w:tcBorders>
              <w:top w:val="nil"/>
              <w:left w:val="nil"/>
              <w:bottom w:val="single" w:sz="4" w:space="0" w:color="auto"/>
              <w:right w:val="single" w:sz="4" w:space="0" w:color="auto"/>
            </w:tcBorders>
            <w:shd w:val="clear" w:color="000000" w:fill="FFFFFF"/>
            <w:hideMark/>
          </w:tcPr>
          <w:p w14:paraId="01A1CF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 (JTF)</w:t>
            </w:r>
          </w:p>
        </w:tc>
        <w:tc>
          <w:tcPr>
            <w:tcW w:w="0" w:type="auto"/>
            <w:tcBorders>
              <w:top w:val="nil"/>
              <w:left w:val="nil"/>
              <w:bottom w:val="single" w:sz="4" w:space="0" w:color="auto"/>
              <w:right w:val="single" w:sz="4" w:space="0" w:color="auto"/>
            </w:tcBorders>
            <w:shd w:val="clear" w:color="auto" w:fill="auto"/>
            <w:hideMark/>
          </w:tcPr>
          <w:p w14:paraId="37AC35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2020(2); 2023(4); 2024(3)</w:t>
            </w:r>
          </w:p>
        </w:tc>
        <w:tc>
          <w:tcPr>
            <w:tcW w:w="0" w:type="auto"/>
            <w:tcBorders>
              <w:top w:val="nil"/>
              <w:left w:val="nil"/>
              <w:bottom w:val="single" w:sz="4" w:space="0" w:color="auto"/>
              <w:right w:val="single" w:sz="4" w:space="0" w:color="auto"/>
            </w:tcBorders>
            <w:shd w:val="clear" w:color="000000" w:fill="FFFFFF"/>
            <w:hideMark/>
          </w:tcPr>
          <w:p w14:paraId="649B71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3A517D0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633639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73AF8D1A" w14:textId="77777777" w:rsidTr="003B1594">
        <w:trPr>
          <w:trHeight w:val="20"/>
        </w:trPr>
        <w:tc>
          <w:tcPr>
            <w:tcW w:w="0" w:type="auto"/>
            <w:gridSpan w:val="11"/>
            <w:tcBorders>
              <w:top w:val="single" w:sz="4" w:space="0" w:color="auto"/>
              <w:left w:val="single" w:sz="4" w:space="0" w:color="auto"/>
              <w:bottom w:val="single" w:sz="4" w:space="0" w:color="auto"/>
              <w:right w:val="single" w:sz="4" w:space="0" w:color="auto"/>
            </w:tcBorders>
            <w:shd w:val="clear" w:color="000000" w:fill="F2F2F2"/>
            <w:hideMark/>
          </w:tcPr>
          <w:p w14:paraId="419B08DB"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Digitālo prasmju attīstība</w:t>
            </w:r>
          </w:p>
        </w:tc>
      </w:tr>
      <w:tr w:rsidR="00BF055E" w:rsidRPr="00BF055E" w14:paraId="0239653A"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30C50C9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Digitālo prasmju attīstība - </w:t>
            </w:r>
            <w:proofErr w:type="spellStart"/>
            <w:r w:rsidRPr="00BF055E">
              <w:rPr>
                <w:rFonts w:eastAsia="Times New Roman" w:cs="Times New Roman"/>
                <w:sz w:val="18"/>
                <w:szCs w:val="18"/>
                <w:lang w:eastAsia="lv-LV"/>
              </w:rPr>
              <w:t>pašvadītas</w:t>
            </w:r>
            <w:proofErr w:type="spellEnd"/>
            <w:r w:rsidRPr="00BF055E">
              <w:rPr>
                <w:rFonts w:eastAsia="Times New Roman" w:cs="Times New Roman"/>
                <w:sz w:val="18"/>
                <w:szCs w:val="18"/>
                <w:lang w:eastAsia="lv-LV"/>
              </w:rPr>
              <w:t xml:space="preserve"> IKT speciālistu mācību pieejas attīstība</w:t>
            </w:r>
            <w:r w:rsidRPr="00BF055E">
              <w:rPr>
                <w:rFonts w:eastAsia="Times New Roman" w:cs="Times New Roman"/>
                <w:sz w:val="18"/>
                <w:szCs w:val="18"/>
                <w:lang w:eastAsia="lv-LV"/>
              </w:rPr>
              <w:br/>
            </w:r>
            <w:r w:rsidRPr="00BF055E">
              <w:rPr>
                <w:rFonts w:eastAsia="Times New Roman" w:cs="Times New Roman"/>
                <w:sz w:val="18"/>
                <w:szCs w:val="18"/>
                <w:lang w:eastAsia="lv-LV"/>
              </w:rPr>
              <w:br/>
              <w:t xml:space="preserve">(2.3.1.3.i </w:t>
            </w:r>
            <w:proofErr w:type="spellStart"/>
            <w:r w:rsidRPr="00BF055E">
              <w:rPr>
                <w:rFonts w:eastAsia="Times New Roman" w:cs="Times New Roman"/>
                <w:sz w:val="18"/>
                <w:szCs w:val="18"/>
                <w:lang w:eastAsia="lv-LV"/>
              </w:rPr>
              <w:t>Pašvadītas</w:t>
            </w:r>
            <w:proofErr w:type="spellEnd"/>
            <w:r w:rsidRPr="00BF055E">
              <w:rPr>
                <w:rFonts w:eastAsia="Times New Roman" w:cs="Times New Roman"/>
                <w:sz w:val="18"/>
                <w:szCs w:val="18"/>
                <w:lang w:eastAsia="lv-LV"/>
              </w:rPr>
              <w:t xml:space="preserve"> IKT speciālistu mācību pieejas attīstība)</w:t>
            </w:r>
          </w:p>
        </w:tc>
        <w:tc>
          <w:tcPr>
            <w:tcW w:w="1839" w:type="dxa"/>
            <w:tcBorders>
              <w:top w:val="nil"/>
              <w:left w:val="nil"/>
              <w:bottom w:val="single" w:sz="4" w:space="0" w:color="auto"/>
              <w:right w:val="single" w:sz="4" w:space="0" w:color="auto"/>
            </w:tcBorders>
            <w:shd w:val="clear" w:color="000000" w:fill="FFFFFF"/>
            <w:hideMark/>
          </w:tcPr>
          <w:p w14:paraId="1280D74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Izstrādāta </w:t>
            </w:r>
            <w:proofErr w:type="spellStart"/>
            <w:r w:rsidRPr="00BF055E">
              <w:rPr>
                <w:rFonts w:eastAsia="Times New Roman" w:cs="Times New Roman"/>
                <w:sz w:val="18"/>
                <w:szCs w:val="18"/>
                <w:lang w:eastAsia="lv-LV"/>
              </w:rPr>
              <w:t>pašvadītas</w:t>
            </w:r>
            <w:proofErr w:type="spellEnd"/>
            <w:r w:rsidRPr="00BF055E">
              <w:rPr>
                <w:rFonts w:eastAsia="Times New Roman" w:cs="Times New Roman"/>
                <w:sz w:val="18"/>
                <w:szCs w:val="18"/>
                <w:lang w:eastAsia="lv-LV"/>
              </w:rPr>
              <w:t xml:space="preserve"> mācīšanās pieeja IKT speciālistu sagatavošanā, tai skaitā nodrošināta starptautiskās pieredzes </w:t>
            </w:r>
            <w:proofErr w:type="spellStart"/>
            <w:r w:rsidRPr="00BF055E">
              <w:rPr>
                <w:rFonts w:eastAsia="Times New Roman" w:cs="Times New Roman"/>
                <w:sz w:val="18"/>
                <w:szCs w:val="18"/>
                <w:lang w:eastAsia="lv-LV"/>
              </w:rPr>
              <w:t>pārnese</w:t>
            </w:r>
            <w:proofErr w:type="spellEnd"/>
            <w:r w:rsidRPr="00BF055E">
              <w:rPr>
                <w:rFonts w:eastAsia="Times New Roman" w:cs="Times New Roman"/>
                <w:sz w:val="18"/>
                <w:szCs w:val="18"/>
                <w:lang w:eastAsia="lv-LV"/>
              </w:rPr>
              <w:t xml:space="preserve">, indikatīvi 1 000 personas </w:t>
            </w:r>
            <w:proofErr w:type="spellStart"/>
            <w:r w:rsidRPr="00BF055E">
              <w:rPr>
                <w:rFonts w:eastAsia="Times New Roman" w:cs="Times New Roman"/>
                <w:sz w:val="18"/>
                <w:szCs w:val="18"/>
                <w:lang w:eastAsia="lv-LV"/>
              </w:rPr>
              <w:t>ārpusformālās</w:t>
            </w:r>
            <w:proofErr w:type="spellEnd"/>
            <w:r w:rsidRPr="00BF055E">
              <w:rPr>
                <w:rFonts w:eastAsia="Times New Roman" w:cs="Times New Roman"/>
                <w:sz w:val="18"/>
                <w:szCs w:val="18"/>
                <w:lang w:eastAsia="lv-LV"/>
              </w:rPr>
              <w:t xml:space="preserve"> izglītības ietvarā ieguvušas IKT </w:t>
            </w:r>
            <w:r w:rsidRPr="00BF055E">
              <w:rPr>
                <w:rFonts w:eastAsia="Times New Roman" w:cs="Times New Roman"/>
                <w:sz w:val="18"/>
                <w:szCs w:val="18"/>
                <w:lang w:eastAsia="lv-LV"/>
              </w:rPr>
              <w:lastRenderedPageBreak/>
              <w:t>specialista zināšanas un prasmes.</w:t>
            </w:r>
          </w:p>
        </w:tc>
        <w:tc>
          <w:tcPr>
            <w:tcW w:w="2739" w:type="dxa"/>
            <w:tcBorders>
              <w:top w:val="nil"/>
              <w:left w:val="nil"/>
              <w:bottom w:val="single" w:sz="4" w:space="0" w:color="auto"/>
              <w:right w:val="single" w:sz="4" w:space="0" w:color="auto"/>
            </w:tcBorders>
            <w:shd w:val="clear" w:color="000000" w:fill="FFFFFF"/>
            <w:hideMark/>
          </w:tcPr>
          <w:p w14:paraId="73D03B4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(2024. 4.cet.);</w:t>
            </w:r>
            <w:r w:rsidRPr="00BF055E">
              <w:rPr>
                <w:rFonts w:eastAsia="Times New Roman" w:cs="Times New Roman"/>
                <w:sz w:val="18"/>
                <w:szCs w:val="18"/>
                <w:lang w:eastAsia="lv-LV"/>
              </w:rPr>
              <w:br/>
              <w:t>2) Projektu atlases metodikas izstrāde (2024. 4. cet.)</w:t>
            </w:r>
            <w:r w:rsidRPr="00BF055E">
              <w:rPr>
                <w:rFonts w:eastAsia="Times New Roman" w:cs="Times New Roman"/>
                <w:sz w:val="18"/>
                <w:szCs w:val="18"/>
                <w:lang w:eastAsia="lv-LV"/>
              </w:rPr>
              <w:br/>
              <w:t>3) Projekta / u apstiprināšana investīcijas īstenošanai (2025. 1.cet.);</w:t>
            </w:r>
            <w:r w:rsidRPr="00BF055E">
              <w:rPr>
                <w:rFonts w:eastAsia="Times New Roman" w:cs="Times New Roman"/>
                <w:sz w:val="18"/>
                <w:szCs w:val="18"/>
                <w:lang w:eastAsia="lv-LV"/>
              </w:rPr>
              <w:br/>
              <w:t>4) Projekta / u īstenošanas uzraudzība (regulāri).</w:t>
            </w:r>
          </w:p>
        </w:tc>
        <w:tc>
          <w:tcPr>
            <w:tcW w:w="960" w:type="dxa"/>
            <w:tcBorders>
              <w:top w:val="nil"/>
              <w:left w:val="nil"/>
              <w:bottom w:val="single" w:sz="4" w:space="0" w:color="auto"/>
              <w:right w:val="single" w:sz="4" w:space="0" w:color="auto"/>
            </w:tcBorders>
            <w:shd w:val="clear" w:color="000000" w:fill="FFFFFF"/>
            <w:hideMark/>
          </w:tcPr>
          <w:p w14:paraId="167FD7C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2024.-2026. </w:t>
            </w:r>
          </w:p>
        </w:tc>
        <w:tc>
          <w:tcPr>
            <w:tcW w:w="1668" w:type="dxa"/>
            <w:tcBorders>
              <w:top w:val="nil"/>
              <w:left w:val="nil"/>
              <w:bottom w:val="single" w:sz="4" w:space="0" w:color="auto"/>
              <w:right w:val="single" w:sz="4" w:space="0" w:color="auto"/>
            </w:tcBorders>
            <w:shd w:val="clear" w:color="auto" w:fill="auto"/>
            <w:hideMark/>
          </w:tcPr>
          <w:p w14:paraId="4184FEC6" w14:textId="63A4EB64"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- 7 600 000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w:t>
            </w:r>
          </w:p>
        </w:tc>
        <w:tc>
          <w:tcPr>
            <w:tcW w:w="1069" w:type="dxa"/>
            <w:tcBorders>
              <w:top w:val="nil"/>
              <w:left w:val="nil"/>
              <w:bottom w:val="single" w:sz="4" w:space="0" w:color="auto"/>
              <w:right w:val="single" w:sz="4" w:space="0" w:color="auto"/>
            </w:tcBorders>
            <w:shd w:val="clear" w:color="000000" w:fill="FFFFFF"/>
            <w:hideMark/>
          </w:tcPr>
          <w:p w14:paraId="262ECE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auto" w:fill="auto"/>
            <w:hideMark/>
          </w:tcPr>
          <w:p w14:paraId="6CC1F0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6744F11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0" w:type="auto"/>
            <w:tcBorders>
              <w:top w:val="nil"/>
              <w:left w:val="nil"/>
              <w:bottom w:val="single" w:sz="4" w:space="0" w:color="auto"/>
              <w:right w:val="single" w:sz="4" w:space="0" w:color="auto"/>
            </w:tcBorders>
            <w:shd w:val="clear" w:color="000000" w:fill="FFFFFF"/>
            <w:hideMark/>
          </w:tcPr>
          <w:p w14:paraId="5AE0F6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Taisnīga zaļā un digitālā pārkārtošanās; 2. Sociālā un ekonomikas noturība, t.sk. Eiropas Sociālo </w:t>
            </w:r>
            <w:r w:rsidRPr="00BF055E">
              <w:rPr>
                <w:rFonts w:eastAsia="Times New Roman" w:cs="Times New Roman"/>
                <w:sz w:val="18"/>
                <w:szCs w:val="18"/>
                <w:lang w:eastAsia="lv-LV"/>
              </w:rPr>
              <w:lastRenderedPageBreak/>
              <w:t>tiesību pīlārs</w:t>
            </w:r>
          </w:p>
        </w:tc>
        <w:tc>
          <w:tcPr>
            <w:tcW w:w="0" w:type="auto"/>
            <w:tcBorders>
              <w:top w:val="nil"/>
              <w:left w:val="nil"/>
              <w:bottom w:val="single" w:sz="4" w:space="0" w:color="auto"/>
              <w:right w:val="single" w:sz="4" w:space="0" w:color="auto"/>
            </w:tcBorders>
            <w:shd w:val="clear" w:color="000000" w:fill="FFFFFF"/>
            <w:hideMark/>
          </w:tcPr>
          <w:p w14:paraId="036D2B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0E26D15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2FE6155A"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6EED10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Digitālo prasmju attīstība – sabiedrības digitālo </w:t>
            </w:r>
            <w:proofErr w:type="spellStart"/>
            <w:r w:rsidRPr="00BF055E">
              <w:rPr>
                <w:rFonts w:eastAsia="Times New Roman" w:cs="Times New Roman"/>
                <w:sz w:val="18"/>
                <w:szCs w:val="18"/>
                <w:lang w:eastAsia="lv-LV"/>
              </w:rPr>
              <w:t>pamatprasmju</w:t>
            </w:r>
            <w:proofErr w:type="spellEnd"/>
            <w:r w:rsidRPr="00BF055E">
              <w:rPr>
                <w:rFonts w:eastAsia="Times New Roman" w:cs="Times New Roman"/>
                <w:sz w:val="18"/>
                <w:szCs w:val="18"/>
                <w:lang w:eastAsia="lv-LV"/>
              </w:rPr>
              <w:t xml:space="preserve"> attīstība </w:t>
            </w:r>
            <w:r w:rsidRPr="00BF055E">
              <w:rPr>
                <w:rFonts w:eastAsia="Times New Roman" w:cs="Times New Roman"/>
                <w:sz w:val="18"/>
                <w:szCs w:val="18"/>
                <w:lang w:eastAsia="lv-LV"/>
              </w:rPr>
              <w:br/>
              <w:t>(ANM projekts Nr. 2.3.2.1.i.0/1/23/I/CFLA/001 "Sabiedrības digitālo prasmju attīstība")</w:t>
            </w:r>
          </w:p>
        </w:tc>
        <w:tc>
          <w:tcPr>
            <w:tcW w:w="1839" w:type="dxa"/>
            <w:tcBorders>
              <w:top w:val="nil"/>
              <w:left w:val="nil"/>
              <w:bottom w:val="single" w:sz="4" w:space="0" w:color="auto"/>
              <w:right w:val="single" w:sz="4" w:space="0" w:color="auto"/>
            </w:tcBorders>
            <w:shd w:val="clear" w:color="000000" w:fill="FFFFFF"/>
            <w:hideMark/>
          </w:tcPr>
          <w:p w14:paraId="179176D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Veicināt digitālo pašapkalpošanās prasmju attīstību sabiedrībā. Atbalstīti 40 000 iedzīvotāji vecumā 16-74 gadi. </w:t>
            </w:r>
          </w:p>
        </w:tc>
        <w:tc>
          <w:tcPr>
            <w:tcW w:w="2739" w:type="dxa"/>
            <w:tcBorders>
              <w:top w:val="nil"/>
              <w:left w:val="nil"/>
              <w:bottom w:val="single" w:sz="4" w:space="0" w:color="auto"/>
              <w:right w:val="single" w:sz="4" w:space="0" w:color="auto"/>
            </w:tcBorders>
            <w:shd w:val="clear" w:color="000000" w:fill="FFFFFF"/>
            <w:hideMark/>
          </w:tcPr>
          <w:p w14:paraId="428922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Izstrādāts digitālo  pašapkalpošanās prasmju apguves</w:t>
            </w:r>
            <w:r w:rsidRPr="00BF055E">
              <w:rPr>
                <w:rFonts w:eastAsia="Times New Roman" w:cs="Times New Roman"/>
                <w:sz w:val="18"/>
                <w:szCs w:val="18"/>
                <w:lang w:eastAsia="lv-LV"/>
              </w:rPr>
              <w:br/>
              <w:t>2) e-mācību kurss (līdz 2024.g. 4 cet.)</w:t>
            </w:r>
            <w:r w:rsidRPr="00BF055E">
              <w:rPr>
                <w:rFonts w:eastAsia="Times New Roman" w:cs="Times New Roman"/>
                <w:sz w:val="18"/>
                <w:szCs w:val="18"/>
                <w:lang w:eastAsia="lv-LV"/>
              </w:rPr>
              <w:br/>
              <w:t>3) Neformālās izglītības programmas izstrāde un atļaujas saņemšana pašvaldībā (2024. 3.cet.);</w:t>
            </w:r>
            <w:r w:rsidRPr="00BF055E">
              <w:rPr>
                <w:rFonts w:eastAsia="Times New Roman" w:cs="Times New Roman"/>
                <w:sz w:val="18"/>
                <w:szCs w:val="18"/>
                <w:lang w:eastAsia="lv-LV"/>
              </w:rPr>
              <w:br/>
              <w:t xml:space="preserve">4) Izveidots un praksē aprobēts monitoringa ietvars (no 2024.g. 3.cet. līdz 2026.g. 2.cet.) </w:t>
            </w:r>
            <w:r w:rsidRPr="00BF055E">
              <w:rPr>
                <w:rFonts w:eastAsia="Times New Roman" w:cs="Times New Roman"/>
                <w:sz w:val="18"/>
                <w:szCs w:val="18"/>
                <w:lang w:eastAsia="lv-LV"/>
              </w:rPr>
              <w:br/>
              <w:t xml:space="preserve">5) Pasniedzēju - </w:t>
            </w:r>
            <w:proofErr w:type="spellStart"/>
            <w:r w:rsidRPr="00BF055E">
              <w:rPr>
                <w:rFonts w:eastAsia="Times New Roman" w:cs="Times New Roman"/>
                <w:sz w:val="18"/>
                <w:szCs w:val="18"/>
                <w:lang w:eastAsia="lv-LV"/>
              </w:rPr>
              <w:t>mentoru</w:t>
            </w:r>
            <w:proofErr w:type="spellEnd"/>
            <w:r w:rsidRPr="00BF055E">
              <w:rPr>
                <w:rFonts w:eastAsia="Times New Roman" w:cs="Times New Roman"/>
                <w:sz w:val="18"/>
                <w:szCs w:val="18"/>
                <w:lang w:eastAsia="lv-LV"/>
              </w:rPr>
              <w:t xml:space="preserve"> mācības (2024.gada 3.cet. – 2025.gada 3.cet.);</w:t>
            </w:r>
            <w:r w:rsidRPr="00BF055E">
              <w:rPr>
                <w:rFonts w:eastAsia="Times New Roman" w:cs="Times New Roman"/>
                <w:sz w:val="18"/>
                <w:szCs w:val="18"/>
                <w:lang w:eastAsia="lv-LV"/>
              </w:rPr>
              <w:br/>
              <w:t>6) Mācības iedzīvotājiem (2024. 4. cet. – 2026. 2. cet.)</w:t>
            </w:r>
            <w:r w:rsidRPr="00BF055E">
              <w:rPr>
                <w:rFonts w:eastAsia="Times New Roman" w:cs="Times New Roman"/>
                <w:sz w:val="18"/>
                <w:szCs w:val="18"/>
                <w:lang w:eastAsia="lv-LV"/>
              </w:rPr>
              <w:br/>
              <w:t>7) Sadarbības līgumu slēgšana ar pašvaldībām (2024.g. 3 cet., 4.cet.)</w:t>
            </w:r>
            <w:r w:rsidRPr="00BF055E">
              <w:rPr>
                <w:rFonts w:eastAsia="Times New Roman" w:cs="Times New Roman"/>
                <w:sz w:val="18"/>
                <w:szCs w:val="18"/>
                <w:lang w:eastAsia="lv-LV"/>
              </w:rPr>
              <w:br/>
              <w:t>8) Komunikācijas aktivitāšu īstenošana (2024.g. 3cet. – 2026.g. 2 cet.)</w:t>
            </w:r>
          </w:p>
        </w:tc>
        <w:tc>
          <w:tcPr>
            <w:tcW w:w="960" w:type="dxa"/>
            <w:tcBorders>
              <w:top w:val="nil"/>
              <w:left w:val="nil"/>
              <w:bottom w:val="single" w:sz="4" w:space="0" w:color="auto"/>
              <w:right w:val="single" w:sz="4" w:space="0" w:color="auto"/>
            </w:tcBorders>
            <w:shd w:val="clear" w:color="000000" w:fill="FFFFFF"/>
            <w:hideMark/>
          </w:tcPr>
          <w:p w14:paraId="2206D0E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2023.-2026.</w:t>
            </w:r>
          </w:p>
        </w:tc>
        <w:tc>
          <w:tcPr>
            <w:tcW w:w="1668" w:type="dxa"/>
            <w:tcBorders>
              <w:top w:val="nil"/>
              <w:left w:val="nil"/>
              <w:bottom w:val="single" w:sz="4" w:space="0" w:color="auto"/>
              <w:right w:val="single" w:sz="4" w:space="0" w:color="auto"/>
            </w:tcBorders>
            <w:shd w:val="clear" w:color="auto" w:fill="auto"/>
            <w:hideMark/>
          </w:tcPr>
          <w:p w14:paraId="7A890DBF" w14:textId="3744C70E"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Projekta budžets: 9 380 564.24 EU, t.sk.: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9 042 000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VB (PVN): 338 564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76E164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 / IZM</w:t>
            </w:r>
          </w:p>
        </w:tc>
        <w:tc>
          <w:tcPr>
            <w:tcW w:w="0" w:type="auto"/>
            <w:tcBorders>
              <w:top w:val="nil"/>
              <w:left w:val="nil"/>
              <w:bottom w:val="single" w:sz="4" w:space="0" w:color="auto"/>
              <w:right w:val="single" w:sz="4" w:space="0" w:color="auto"/>
            </w:tcBorders>
            <w:shd w:val="clear" w:color="auto" w:fill="auto"/>
            <w:hideMark/>
          </w:tcPr>
          <w:p w14:paraId="3FE4F5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4DAEC2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0" w:type="auto"/>
            <w:tcBorders>
              <w:top w:val="nil"/>
              <w:left w:val="nil"/>
              <w:bottom w:val="single" w:sz="4" w:space="0" w:color="auto"/>
              <w:right w:val="single" w:sz="4" w:space="0" w:color="auto"/>
            </w:tcBorders>
            <w:shd w:val="clear" w:color="000000" w:fill="FFFFFF"/>
            <w:hideMark/>
          </w:tcPr>
          <w:p w14:paraId="4465B3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0C9A8E6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205675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18711C62" w14:textId="77777777" w:rsidTr="003B1594">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28CDE87A" w14:textId="06625C71"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Digitālo prasmju attīstība – Individuālo mācību kontu pieejas attīstība un pilotēšana </w:t>
            </w:r>
            <w:r w:rsidRPr="00BF055E">
              <w:rPr>
                <w:rFonts w:eastAsia="Times New Roman" w:cs="Times New Roman"/>
                <w:sz w:val="18"/>
                <w:szCs w:val="18"/>
                <w:lang w:eastAsia="lv-LV"/>
              </w:rPr>
              <w:br/>
            </w:r>
            <w:r w:rsidRPr="00BF055E">
              <w:rPr>
                <w:rFonts w:eastAsia="Times New Roman" w:cs="Times New Roman"/>
                <w:sz w:val="18"/>
                <w:szCs w:val="18"/>
                <w:lang w:eastAsia="lv-LV"/>
              </w:rPr>
              <w:br/>
              <w:t>(</w:t>
            </w:r>
            <w:r w:rsidR="00BF53B6">
              <w:rPr>
                <w:rFonts w:eastAsia="Times New Roman" w:cs="Times New Roman"/>
                <w:sz w:val="18"/>
                <w:szCs w:val="18"/>
                <w:lang w:eastAsia="lv-LV"/>
              </w:rPr>
              <w:t>ANM</w:t>
            </w:r>
            <w:r w:rsidRPr="00BF055E">
              <w:rPr>
                <w:rFonts w:eastAsia="Times New Roman" w:cs="Times New Roman"/>
                <w:sz w:val="18"/>
                <w:szCs w:val="18"/>
                <w:lang w:eastAsia="lv-LV"/>
              </w:rPr>
              <w:t xml:space="preserve"> 2.3.1.4.i. investīcija “Individuālo mācību kontu pieejas attīstība”)</w:t>
            </w:r>
          </w:p>
        </w:tc>
        <w:tc>
          <w:tcPr>
            <w:tcW w:w="1839" w:type="dxa"/>
            <w:tcBorders>
              <w:top w:val="nil"/>
              <w:left w:val="nil"/>
              <w:bottom w:val="single" w:sz="4" w:space="0" w:color="auto"/>
              <w:right w:val="single" w:sz="4" w:space="0" w:color="auto"/>
            </w:tcBorders>
            <w:shd w:val="clear" w:color="auto" w:fill="auto"/>
            <w:hideMark/>
          </w:tcPr>
          <w:p w14:paraId="7E5C4E6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Attīstīt un aprobēt Latvijas kontekstam atbilstošu individuālo mācību kontu (turpmāk -  IMK) pieeju, kas stiprina indivīda mācību ceļu īstenošanu, pārvaldību un informācijas par mācīšanās rezultātiem uzglabāšanu, ka arī sekmēt pieaugušo dalību izglītībā, palīdzot apgūt un </w:t>
            </w:r>
            <w:r w:rsidRPr="00BF055E">
              <w:rPr>
                <w:rFonts w:eastAsia="Times New Roman" w:cs="Times New Roman"/>
                <w:sz w:val="18"/>
                <w:szCs w:val="18"/>
                <w:lang w:eastAsia="lv-LV"/>
              </w:rPr>
              <w:lastRenderedPageBreak/>
              <w:t>pilnveidot sabiedrības digitālās prasmes, IMK aprobācijā iesaistot 3500 pieaugušos</w:t>
            </w:r>
          </w:p>
        </w:tc>
        <w:tc>
          <w:tcPr>
            <w:tcW w:w="2739" w:type="dxa"/>
            <w:tcBorders>
              <w:top w:val="nil"/>
              <w:left w:val="nil"/>
              <w:bottom w:val="single" w:sz="4" w:space="0" w:color="auto"/>
              <w:right w:val="single" w:sz="4" w:space="0" w:color="auto"/>
            </w:tcBorders>
            <w:shd w:val="clear" w:color="auto" w:fill="auto"/>
            <w:hideMark/>
          </w:tcPr>
          <w:p w14:paraId="3639E8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Uzsāktas digitālo prasmju mācības IMK atbalsta ietvaros (2024. 3.cet. sākot ar izglītības iestāžu atlasi)</w:t>
            </w:r>
            <w:r w:rsidRPr="00BF055E">
              <w:rPr>
                <w:rFonts w:eastAsia="Times New Roman" w:cs="Times New Roman"/>
                <w:sz w:val="18"/>
                <w:szCs w:val="18"/>
                <w:lang w:eastAsia="lv-LV"/>
              </w:rPr>
              <w:br/>
              <w:t>2) Attīstīta atbilstoša digitālā vide IMK pieejas aprobēšanai un turpmākai funkcionēšanai (2024. 4.cet.) funkcionalitāte IMK aprobācijas uzsākšanai un tā pakāpeniskā attīstība; 2026. maijs)</w:t>
            </w:r>
            <w:r w:rsidRPr="00BF055E">
              <w:rPr>
                <w:rFonts w:eastAsia="Times New Roman" w:cs="Times New Roman"/>
                <w:sz w:val="18"/>
                <w:szCs w:val="18"/>
                <w:lang w:eastAsia="lv-LV"/>
              </w:rPr>
              <w:br/>
              <w:t xml:space="preserve">3) 1000 pieaugušo ir reģistrēti IMK platforma (2024. 4. </w:t>
            </w:r>
            <w:proofErr w:type="spellStart"/>
            <w:r w:rsidRPr="00BF055E">
              <w:rPr>
                <w:rFonts w:eastAsia="Times New Roman" w:cs="Times New Roman"/>
                <w:sz w:val="18"/>
                <w:szCs w:val="18"/>
                <w:lang w:eastAsia="lv-LV"/>
              </w:rPr>
              <w:t>cet</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4) 3500 IKT lietotāji (2026. 2.cet.)</w:t>
            </w:r>
          </w:p>
        </w:tc>
        <w:tc>
          <w:tcPr>
            <w:tcW w:w="960" w:type="dxa"/>
            <w:tcBorders>
              <w:top w:val="nil"/>
              <w:left w:val="nil"/>
              <w:bottom w:val="single" w:sz="4" w:space="0" w:color="auto"/>
              <w:right w:val="single" w:sz="4" w:space="0" w:color="auto"/>
            </w:tcBorders>
            <w:shd w:val="clear" w:color="auto" w:fill="auto"/>
            <w:hideMark/>
          </w:tcPr>
          <w:p w14:paraId="669620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2024.-2026.</w:t>
            </w:r>
          </w:p>
        </w:tc>
        <w:tc>
          <w:tcPr>
            <w:tcW w:w="1668" w:type="dxa"/>
            <w:tcBorders>
              <w:top w:val="nil"/>
              <w:left w:val="nil"/>
              <w:bottom w:val="single" w:sz="4" w:space="0" w:color="auto"/>
              <w:right w:val="single" w:sz="4" w:space="0" w:color="auto"/>
            </w:tcBorders>
            <w:shd w:val="clear" w:color="auto" w:fill="auto"/>
            <w:hideMark/>
          </w:tcPr>
          <w:p w14:paraId="286A6B61" w14:textId="768112DF"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Plānotais kopējais finansējums: </w:t>
            </w:r>
            <w:r w:rsidRPr="00BF055E">
              <w:rPr>
                <w:rFonts w:eastAsia="Times New Roman" w:cs="Times New Roman"/>
                <w:sz w:val="18"/>
                <w:szCs w:val="18"/>
                <w:lang w:eastAsia="lv-LV"/>
              </w:rPr>
              <w:br/>
              <w:t xml:space="preserve">15 146 193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(ieskaitot PVN), t.sk.</w:t>
            </w:r>
            <w:r w:rsidRPr="00BF055E">
              <w:rPr>
                <w:rFonts w:eastAsia="Times New Roman" w:cs="Times New Roman"/>
                <w:sz w:val="18"/>
                <w:szCs w:val="18"/>
                <w:lang w:eastAsia="lv-LV"/>
              </w:rPr>
              <w:br/>
            </w:r>
            <w:r w:rsidR="00BF53B6">
              <w:rPr>
                <w:rFonts w:eastAsia="Times New Roman" w:cs="Times New Roman"/>
                <w:sz w:val="18"/>
                <w:szCs w:val="18"/>
                <w:lang w:eastAsia="lv-LV"/>
              </w:rPr>
              <w:t>ANM</w:t>
            </w:r>
            <w:r w:rsidRPr="00BF055E">
              <w:rPr>
                <w:rFonts w:eastAsia="Times New Roman" w:cs="Times New Roman"/>
                <w:sz w:val="18"/>
                <w:szCs w:val="18"/>
                <w:lang w:eastAsia="lv-LV"/>
              </w:rPr>
              <w:t xml:space="preserve"> finansējums: 14 306 000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VB (PVN):</w:t>
            </w:r>
            <w:r w:rsidRPr="00BF055E">
              <w:rPr>
                <w:rFonts w:eastAsia="Times New Roman" w:cs="Times New Roman"/>
                <w:sz w:val="18"/>
                <w:szCs w:val="18"/>
                <w:lang w:eastAsia="lv-LV"/>
              </w:rPr>
              <w:br/>
              <w:t xml:space="preserve">840 193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auto" w:fill="auto"/>
            <w:hideMark/>
          </w:tcPr>
          <w:p w14:paraId="15A632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 (VIAA)</w:t>
            </w:r>
          </w:p>
        </w:tc>
        <w:tc>
          <w:tcPr>
            <w:tcW w:w="0" w:type="auto"/>
            <w:tcBorders>
              <w:top w:val="nil"/>
              <w:left w:val="nil"/>
              <w:bottom w:val="single" w:sz="4" w:space="0" w:color="auto"/>
              <w:right w:val="single" w:sz="4" w:space="0" w:color="auto"/>
            </w:tcBorders>
            <w:shd w:val="clear" w:color="auto" w:fill="auto"/>
            <w:hideMark/>
          </w:tcPr>
          <w:p w14:paraId="23F1A59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auto" w:fill="auto"/>
            <w:hideMark/>
          </w:tcPr>
          <w:p w14:paraId="0869FD1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2022(1); 2023(4); 2024(3)</w:t>
            </w:r>
          </w:p>
        </w:tc>
        <w:tc>
          <w:tcPr>
            <w:tcW w:w="0" w:type="auto"/>
            <w:tcBorders>
              <w:top w:val="nil"/>
              <w:left w:val="nil"/>
              <w:bottom w:val="single" w:sz="4" w:space="0" w:color="auto"/>
              <w:right w:val="single" w:sz="4" w:space="0" w:color="auto"/>
            </w:tcBorders>
            <w:shd w:val="clear" w:color="000000" w:fill="FFFFFF"/>
            <w:hideMark/>
          </w:tcPr>
          <w:p w14:paraId="651F9C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08B8FF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3C1BFAC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7D115709"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65A9EE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Augsta līmeņa digitālās prasmes 2.3.1.1.i. investīcija "Augsta līmeņa digitālo prasmju apguves nodrošināšana" </w:t>
            </w:r>
          </w:p>
        </w:tc>
        <w:tc>
          <w:tcPr>
            <w:tcW w:w="1839" w:type="dxa"/>
            <w:tcBorders>
              <w:top w:val="nil"/>
              <w:left w:val="nil"/>
              <w:bottom w:val="single" w:sz="4" w:space="0" w:color="auto"/>
              <w:right w:val="single" w:sz="4" w:space="0" w:color="auto"/>
            </w:tcBorders>
            <w:shd w:val="clear" w:color="000000" w:fill="FFFFFF"/>
            <w:hideMark/>
          </w:tcPr>
          <w:p w14:paraId="1D8E48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ietvaros tiek īstenoti trīs projekti: Kvantu tehnoloģiju iniciatīva, Valodu tehnoloģiju iniciatīva un Augstas veiktspējas skaitļošanas (HPC) tehnoloģiju iniciatīva, kuras īsteno Latvijas zinātņu universitātes sadarbībā ar vadošajām pētniecības institūcijām. Investīcijas ietvaros šajās jomās tiks izstrādāts vismaz 21 studiju modulis, apmācīti vismaz 3000 speciālisti, kā arī veidotas jaunas sadarbības starp pētniecību un industriju</w:t>
            </w:r>
          </w:p>
        </w:tc>
        <w:tc>
          <w:tcPr>
            <w:tcW w:w="2739" w:type="dxa"/>
            <w:tcBorders>
              <w:top w:val="nil"/>
              <w:left w:val="nil"/>
              <w:bottom w:val="single" w:sz="4" w:space="0" w:color="auto"/>
              <w:right w:val="single" w:sz="4" w:space="0" w:color="auto"/>
            </w:tcBorders>
            <w:shd w:val="clear" w:color="000000" w:fill="FFFFFF"/>
            <w:hideMark/>
          </w:tcPr>
          <w:p w14:paraId="7685EE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1)MK noteikumu apstiprināšana (2022.gads)      2)Projekta īstenošana un investīcijā noteikto mērķu sasniegšana (2023.-2026.)</w:t>
            </w:r>
          </w:p>
        </w:tc>
        <w:tc>
          <w:tcPr>
            <w:tcW w:w="960" w:type="dxa"/>
            <w:tcBorders>
              <w:top w:val="nil"/>
              <w:left w:val="nil"/>
              <w:bottom w:val="single" w:sz="4" w:space="0" w:color="auto"/>
              <w:right w:val="single" w:sz="4" w:space="0" w:color="auto"/>
            </w:tcBorders>
            <w:shd w:val="clear" w:color="000000" w:fill="FFFFFF"/>
            <w:hideMark/>
          </w:tcPr>
          <w:p w14:paraId="0B1BC1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2022.-2026.</w:t>
            </w:r>
          </w:p>
        </w:tc>
        <w:tc>
          <w:tcPr>
            <w:tcW w:w="1668" w:type="dxa"/>
            <w:tcBorders>
              <w:top w:val="nil"/>
              <w:left w:val="nil"/>
              <w:bottom w:val="single" w:sz="4" w:space="0" w:color="auto"/>
              <w:right w:val="single" w:sz="4" w:space="0" w:color="auto"/>
            </w:tcBorders>
            <w:shd w:val="clear" w:color="auto" w:fill="auto"/>
            <w:hideMark/>
          </w:tcPr>
          <w:p w14:paraId="42E5ACF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kopējā summa ir 17’651’000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ANM finansējums – 17 000 000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561 000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00291F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auto" w:fill="auto"/>
            <w:hideMark/>
          </w:tcPr>
          <w:p w14:paraId="44B00BA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30BCED0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0" w:type="auto"/>
            <w:tcBorders>
              <w:top w:val="nil"/>
              <w:left w:val="nil"/>
              <w:bottom w:val="single" w:sz="4" w:space="0" w:color="auto"/>
              <w:right w:val="single" w:sz="4" w:space="0" w:color="auto"/>
            </w:tcBorders>
            <w:shd w:val="clear" w:color="000000" w:fill="FFFFFF"/>
            <w:hideMark/>
          </w:tcPr>
          <w:p w14:paraId="5ADDED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0EDDC3D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6CAE7D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64841DB8"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1D44F5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ESF+ programma "Studiju procesa </w:t>
            </w:r>
            <w:proofErr w:type="spellStart"/>
            <w:r w:rsidRPr="00BF055E">
              <w:rPr>
                <w:rFonts w:eastAsia="Times New Roman" w:cs="Times New Roman"/>
                <w:sz w:val="18"/>
                <w:szCs w:val="18"/>
                <w:lang w:eastAsia="lv-LV"/>
              </w:rPr>
              <w:t>digitalizācija</w:t>
            </w:r>
            <w:proofErr w:type="spellEnd"/>
            <w:r w:rsidRPr="00BF055E">
              <w:rPr>
                <w:rFonts w:eastAsia="Times New Roman" w:cs="Times New Roman"/>
                <w:sz w:val="18"/>
                <w:szCs w:val="18"/>
                <w:lang w:eastAsia="lv-LV"/>
              </w:rPr>
              <w:t xml:space="preserve"> (4.2.2.11. pasākums)</w:t>
            </w:r>
          </w:p>
        </w:tc>
        <w:tc>
          <w:tcPr>
            <w:tcW w:w="1839" w:type="dxa"/>
            <w:tcBorders>
              <w:top w:val="nil"/>
              <w:left w:val="nil"/>
              <w:bottom w:val="single" w:sz="4" w:space="0" w:color="auto"/>
              <w:right w:val="single" w:sz="4" w:space="0" w:color="auto"/>
            </w:tcBorders>
            <w:shd w:val="clear" w:color="000000" w:fill="FFFFFF"/>
            <w:hideMark/>
          </w:tcPr>
          <w:p w14:paraId="799195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Augstskolās ieviest digitālos risinājumus, tai skaitā koplietošanas risinājumus, </w:t>
            </w:r>
            <w:proofErr w:type="spellStart"/>
            <w:r w:rsidRPr="00BF055E">
              <w:rPr>
                <w:rFonts w:eastAsia="Times New Roman" w:cs="Times New Roman"/>
                <w:sz w:val="18"/>
                <w:szCs w:val="18"/>
                <w:lang w:eastAsia="lv-LV"/>
              </w:rPr>
              <w:t>studentcentrēta</w:t>
            </w:r>
            <w:proofErr w:type="spellEnd"/>
            <w:r w:rsidRPr="00BF055E">
              <w:rPr>
                <w:rFonts w:eastAsia="Times New Roman" w:cs="Times New Roman"/>
                <w:sz w:val="18"/>
                <w:szCs w:val="18"/>
                <w:lang w:eastAsia="lv-LV"/>
              </w:rPr>
              <w:t xml:space="preserve"> studiju procesa nodrošināšanai un </w:t>
            </w:r>
            <w:r w:rsidRPr="00BF055E">
              <w:rPr>
                <w:rFonts w:eastAsia="Times New Roman" w:cs="Times New Roman"/>
                <w:sz w:val="18"/>
                <w:szCs w:val="18"/>
                <w:lang w:eastAsia="lv-LV"/>
              </w:rPr>
              <w:lastRenderedPageBreak/>
              <w:t>studiju kvalitātes uzlabošanai.</w:t>
            </w:r>
          </w:p>
        </w:tc>
        <w:tc>
          <w:tcPr>
            <w:tcW w:w="2739" w:type="dxa"/>
            <w:tcBorders>
              <w:top w:val="nil"/>
              <w:left w:val="nil"/>
              <w:bottom w:val="single" w:sz="4" w:space="0" w:color="auto"/>
              <w:right w:val="single" w:sz="4" w:space="0" w:color="auto"/>
            </w:tcBorders>
            <w:shd w:val="clear" w:color="000000" w:fill="FFFFFF"/>
            <w:hideMark/>
          </w:tcPr>
          <w:p w14:paraId="612652F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2024.g. 4.ceturksnis; 2) Projektu iesniegumu atlases izsludināšana 2024.g. 4.ceturksnis/ 2025.g. 1.ceturksnis.</w:t>
            </w:r>
          </w:p>
        </w:tc>
        <w:tc>
          <w:tcPr>
            <w:tcW w:w="960" w:type="dxa"/>
            <w:tcBorders>
              <w:top w:val="nil"/>
              <w:left w:val="nil"/>
              <w:bottom w:val="single" w:sz="4" w:space="0" w:color="auto"/>
              <w:right w:val="single" w:sz="4" w:space="0" w:color="auto"/>
            </w:tcBorders>
            <w:shd w:val="clear" w:color="000000" w:fill="FFFFFF"/>
            <w:hideMark/>
          </w:tcPr>
          <w:p w14:paraId="164AF7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2025-2029</w:t>
            </w:r>
          </w:p>
        </w:tc>
        <w:tc>
          <w:tcPr>
            <w:tcW w:w="1668" w:type="dxa"/>
            <w:tcBorders>
              <w:top w:val="nil"/>
              <w:left w:val="nil"/>
              <w:bottom w:val="single" w:sz="4" w:space="0" w:color="auto"/>
              <w:right w:val="single" w:sz="4" w:space="0" w:color="auto"/>
            </w:tcBorders>
            <w:shd w:val="clear" w:color="auto" w:fill="auto"/>
            <w:hideMark/>
          </w:tcPr>
          <w:p w14:paraId="54FC1A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finansējums: 33 438 762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t.sk. ESF+ 28 422 947</w:t>
            </w:r>
            <w:r w:rsidRPr="00BF055E">
              <w:rPr>
                <w:rFonts w:eastAsia="Times New Roman" w:cs="Times New Roman"/>
                <w:i/>
                <w:sz w:val="18"/>
                <w:szCs w:val="18"/>
                <w:lang w:eastAsia="lv-LV"/>
              </w:rPr>
              <w:t>euro</w:t>
            </w:r>
            <w:r w:rsidRPr="00BF055E">
              <w:rPr>
                <w:rFonts w:eastAsia="Times New Roman" w:cs="Times New Roman"/>
                <w:sz w:val="18"/>
                <w:szCs w:val="18"/>
                <w:lang w:eastAsia="lv-LV"/>
              </w:rPr>
              <w:t xml:space="preserve"> un valsts budžeta </w:t>
            </w:r>
            <w:r w:rsidRPr="00BF055E">
              <w:rPr>
                <w:rFonts w:eastAsia="Times New Roman" w:cs="Times New Roman"/>
                <w:sz w:val="18"/>
                <w:szCs w:val="18"/>
                <w:lang w:eastAsia="lv-LV"/>
              </w:rPr>
              <w:lastRenderedPageBreak/>
              <w:t xml:space="preserve">līdzfinansējums 5 015 815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668AFE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w:t>
            </w:r>
          </w:p>
        </w:tc>
        <w:tc>
          <w:tcPr>
            <w:tcW w:w="0" w:type="auto"/>
            <w:tcBorders>
              <w:top w:val="nil"/>
              <w:left w:val="nil"/>
              <w:bottom w:val="single" w:sz="4" w:space="0" w:color="auto"/>
              <w:right w:val="single" w:sz="4" w:space="0" w:color="auto"/>
            </w:tcBorders>
            <w:shd w:val="clear" w:color="000000" w:fill="FFFFFF"/>
            <w:hideMark/>
          </w:tcPr>
          <w:p w14:paraId="7D591D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5EDACFF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0B6A2C1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Taisnīga zaļā un digitālā pārkārtošanās; 2. Sociālā un ekonomikas noturība, </w:t>
            </w:r>
            <w:r w:rsidRPr="00BF055E">
              <w:rPr>
                <w:rFonts w:eastAsia="Times New Roman" w:cs="Times New Roman"/>
                <w:sz w:val="18"/>
                <w:szCs w:val="18"/>
                <w:lang w:eastAsia="lv-LV"/>
              </w:rPr>
              <w:lastRenderedPageBreak/>
              <w:t>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032A99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14498B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69431BE5"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3B7517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ERAF programma "Augstskolu studiju vides modernizācija" (4.2.1.8. pasākums)</w:t>
            </w:r>
          </w:p>
        </w:tc>
        <w:tc>
          <w:tcPr>
            <w:tcW w:w="1839" w:type="dxa"/>
            <w:tcBorders>
              <w:top w:val="nil"/>
              <w:left w:val="nil"/>
              <w:bottom w:val="single" w:sz="4" w:space="0" w:color="auto"/>
              <w:right w:val="single" w:sz="4" w:space="0" w:color="auto"/>
            </w:tcBorders>
            <w:shd w:val="clear" w:color="000000" w:fill="FFFFFF"/>
            <w:hideMark/>
          </w:tcPr>
          <w:p w14:paraId="1606F27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Nodrošināt augstākās izglītības iestāžu – augstskolu un koledžu – STEAM (zinātne, tehnoloģijas, inženierzinātnes, mākslas, matemātika), tai skaitā radošo industriju un medicīnas (turpmāk – STEAM), studiju vides modernizēšanu un industrijai atbilstošo tehnoloģiju ieviešanu studiju procesā.</w:t>
            </w:r>
          </w:p>
        </w:tc>
        <w:tc>
          <w:tcPr>
            <w:tcW w:w="2739" w:type="dxa"/>
            <w:tcBorders>
              <w:top w:val="nil"/>
              <w:left w:val="nil"/>
              <w:bottom w:val="single" w:sz="4" w:space="0" w:color="auto"/>
              <w:right w:val="single" w:sz="4" w:space="0" w:color="auto"/>
            </w:tcBorders>
            <w:shd w:val="clear" w:color="000000" w:fill="FFFFFF"/>
            <w:hideMark/>
          </w:tcPr>
          <w:p w14:paraId="238F8B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2024.g. 4.ceturksnis; 2) Projektu iesniegumu atlases izsludināšana 2024.g. 4.ceturksnis/ 2025.g. 1.ceturksnis.</w:t>
            </w:r>
          </w:p>
        </w:tc>
        <w:tc>
          <w:tcPr>
            <w:tcW w:w="960" w:type="dxa"/>
            <w:tcBorders>
              <w:top w:val="nil"/>
              <w:left w:val="nil"/>
              <w:bottom w:val="single" w:sz="4" w:space="0" w:color="auto"/>
              <w:right w:val="single" w:sz="4" w:space="0" w:color="auto"/>
            </w:tcBorders>
            <w:shd w:val="clear" w:color="000000" w:fill="FFFFFF"/>
            <w:hideMark/>
          </w:tcPr>
          <w:p w14:paraId="54E3CA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2025-2029</w:t>
            </w:r>
          </w:p>
        </w:tc>
        <w:tc>
          <w:tcPr>
            <w:tcW w:w="1668" w:type="dxa"/>
            <w:tcBorders>
              <w:top w:val="nil"/>
              <w:left w:val="nil"/>
              <w:bottom w:val="single" w:sz="4" w:space="0" w:color="auto"/>
              <w:right w:val="single" w:sz="4" w:space="0" w:color="auto"/>
            </w:tcBorders>
            <w:shd w:val="clear" w:color="auto" w:fill="auto"/>
            <w:hideMark/>
          </w:tcPr>
          <w:p w14:paraId="41E259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kopējais finansējums: 33 090 001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5 219 131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ERAF finansējums 28 126 500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4 436 262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4 963 501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finansējums – 782 869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1069" w:type="dxa"/>
            <w:tcBorders>
              <w:top w:val="nil"/>
              <w:left w:val="nil"/>
              <w:bottom w:val="single" w:sz="4" w:space="0" w:color="auto"/>
              <w:right w:val="single" w:sz="4" w:space="0" w:color="auto"/>
            </w:tcBorders>
            <w:shd w:val="clear" w:color="000000" w:fill="FFFFFF"/>
            <w:hideMark/>
          </w:tcPr>
          <w:p w14:paraId="2390BF3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000000" w:fill="FFFFFF"/>
            <w:hideMark/>
          </w:tcPr>
          <w:p w14:paraId="0303BB6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413846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26F12F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0DA952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33D40E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3560A50B"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4E920A5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Digitālo prasmju attīstība jauniešiem</w:t>
            </w:r>
            <w:r w:rsidRPr="00BF055E">
              <w:rPr>
                <w:rFonts w:eastAsia="Times New Roman" w:cs="Times New Roman"/>
                <w:sz w:val="18"/>
                <w:szCs w:val="18"/>
                <w:lang w:eastAsia="lv-LV"/>
              </w:rPr>
              <w:br/>
              <w:t>2.3.2.1. investīcijas  “Digitālās prasmes iedzīvotājiem t.sk. jauniešiem” projektā Nr. 2.3.2.1.i.0/1/23/I/CFLA/002 “Digitālā darba ar jaunatni sistēmas attīstība pašvaldībās”</w:t>
            </w:r>
          </w:p>
        </w:tc>
        <w:tc>
          <w:tcPr>
            <w:tcW w:w="1839" w:type="dxa"/>
            <w:tcBorders>
              <w:top w:val="nil"/>
              <w:left w:val="nil"/>
              <w:bottom w:val="single" w:sz="4" w:space="0" w:color="auto"/>
              <w:right w:val="single" w:sz="4" w:space="0" w:color="auto"/>
            </w:tcBorders>
            <w:shd w:val="clear" w:color="000000" w:fill="FFFFFF"/>
            <w:hideMark/>
          </w:tcPr>
          <w:p w14:paraId="53A47A6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mērķis ir izveidot mūsdienīgu, elastīgu, ilgtspējīgu, uz </w:t>
            </w:r>
            <w:proofErr w:type="spellStart"/>
            <w:r w:rsidRPr="00BF055E">
              <w:rPr>
                <w:rFonts w:eastAsia="Times New Roman" w:cs="Times New Roman"/>
                <w:sz w:val="18"/>
                <w:szCs w:val="18"/>
                <w:lang w:eastAsia="lv-LV"/>
              </w:rPr>
              <w:t>mērķgrupas</w:t>
            </w:r>
            <w:proofErr w:type="spellEnd"/>
            <w:r w:rsidRPr="00BF055E">
              <w:rPr>
                <w:rFonts w:eastAsia="Times New Roman" w:cs="Times New Roman"/>
                <w:sz w:val="18"/>
                <w:szCs w:val="18"/>
                <w:lang w:eastAsia="lv-LV"/>
              </w:rPr>
              <w:t xml:space="preserve"> problēmu risinājumiem vērstu digitālā darba ar jaunatni sistēmu pašvaldībās, to sasaistot ar citiem pašvaldības pakalpojumiem (t.sk. e-pakalpojumu attīstību) un mērķa </w:t>
            </w:r>
            <w:r w:rsidRPr="00BF055E">
              <w:rPr>
                <w:rFonts w:eastAsia="Times New Roman" w:cs="Times New Roman"/>
                <w:sz w:val="18"/>
                <w:szCs w:val="18"/>
                <w:lang w:eastAsia="lv-LV"/>
              </w:rPr>
              <w:lastRenderedPageBreak/>
              <w:t>grupas vajadzībām, lai nodrošinātu jauniešiem plašas iespējas attīstīt un pielietot savas digitālās prasmes.</w:t>
            </w:r>
            <w:r w:rsidRPr="00BF055E">
              <w:rPr>
                <w:rFonts w:eastAsia="Times New Roman" w:cs="Times New Roman"/>
                <w:sz w:val="18"/>
                <w:szCs w:val="18"/>
                <w:lang w:eastAsia="lv-LV"/>
              </w:rPr>
              <w:br/>
              <w:t>vismaz 10000 jauniešu būs piedalījušies tehnoloģiskās inovācijas darbībās digitālajā darbā ar jaunatni.</w:t>
            </w:r>
          </w:p>
        </w:tc>
        <w:tc>
          <w:tcPr>
            <w:tcW w:w="2739" w:type="dxa"/>
            <w:tcBorders>
              <w:top w:val="nil"/>
              <w:left w:val="nil"/>
              <w:bottom w:val="single" w:sz="4" w:space="0" w:color="auto"/>
              <w:right w:val="single" w:sz="4" w:space="0" w:color="auto"/>
            </w:tcBorders>
            <w:shd w:val="clear" w:color="000000" w:fill="FFFFFF"/>
            <w:hideMark/>
          </w:tcPr>
          <w:p w14:paraId="67F7F15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Informatīvā ziņojuma apstiprināšana (2023.g. II cet.)</w:t>
            </w:r>
            <w:r w:rsidRPr="00BF055E">
              <w:rPr>
                <w:rFonts w:eastAsia="Times New Roman" w:cs="Times New Roman"/>
                <w:sz w:val="18"/>
                <w:szCs w:val="18"/>
                <w:lang w:eastAsia="lv-LV"/>
              </w:rPr>
              <w:br/>
              <w:t>2) Projekts uzsākts 2024.g. I cet.</w:t>
            </w:r>
            <w:r w:rsidRPr="00BF055E">
              <w:rPr>
                <w:rFonts w:eastAsia="Times New Roman" w:cs="Times New Roman"/>
                <w:sz w:val="18"/>
                <w:szCs w:val="18"/>
                <w:lang w:eastAsia="lv-LV"/>
              </w:rPr>
              <w:br/>
              <w:t>3) Sagatavots mācību saturs un ir īstenotas mācības pašvaldību pārstāvjiem par digitālo darbu ar jaunatni (2024.g. I un II cet.)</w:t>
            </w:r>
            <w:r w:rsidRPr="00BF055E">
              <w:rPr>
                <w:rFonts w:eastAsia="Times New Roman" w:cs="Times New Roman"/>
                <w:sz w:val="18"/>
                <w:szCs w:val="18"/>
                <w:lang w:eastAsia="lv-LV"/>
              </w:rPr>
              <w:br/>
              <w:t>4) Notiek līgumu slēgšana ar pašvaldībām par dalību projektā (2024.g. III cet.)</w:t>
            </w:r>
            <w:r w:rsidRPr="00BF055E">
              <w:rPr>
                <w:rFonts w:eastAsia="Times New Roman" w:cs="Times New Roman"/>
                <w:sz w:val="18"/>
                <w:szCs w:val="18"/>
                <w:lang w:eastAsia="lv-LV"/>
              </w:rPr>
              <w:br/>
              <w:t xml:space="preserve">5) Pašvaldības īstenos individuālos plānus digitālā darba jaunatni sistēmas attīstībai un </w:t>
            </w:r>
            <w:r w:rsidRPr="00BF055E">
              <w:rPr>
                <w:rFonts w:eastAsia="Times New Roman" w:cs="Times New Roman"/>
                <w:sz w:val="18"/>
                <w:szCs w:val="18"/>
                <w:lang w:eastAsia="lv-LV"/>
              </w:rPr>
              <w:lastRenderedPageBreak/>
              <w:t>jauniešu digitālo prasmju pilnveidei (2025.g.)</w:t>
            </w:r>
          </w:p>
        </w:tc>
        <w:tc>
          <w:tcPr>
            <w:tcW w:w="960" w:type="dxa"/>
            <w:tcBorders>
              <w:top w:val="nil"/>
              <w:left w:val="nil"/>
              <w:bottom w:val="single" w:sz="4" w:space="0" w:color="auto"/>
              <w:right w:val="single" w:sz="4" w:space="0" w:color="auto"/>
            </w:tcBorders>
            <w:shd w:val="clear" w:color="000000" w:fill="FFFFFF"/>
            <w:hideMark/>
          </w:tcPr>
          <w:p w14:paraId="2DF1A9F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2023.-2026.</w:t>
            </w:r>
          </w:p>
        </w:tc>
        <w:tc>
          <w:tcPr>
            <w:tcW w:w="1668" w:type="dxa"/>
            <w:tcBorders>
              <w:top w:val="nil"/>
              <w:left w:val="nil"/>
              <w:bottom w:val="single" w:sz="4" w:space="0" w:color="auto"/>
              <w:right w:val="single" w:sz="4" w:space="0" w:color="auto"/>
            </w:tcBorders>
            <w:shd w:val="clear" w:color="auto" w:fill="auto"/>
            <w:hideMark/>
          </w:tcPr>
          <w:p w14:paraId="2B120D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finansējums ir 3 590 000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Plānotais PVN apjoms, kas ir sedzams no valsts budžeta, ir 59 430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069" w:type="dxa"/>
            <w:tcBorders>
              <w:top w:val="nil"/>
              <w:left w:val="nil"/>
              <w:bottom w:val="single" w:sz="4" w:space="0" w:color="auto"/>
              <w:right w:val="single" w:sz="4" w:space="0" w:color="auto"/>
            </w:tcBorders>
            <w:shd w:val="clear" w:color="000000" w:fill="FFFFFF"/>
            <w:hideMark/>
          </w:tcPr>
          <w:p w14:paraId="6EA348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IZM/JSPA</w:t>
            </w:r>
          </w:p>
        </w:tc>
        <w:tc>
          <w:tcPr>
            <w:tcW w:w="0" w:type="auto"/>
            <w:tcBorders>
              <w:top w:val="nil"/>
              <w:left w:val="nil"/>
              <w:bottom w:val="single" w:sz="4" w:space="0" w:color="auto"/>
              <w:right w:val="single" w:sz="4" w:space="0" w:color="auto"/>
            </w:tcBorders>
            <w:shd w:val="clear" w:color="auto" w:fill="auto"/>
            <w:hideMark/>
          </w:tcPr>
          <w:p w14:paraId="090E94B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0F6B69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0" w:type="auto"/>
            <w:tcBorders>
              <w:top w:val="nil"/>
              <w:left w:val="nil"/>
              <w:bottom w:val="single" w:sz="4" w:space="0" w:color="auto"/>
              <w:right w:val="single" w:sz="4" w:space="0" w:color="auto"/>
            </w:tcBorders>
            <w:shd w:val="clear" w:color="000000" w:fill="FFFFFF"/>
            <w:hideMark/>
          </w:tcPr>
          <w:p w14:paraId="26B653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3BA4B41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389E8B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6C97D05D"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57A857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Digitālās plaisas mazināšana 2.3.2.3.i. investīcijas "Digitālās plaisas mazināšana sociāli neaizsargātajiem izglītojamajiem un izglītības iestādēs"</w:t>
            </w:r>
          </w:p>
        </w:tc>
        <w:tc>
          <w:tcPr>
            <w:tcW w:w="1839" w:type="dxa"/>
            <w:tcBorders>
              <w:top w:val="nil"/>
              <w:left w:val="nil"/>
              <w:bottom w:val="single" w:sz="4" w:space="0" w:color="auto"/>
              <w:right w:val="single" w:sz="4" w:space="0" w:color="auto"/>
            </w:tcBorders>
            <w:shd w:val="clear" w:color="000000" w:fill="FFFFFF"/>
            <w:hideMark/>
          </w:tcPr>
          <w:p w14:paraId="70405E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mērķis ir mazināt šķēršļus vispārējās izglītības satura apguvei:</w:t>
            </w:r>
            <w:r w:rsidRPr="00BF055E">
              <w:rPr>
                <w:rFonts w:eastAsia="Times New Roman" w:cs="Times New Roman"/>
                <w:sz w:val="18"/>
                <w:szCs w:val="18"/>
                <w:lang w:eastAsia="lv-LV"/>
              </w:rPr>
              <w:br/>
            </w:r>
            <w:r w:rsidRPr="00BF055E">
              <w:rPr>
                <w:rFonts w:eastAsia="Times New Roman" w:cs="Times New Roman"/>
                <w:sz w:val="18"/>
                <w:szCs w:val="18"/>
                <w:lang w:eastAsia="lv-LV"/>
              </w:rPr>
              <w:br/>
              <w:t>1. nodrošinot portatīvās datortehnikas pieejamību izglītojamiem no sociāli neaizsargātām grupām;</w:t>
            </w:r>
            <w:r w:rsidRPr="00BF055E">
              <w:rPr>
                <w:rFonts w:eastAsia="Times New Roman" w:cs="Times New Roman"/>
                <w:sz w:val="18"/>
                <w:szCs w:val="18"/>
                <w:lang w:eastAsia="lv-LV"/>
              </w:rPr>
              <w:br/>
              <w:t>2. nodrošinot datu pārraides pieejamību kvalitatīvai, jēgpilnai un plānveidīgai digitālo tehnoloģiju izmantošanai mācību procesā.</w:t>
            </w:r>
          </w:p>
        </w:tc>
        <w:tc>
          <w:tcPr>
            <w:tcW w:w="2739" w:type="dxa"/>
            <w:tcBorders>
              <w:top w:val="nil"/>
              <w:left w:val="nil"/>
              <w:bottom w:val="single" w:sz="4" w:space="0" w:color="auto"/>
              <w:right w:val="single" w:sz="4" w:space="0" w:color="auto"/>
            </w:tcBorders>
            <w:shd w:val="clear" w:color="000000" w:fill="FFFFFF"/>
            <w:hideMark/>
          </w:tcPr>
          <w:p w14:paraId="707565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Apstiprināti MK noteikumi Nr. 168 (2023. gada aprīlī) un slēgts līgums ar CFLA par projekta īstenošanu (2023. gada septembrī)</w:t>
            </w:r>
            <w:r w:rsidRPr="00BF055E">
              <w:rPr>
                <w:rFonts w:eastAsia="Times New Roman" w:cs="Times New Roman"/>
                <w:sz w:val="18"/>
                <w:szCs w:val="18"/>
                <w:lang w:eastAsia="lv-LV"/>
              </w:rPr>
              <w:br/>
              <w:t>2) Iegādātas 35 792 datortehnikas vienības līdz 2023. gada decembrim;</w:t>
            </w:r>
            <w:r w:rsidRPr="00BF055E">
              <w:rPr>
                <w:rFonts w:eastAsia="Times New Roman" w:cs="Times New Roman"/>
                <w:sz w:val="18"/>
                <w:szCs w:val="18"/>
                <w:lang w:eastAsia="lv-LV"/>
              </w:rPr>
              <w:br/>
              <w:t xml:space="preserve">3) Uzsākta </w:t>
            </w:r>
            <w:proofErr w:type="spellStart"/>
            <w:r w:rsidRPr="00BF055E">
              <w:rPr>
                <w:rFonts w:eastAsia="Times New Roman" w:cs="Times New Roman"/>
                <w:sz w:val="18"/>
                <w:szCs w:val="18"/>
                <w:lang w:eastAsia="lv-LV"/>
              </w:rPr>
              <w:t>priekšizpēte</w:t>
            </w:r>
            <w:proofErr w:type="spellEnd"/>
            <w:r w:rsidRPr="00BF055E">
              <w:rPr>
                <w:rFonts w:eastAsia="Times New Roman" w:cs="Times New Roman"/>
                <w:sz w:val="18"/>
                <w:szCs w:val="18"/>
                <w:lang w:eastAsia="lv-LV"/>
              </w:rPr>
              <w:t xml:space="preserve"> par izglītības iestāžu datu pārraides tīkla jaudas, tai skaitā iekštīklu uzlabojumu veikšanu;</w:t>
            </w:r>
            <w:r w:rsidRPr="00BF055E">
              <w:rPr>
                <w:rFonts w:eastAsia="Times New Roman" w:cs="Times New Roman"/>
                <w:sz w:val="18"/>
                <w:szCs w:val="18"/>
                <w:lang w:eastAsia="lv-LV"/>
              </w:rPr>
              <w:br/>
              <w:t xml:space="preserve">4) Fizisku uzlabojumu veikšana datu pārraides jaudai un iekštīkliem izglītības iestādēs 2025. un 2026. gadā (pēc </w:t>
            </w:r>
            <w:proofErr w:type="spellStart"/>
            <w:r w:rsidRPr="00BF055E">
              <w:rPr>
                <w:rFonts w:eastAsia="Times New Roman" w:cs="Times New Roman"/>
                <w:sz w:val="18"/>
                <w:szCs w:val="18"/>
                <w:lang w:eastAsia="lv-LV"/>
              </w:rPr>
              <w:t>priekšizpētes</w:t>
            </w:r>
            <w:proofErr w:type="spellEnd"/>
            <w:r w:rsidRPr="00BF055E">
              <w:rPr>
                <w:rFonts w:eastAsia="Times New Roman" w:cs="Times New Roman"/>
                <w:sz w:val="18"/>
                <w:szCs w:val="18"/>
                <w:lang w:eastAsia="lv-LV"/>
              </w:rPr>
              <w:t xml:space="preserve"> rezultātiem), sadarbības partneriem iesniedzot tehniskus projektus uzlabojumu veikšanai.</w:t>
            </w:r>
          </w:p>
        </w:tc>
        <w:tc>
          <w:tcPr>
            <w:tcW w:w="960" w:type="dxa"/>
            <w:tcBorders>
              <w:top w:val="nil"/>
              <w:left w:val="nil"/>
              <w:bottom w:val="single" w:sz="4" w:space="0" w:color="auto"/>
              <w:right w:val="single" w:sz="4" w:space="0" w:color="auto"/>
            </w:tcBorders>
            <w:shd w:val="clear" w:color="000000" w:fill="FFFFFF"/>
            <w:hideMark/>
          </w:tcPr>
          <w:p w14:paraId="62BC4C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2023. - 2026. </w:t>
            </w:r>
          </w:p>
        </w:tc>
        <w:tc>
          <w:tcPr>
            <w:tcW w:w="1668" w:type="dxa"/>
            <w:tcBorders>
              <w:top w:val="nil"/>
              <w:left w:val="nil"/>
              <w:bottom w:val="single" w:sz="4" w:space="0" w:color="auto"/>
              <w:right w:val="single" w:sz="4" w:space="0" w:color="auto"/>
            </w:tcBorders>
            <w:shd w:val="clear" w:color="auto" w:fill="auto"/>
            <w:hideMark/>
          </w:tcPr>
          <w:p w14:paraId="6CC6619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finansējums 15 000 000, Valsts budžets 3 090 300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119B6B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w:t>
            </w:r>
          </w:p>
        </w:tc>
        <w:tc>
          <w:tcPr>
            <w:tcW w:w="0" w:type="auto"/>
            <w:tcBorders>
              <w:top w:val="nil"/>
              <w:left w:val="nil"/>
              <w:bottom w:val="single" w:sz="4" w:space="0" w:color="auto"/>
              <w:right w:val="single" w:sz="4" w:space="0" w:color="auto"/>
            </w:tcBorders>
            <w:shd w:val="clear" w:color="auto" w:fill="auto"/>
            <w:hideMark/>
          </w:tcPr>
          <w:p w14:paraId="126A63C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1681998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0" w:type="auto"/>
            <w:tcBorders>
              <w:top w:val="nil"/>
              <w:left w:val="nil"/>
              <w:bottom w:val="single" w:sz="4" w:space="0" w:color="auto"/>
              <w:right w:val="single" w:sz="4" w:space="0" w:color="auto"/>
            </w:tcBorders>
            <w:shd w:val="clear" w:color="000000" w:fill="FFFFFF"/>
            <w:hideMark/>
          </w:tcPr>
          <w:p w14:paraId="04EB0B7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482466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37705C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5E2FF2CB"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172174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Digitālo prasmju attīstība – sabiedrības digitālo </w:t>
            </w:r>
            <w:proofErr w:type="spellStart"/>
            <w:r w:rsidRPr="00BF055E">
              <w:rPr>
                <w:rFonts w:eastAsia="Times New Roman" w:cs="Times New Roman"/>
                <w:sz w:val="18"/>
                <w:szCs w:val="18"/>
                <w:lang w:eastAsia="lv-LV"/>
              </w:rPr>
              <w:t>pamatprasmju</w:t>
            </w:r>
            <w:proofErr w:type="spellEnd"/>
            <w:r w:rsidRPr="00BF055E">
              <w:rPr>
                <w:rFonts w:eastAsia="Times New Roman" w:cs="Times New Roman"/>
                <w:sz w:val="18"/>
                <w:szCs w:val="18"/>
                <w:lang w:eastAsia="lv-LV"/>
              </w:rPr>
              <w:t xml:space="preserve"> attīstība </w:t>
            </w:r>
            <w:r w:rsidRPr="00BF055E">
              <w:rPr>
                <w:rFonts w:eastAsia="Times New Roman" w:cs="Times New Roman"/>
                <w:sz w:val="18"/>
                <w:szCs w:val="18"/>
                <w:lang w:eastAsia="lv-LV"/>
              </w:rPr>
              <w:br/>
              <w:t>(ANM projekts Nr. 2.3.2.1.i.0/1/23/I/CFL</w:t>
            </w:r>
            <w:r w:rsidRPr="00BF055E">
              <w:rPr>
                <w:rFonts w:eastAsia="Times New Roman" w:cs="Times New Roman"/>
                <w:sz w:val="18"/>
                <w:szCs w:val="18"/>
                <w:lang w:eastAsia="lv-LV"/>
              </w:rPr>
              <w:lastRenderedPageBreak/>
              <w:t>A/001 "Sabiedrības digitālo prasmju attīstība")</w:t>
            </w:r>
          </w:p>
        </w:tc>
        <w:tc>
          <w:tcPr>
            <w:tcW w:w="1839" w:type="dxa"/>
            <w:tcBorders>
              <w:top w:val="nil"/>
              <w:left w:val="nil"/>
              <w:bottom w:val="single" w:sz="4" w:space="0" w:color="auto"/>
              <w:right w:val="single" w:sz="4" w:space="0" w:color="auto"/>
            </w:tcBorders>
            <w:shd w:val="clear" w:color="000000" w:fill="FFFFFF"/>
            <w:hideMark/>
          </w:tcPr>
          <w:p w14:paraId="7971B3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Veicināt digitālo pašapkalpošanās prasmju attīstību sabiedrībā. Atbalstīti 40 000 iedzīvotāji vecumā 16-74 gadi. </w:t>
            </w:r>
          </w:p>
        </w:tc>
        <w:tc>
          <w:tcPr>
            <w:tcW w:w="2739" w:type="dxa"/>
            <w:tcBorders>
              <w:top w:val="nil"/>
              <w:left w:val="nil"/>
              <w:bottom w:val="single" w:sz="4" w:space="0" w:color="auto"/>
              <w:right w:val="single" w:sz="4" w:space="0" w:color="auto"/>
            </w:tcBorders>
            <w:shd w:val="clear" w:color="000000" w:fill="FFFFFF"/>
            <w:hideMark/>
          </w:tcPr>
          <w:p w14:paraId="19F058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Izstrādāts digitālo  pašapkalpošanās prasmju apguves</w:t>
            </w:r>
            <w:r w:rsidRPr="00BF055E">
              <w:rPr>
                <w:rFonts w:eastAsia="Times New Roman" w:cs="Times New Roman"/>
                <w:sz w:val="18"/>
                <w:szCs w:val="18"/>
                <w:lang w:eastAsia="lv-LV"/>
              </w:rPr>
              <w:br/>
              <w:t>e-mācību kurss (līdz 2024.g. 4 cet.)</w:t>
            </w:r>
            <w:r w:rsidRPr="00BF055E">
              <w:rPr>
                <w:rFonts w:eastAsia="Times New Roman" w:cs="Times New Roman"/>
                <w:sz w:val="18"/>
                <w:szCs w:val="18"/>
                <w:lang w:eastAsia="lv-LV"/>
              </w:rPr>
              <w:br/>
              <w:t xml:space="preserve">2) Neformālās izglītības programmas izstrāde un atļaujas </w:t>
            </w:r>
            <w:r w:rsidRPr="00BF055E">
              <w:rPr>
                <w:rFonts w:eastAsia="Times New Roman" w:cs="Times New Roman"/>
                <w:sz w:val="18"/>
                <w:szCs w:val="18"/>
                <w:lang w:eastAsia="lv-LV"/>
              </w:rPr>
              <w:lastRenderedPageBreak/>
              <w:t>saņemšana pašvaldībā (2024. 3.cet.);</w:t>
            </w:r>
            <w:r w:rsidRPr="00BF055E">
              <w:rPr>
                <w:rFonts w:eastAsia="Times New Roman" w:cs="Times New Roman"/>
                <w:sz w:val="18"/>
                <w:szCs w:val="18"/>
                <w:lang w:eastAsia="lv-LV"/>
              </w:rPr>
              <w:br/>
              <w:t xml:space="preserve">3) Izveidots un praksē aprobēts monitoringa ietvars (no 2024.g. 3.cet. līdz 2026.g. 2.cet.) </w:t>
            </w:r>
            <w:r w:rsidRPr="00BF055E">
              <w:rPr>
                <w:rFonts w:eastAsia="Times New Roman" w:cs="Times New Roman"/>
                <w:sz w:val="18"/>
                <w:szCs w:val="18"/>
                <w:lang w:eastAsia="lv-LV"/>
              </w:rPr>
              <w:br/>
              <w:t xml:space="preserve">4) Pasniedzēju - </w:t>
            </w:r>
            <w:proofErr w:type="spellStart"/>
            <w:r w:rsidRPr="00BF055E">
              <w:rPr>
                <w:rFonts w:eastAsia="Times New Roman" w:cs="Times New Roman"/>
                <w:sz w:val="18"/>
                <w:szCs w:val="18"/>
                <w:lang w:eastAsia="lv-LV"/>
              </w:rPr>
              <w:t>mentoru</w:t>
            </w:r>
            <w:proofErr w:type="spellEnd"/>
            <w:r w:rsidRPr="00BF055E">
              <w:rPr>
                <w:rFonts w:eastAsia="Times New Roman" w:cs="Times New Roman"/>
                <w:sz w:val="18"/>
                <w:szCs w:val="18"/>
                <w:lang w:eastAsia="lv-LV"/>
              </w:rPr>
              <w:t xml:space="preserve"> mācības (2024.gada 3.cet. – 2025.gada 3.cet.);</w:t>
            </w:r>
            <w:r w:rsidRPr="00BF055E">
              <w:rPr>
                <w:rFonts w:eastAsia="Times New Roman" w:cs="Times New Roman"/>
                <w:sz w:val="18"/>
                <w:szCs w:val="18"/>
                <w:lang w:eastAsia="lv-LV"/>
              </w:rPr>
              <w:br/>
              <w:t>5) Mācības iedzīvotājiem (2024. 4. cet. – 2026. 2. cet.)</w:t>
            </w:r>
            <w:r w:rsidRPr="00BF055E">
              <w:rPr>
                <w:rFonts w:eastAsia="Times New Roman" w:cs="Times New Roman"/>
                <w:sz w:val="18"/>
                <w:szCs w:val="18"/>
                <w:lang w:eastAsia="lv-LV"/>
              </w:rPr>
              <w:br/>
              <w:t>6) Sadarbības līgumu slēgšana ar pašvaldībām (2024.g. 3 cet., 4.cet.)</w:t>
            </w:r>
            <w:r w:rsidRPr="00BF055E">
              <w:rPr>
                <w:rFonts w:eastAsia="Times New Roman" w:cs="Times New Roman"/>
                <w:sz w:val="18"/>
                <w:szCs w:val="18"/>
                <w:lang w:eastAsia="lv-LV"/>
              </w:rPr>
              <w:br/>
              <w:t>7) Komunikācijas aktivitāšu īstenošana (2024.g. 3cet. – 2026.g. 2 cet.)</w:t>
            </w:r>
          </w:p>
        </w:tc>
        <w:tc>
          <w:tcPr>
            <w:tcW w:w="960" w:type="dxa"/>
            <w:tcBorders>
              <w:top w:val="nil"/>
              <w:left w:val="nil"/>
              <w:bottom w:val="single" w:sz="4" w:space="0" w:color="auto"/>
              <w:right w:val="single" w:sz="4" w:space="0" w:color="auto"/>
            </w:tcBorders>
            <w:shd w:val="clear" w:color="000000" w:fill="FFFFFF"/>
            <w:hideMark/>
          </w:tcPr>
          <w:p w14:paraId="34864D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2023.-2026.</w:t>
            </w:r>
          </w:p>
        </w:tc>
        <w:tc>
          <w:tcPr>
            <w:tcW w:w="1668" w:type="dxa"/>
            <w:tcBorders>
              <w:top w:val="nil"/>
              <w:left w:val="nil"/>
              <w:bottom w:val="single" w:sz="4" w:space="0" w:color="auto"/>
              <w:right w:val="single" w:sz="4" w:space="0" w:color="auto"/>
            </w:tcBorders>
            <w:shd w:val="clear" w:color="auto" w:fill="auto"/>
            <w:hideMark/>
          </w:tcPr>
          <w:p w14:paraId="1F53FB27" w14:textId="364AA50F"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Projekta budžets: 9 380 564.24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br/>
            </w:r>
            <w:r w:rsidR="00BF53B6">
              <w:rPr>
                <w:rFonts w:eastAsia="Times New Roman" w:cs="Times New Roman"/>
                <w:sz w:val="18"/>
                <w:szCs w:val="18"/>
                <w:lang w:eastAsia="lv-LV"/>
              </w:rPr>
              <w:t>ANM</w:t>
            </w:r>
            <w:r w:rsidRPr="00BF055E">
              <w:rPr>
                <w:rFonts w:eastAsia="Times New Roman" w:cs="Times New Roman"/>
                <w:sz w:val="18"/>
                <w:szCs w:val="18"/>
                <w:lang w:eastAsia="lv-LV"/>
              </w:rPr>
              <w:t xml:space="preserve"> plāna finansējums: 9 042 000.00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br/>
              <w:t xml:space="preserve">Valsts budžeta </w:t>
            </w:r>
            <w:r w:rsidRPr="00BF055E">
              <w:rPr>
                <w:rFonts w:eastAsia="Times New Roman" w:cs="Times New Roman"/>
                <w:sz w:val="18"/>
                <w:szCs w:val="18"/>
                <w:lang w:eastAsia="lv-LV"/>
              </w:rPr>
              <w:lastRenderedPageBreak/>
              <w:t xml:space="preserve">finansējums (pievienotās vērtības nodokļa izmaksām): 338 564.24 </w:t>
            </w:r>
            <w:proofErr w:type="spellStart"/>
            <w:r w:rsidRPr="00BF055E">
              <w:rPr>
                <w:rFonts w:eastAsia="Times New Roman" w:cs="Times New Roman"/>
                <w:i/>
                <w:sz w:val="18"/>
                <w:szCs w:val="18"/>
                <w:lang w:eastAsia="lv-LV"/>
              </w:rPr>
              <w:t>euro</w:t>
            </w:r>
            <w:proofErr w:type="spellEnd"/>
          </w:p>
        </w:tc>
        <w:tc>
          <w:tcPr>
            <w:tcW w:w="1069" w:type="dxa"/>
            <w:tcBorders>
              <w:top w:val="nil"/>
              <w:left w:val="nil"/>
              <w:bottom w:val="single" w:sz="4" w:space="0" w:color="auto"/>
              <w:right w:val="single" w:sz="4" w:space="0" w:color="auto"/>
            </w:tcBorders>
            <w:shd w:val="clear" w:color="000000" w:fill="FFFFFF"/>
            <w:hideMark/>
          </w:tcPr>
          <w:p w14:paraId="73D6CA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IZM/VARAM</w:t>
            </w:r>
          </w:p>
        </w:tc>
        <w:tc>
          <w:tcPr>
            <w:tcW w:w="0" w:type="auto"/>
            <w:tcBorders>
              <w:top w:val="nil"/>
              <w:left w:val="nil"/>
              <w:bottom w:val="single" w:sz="4" w:space="0" w:color="auto"/>
              <w:right w:val="single" w:sz="4" w:space="0" w:color="auto"/>
            </w:tcBorders>
            <w:shd w:val="clear" w:color="auto" w:fill="auto"/>
            <w:hideMark/>
          </w:tcPr>
          <w:p w14:paraId="121EC2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auto" w:fill="auto"/>
            <w:hideMark/>
          </w:tcPr>
          <w:p w14:paraId="4116C67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2019(2); 2020(2); 2022(1); </w:t>
            </w:r>
            <w:r w:rsidRPr="00BF055E">
              <w:rPr>
                <w:rFonts w:eastAsia="Times New Roman" w:cs="Times New Roman"/>
                <w:sz w:val="18"/>
                <w:szCs w:val="18"/>
                <w:lang w:eastAsia="lv-LV"/>
              </w:rPr>
              <w:lastRenderedPageBreak/>
              <w:t>2023(4); 2024(3)</w:t>
            </w:r>
          </w:p>
        </w:tc>
        <w:tc>
          <w:tcPr>
            <w:tcW w:w="0" w:type="auto"/>
            <w:tcBorders>
              <w:top w:val="nil"/>
              <w:left w:val="nil"/>
              <w:bottom w:val="single" w:sz="4" w:space="0" w:color="auto"/>
              <w:right w:val="single" w:sz="4" w:space="0" w:color="auto"/>
            </w:tcBorders>
            <w:shd w:val="clear" w:color="000000" w:fill="FFFFFF"/>
            <w:hideMark/>
          </w:tcPr>
          <w:p w14:paraId="21C893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2. Sociālā un ekonomikas noturība, t.sk. Eiropas </w:t>
            </w:r>
            <w:r w:rsidRPr="00BF055E">
              <w:rPr>
                <w:rFonts w:eastAsia="Times New Roman" w:cs="Times New Roman"/>
                <w:sz w:val="18"/>
                <w:szCs w:val="18"/>
                <w:lang w:eastAsia="lv-LV"/>
              </w:rPr>
              <w:lastRenderedPageBreak/>
              <w:t>Sociālo tiesību pīlārs</w:t>
            </w:r>
          </w:p>
        </w:tc>
        <w:tc>
          <w:tcPr>
            <w:tcW w:w="0" w:type="auto"/>
            <w:tcBorders>
              <w:top w:val="nil"/>
              <w:left w:val="nil"/>
              <w:bottom w:val="single" w:sz="4" w:space="0" w:color="auto"/>
              <w:right w:val="single" w:sz="4" w:space="0" w:color="auto"/>
            </w:tcBorders>
            <w:shd w:val="clear" w:color="000000" w:fill="FFFFFF"/>
            <w:hideMark/>
          </w:tcPr>
          <w:p w14:paraId="26CBBD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7140CE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r w:rsidR="00BF055E" w:rsidRPr="00BF055E" w14:paraId="6E0C9064"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708241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Digitālo prasmju pilnveide (Programma</w:t>
            </w:r>
            <w:r w:rsidRPr="00BF055E">
              <w:rPr>
                <w:rFonts w:eastAsia="Times New Roman" w:cs="Times New Roman"/>
                <w:sz w:val="18"/>
                <w:szCs w:val="18"/>
                <w:lang w:eastAsia="lv-LV"/>
              </w:rPr>
              <w:br/>
              <w:t>4.2.4.3. (bez elastības finansējuma rādītājos un finansēs))</w:t>
            </w:r>
          </w:p>
        </w:tc>
        <w:tc>
          <w:tcPr>
            <w:tcW w:w="1839" w:type="dxa"/>
            <w:tcBorders>
              <w:top w:val="nil"/>
              <w:left w:val="nil"/>
              <w:bottom w:val="single" w:sz="4" w:space="0" w:color="auto"/>
              <w:right w:val="single" w:sz="4" w:space="0" w:color="auto"/>
            </w:tcBorders>
            <w:shd w:val="clear" w:color="000000" w:fill="FFFFFF"/>
            <w:hideMark/>
          </w:tcPr>
          <w:p w14:paraId="5025BF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digitālās pārkārtošanas veicināšanai, lai pilnveidotu valsts un pašvaldību iestāžu darbinieku digitālās prasmes un veicinātu uz sabiedrību un uzņēmējiem orientēto digitālo iespēju un platformu izmantošanu, tādējādi paaugstinot informācijas un komunikācijas tehnoloģiju iespēju izmantošanu un mazinot digitālo plaisu sabiedrībā.</w:t>
            </w:r>
            <w:r w:rsidRPr="00BF055E">
              <w:rPr>
                <w:rFonts w:eastAsia="Times New Roman" w:cs="Times New Roman"/>
                <w:sz w:val="18"/>
                <w:szCs w:val="18"/>
                <w:lang w:eastAsia="lv-LV"/>
              </w:rPr>
              <w:br/>
              <w:t xml:space="preserve">Sasniedzamie rezultāti: </w:t>
            </w:r>
            <w:r w:rsidRPr="00BF055E">
              <w:rPr>
                <w:rFonts w:eastAsia="Times New Roman" w:cs="Times New Roman"/>
                <w:sz w:val="18"/>
                <w:szCs w:val="18"/>
                <w:lang w:eastAsia="lv-LV"/>
              </w:rPr>
              <w:br/>
              <w:t xml:space="preserve">1) organizēti vismaz </w:t>
            </w:r>
            <w:r w:rsidRPr="00BF055E">
              <w:rPr>
                <w:rFonts w:eastAsia="Times New Roman" w:cs="Times New Roman"/>
                <w:sz w:val="18"/>
                <w:szCs w:val="18"/>
                <w:lang w:eastAsia="lv-LV"/>
              </w:rPr>
              <w:lastRenderedPageBreak/>
              <w:t>25 pasākumi informācijas un komunikācijas tehnoloģiju iespēju izmantošanas veicināšanai;</w:t>
            </w:r>
            <w:r w:rsidRPr="00BF055E">
              <w:rPr>
                <w:rFonts w:eastAsia="Times New Roman" w:cs="Times New Roman"/>
                <w:sz w:val="18"/>
                <w:szCs w:val="18"/>
                <w:lang w:eastAsia="lv-LV"/>
              </w:rPr>
              <w:br/>
              <w:t>2) mācībās piedalījušies vismaz 1 572 valsts un pašvaldību darbinieki;</w:t>
            </w:r>
            <w:r w:rsidRPr="00BF055E">
              <w:rPr>
                <w:rFonts w:eastAsia="Times New Roman" w:cs="Times New Roman"/>
                <w:sz w:val="18"/>
                <w:szCs w:val="18"/>
                <w:lang w:eastAsia="lv-LV"/>
              </w:rPr>
              <w:br/>
              <w:t>3) īstenotas vismaz četras integrētās komunikāciju kampaņas.</w:t>
            </w:r>
          </w:p>
        </w:tc>
        <w:tc>
          <w:tcPr>
            <w:tcW w:w="2739" w:type="dxa"/>
            <w:tcBorders>
              <w:top w:val="nil"/>
              <w:left w:val="nil"/>
              <w:bottom w:val="single" w:sz="4" w:space="0" w:color="auto"/>
              <w:right w:val="single" w:sz="4" w:space="0" w:color="auto"/>
            </w:tcBorders>
            <w:shd w:val="clear" w:color="000000" w:fill="FFFFFF"/>
            <w:hideMark/>
          </w:tcPr>
          <w:p w14:paraId="533495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izstrāde un saskaņošanas uzsākšana TAP (24.05.2024.);</w:t>
            </w:r>
            <w:r w:rsidRPr="00BF055E">
              <w:rPr>
                <w:rFonts w:eastAsia="Times New Roman" w:cs="Times New Roman"/>
                <w:sz w:val="18"/>
                <w:szCs w:val="18"/>
                <w:lang w:eastAsia="lv-LV"/>
              </w:rPr>
              <w:br/>
              <w:t>2) MK noteikumu apstiprināšana (2024.g. 4.ceturksnis);</w:t>
            </w:r>
            <w:r w:rsidRPr="00BF055E">
              <w:rPr>
                <w:rFonts w:eastAsia="Times New Roman" w:cs="Times New Roman"/>
                <w:sz w:val="18"/>
                <w:szCs w:val="18"/>
                <w:lang w:eastAsia="lv-LV"/>
              </w:rPr>
              <w:br/>
              <w:t>3) projektu iesniegumu vērtēšanas kritēriju izskatīšana tematiskajā apakškomitejā (20.06.2024.);</w:t>
            </w:r>
            <w:r w:rsidRPr="00BF055E">
              <w:rPr>
                <w:rFonts w:eastAsia="Times New Roman" w:cs="Times New Roman"/>
                <w:sz w:val="18"/>
                <w:szCs w:val="18"/>
                <w:lang w:eastAsia="lv-LV"/>
              </w:rPr>
              <w:br/>
              <w:t>4) projektu iesniegumu vērtēšanas kritēriju apstiprināšana ES fondu Uzraudzības komitejā (12.08.2024.);</w:t>
            </w:r>
            <w:r w:rsidRPr="00BF055E">
              <w:rPr>
                <w:rFonts w:eastAsia="Times New Roman" w:cs="Times New Roman"/>
                <w:sz w:val="18"/>
                <w:szCs w:val="18"/>
                <w:lang w:eastAsia="lv-LV"/>
              </w:rPr>
              <w:br/>
              <w:t>5) ierobežotas atlases uzsākšana (2025.g. 1.ceturksnis);</w:t>
            </w:r>
            <w:r w:rsidRPr="00BF055E">
              <w:rPr>
                <w:rFonts w:eastAsia="Times New Roman" w:cs="Times New Roman"/>
                <w:sz w:val="18"/>
                <w:szCs w:val="18"/>
                <w:lang w:eastAsia="lv-LV"/>
              </w:rPr>
              <w:br/>
              <w:t>6) līgumu slēgšana un projektu īstenošana.</w:t>
            </w:r>
          </w:p>
        </w:tc>
        <w:tc>
          <w:tcPr>
            <w:tcW w:w="960" w:type="dxa"/>
            <w:tcBorders>
              <w:top w:val="nil"/>
              <w:left w:val="nil"/>
              <w:bottom w:val="single" w:sz="4" w:space="0" w:color="auto"/>
              <w:right w:val="single" w:sz="4" w:space="0" w:color="auto"/>
            </w:tcBorders>
            <w:shd w:val="clear" w:color="000000" w:fill="FFFFFF"/>
            <w:hideMark/>
          </w:tcPr>
          <w:p w14:paraId="23498A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01.01.2025.-31.12.2029.</w:t>
            </w:r>
          </w:p>
        </w:tc>
        <w:tc>
          <w:tcPr>
            <w:tcW w:w="1668" w:type="dxa"/>
            <w:tcBorders>
              <w:top w:val="nil"/>
              <w:left w:val="nil"/>
              <w:bottom w:val="single" w:sz="4" w:space="0" w:color="auto"/>
              <w:right w:val="single" w:sz="4" w:space="0" w:color="auto"/>
            </w:tcBorders>
            <w:shd w:val="clear" w:color="000000" w:fill="FFFFFF"/>
            <w:hideMark/>
          </w:tcPr>
          <w:p w14:paraId="575C9B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3,1 milj. ESF+;</w:t>
            </w:r>
            <w:r w:rsidRPr="00BF055E">
              <w:rPr>
                <w:rFonts w:eastAsia="Times New Roman" w:cs="Times New Roman"/>
                <w:sz w:val="18"/>
                <w:szCs w:val="18"/>
                <w:lang w:eastAsia="lv-LV"/>
              </w:rPr>
              <w:br/>
              <w:t>0,5 milj. nacionālais finansējums (valsts budžets)</w:t>
            </w:r>
          </w:p>
        </w:tc>
        <w:tc>
          <w:tcPr>
            <w:tcW w:w="1069" w:type="dxa"/>
            <w:tcBorders>
              <w:top w:val="nil"/>
              <w:left w:val="nil"/>
              <w:bottom w:val="single" w:sz="4" w:space="0" w:color="auto"/>
              <w:right w:val="single" w:sz="4" w:space="0" w:color="auto"/>
            </w:tcBorders>
            <w:shd w:val="clear" w:color="000000" w:fill="FFFFFF"/>
            <w:hideMark/>
          </w:tcPr>
          <w:p w14:paraId="16D890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0" w:type="auto"/>
            <w:tcBorders>
              <w:top w:val="nil"/>
              <w:left w:val="nil"/>
              <w:bottom w:val="single" w:sz="4" w:space="0" w:color="auto"/>
              <w:right w:val="single" w:sz="4" w:space="0" w:color="auto"/>
            </w:tcBorders>
            <w:shd w:val="clear" w:color="000000" w:fill="FFFFFF"/>
            <w:hideMark/>
          </w:tcPr>
          <w:p w14:paraId="0D2A62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2E0AB5C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2024(3)</w:t>
            </w:r>
          </w:p>
        </w:tc>
        <w:tc>
          <w:tcPr>
            <w:tcW w:w="0" w:type="auto"/>
            <w:tcBorders>
              <w:top w:val="nil"/>
              <w:left w:val="nil"/>
              <w:bottom w:val="single" w:sz="4" w:space="0" w:color="auto"/>
              <w:right w:val="single" w:sz="4" w:space="0" w:color="auto"/>
            </w:tcBorders>
            <w:shd w:val="clear" w:color="000000" w:fill="FFFFFF"/>
            <w:hideMark/>
          </w:tcPr>
          <w:p w14:paraId="6BEBC8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4F80DE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1DEED2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4.Kvalitatīva izglītība</w:t>
            </w:r>
          </w:p>
        </w:tc>
      </w:tr>
    </w:tbl>
    <w:p w14:paraId="730C4DE0" w14:textId="77777777" w:rsidR="00BF055E" w:rsidRPr="00BF055E" w:rsidRDefault="00BF055E" w:rsidP="006357B3">
      <w:pPr>
        <w:spacing w:after="0" w:line="240" w:lineRule="auto"/>
        <w:ind w:firstLine="0"/>
        <w:rPr>
          <w:rFonts w:eastAsia="Calibri" w:cs="Times New Roman"/>
          <w:kern w:val="2"/>
          <w:szCs w:val="24"/>
          <w14:ligatures w14:val="standardContextual"/>
        </w:rPr>
      </w:pPr>
    </w:p>
    <w:p w14:paraId="3A148CD3" w14:textId="4A7D5701" w:rsidR="00BF055E" w:rsidRPr="00BF055E" w:rsidRDefault="00D16FDC" w:rsidP="00D16FDC">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.1.5. Nodarbinātības politika</w:t>
      </w:r>
    </w:p>
    <w:p w14:paraId="7E0B6076" w14:textId="3E156462" w:rsidR="00BF055E" w:rsidRPr="0058560C" w:rsidRDefault="00BF055E" w:rsidP="0058560C">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Šī Latvijas FSP politikas virziena sadaļa koncentrējas galvenokārt uz aktīvas nodarbinātības politikas uzlabošanu, kas arī atbilst ES Padomes valstu specifiskajām rekomendācijām Latvijai un tiek īstenota ES fondu atbalsta programmu un Latvijas ANM plāna ietvaros. Galvenie pasākumi ietver bezdarbnieku, darba meklētāju un bezdarba riskam pakļauto personu kvalifikācijas un prasmju paaugstināšanu, nelabvēlīgākā situācijā esošu bezdarbnieku un ekonomiski neaktīvo iedzīvotāju iekļaušanās darba tirgū sekmēšanu (subsidētā nodarbinātība u.c. atbalsta pasākumi), atbalstu sociālajai uzņēmējdarbībai, </w:t>
      </w:r>
      <w:proofErr w:type="spellStart"/>
      <w:r w:rsidRPr="00BF055E">
        <w:rPr>
          <w:rFonts w:eastAsia="Calibri" w:cs="Times New Roman"/>
          <w:i/>
          <w:iCs/>
          <w:kern w:val="2"/>
          <w:szCs w:val="24"/>
          <w14:ligatures w14:val="standardContextual"/>
        </w:rPr>
        <w:t>Eures</w:t>
      </w:r>
      <w:proofErr w:type="spellEnd"/>
      <w:r w:rsidRPr="00BF055E">
        <w:rPr>
          <w:rFonts w:eastAsia="Calibri" w:cs="Times New Roman"/>
          <w:kern w:val="2"/>
          <w:szCs w:val="24"/>
          <w14:ligatures w14:val="standardContextual"/>
        </w:rPr>
        <w:t xml:space="preserve"> tīkla darbības nodrošināšanu Latvijā, ilgāka un labāka darba mūža veicināšanu (atbalsts nodarbinātajiem vecumā 45 gadi un vairāk darba apstākļu un vides uzlabošanai) un Nodarbinātības valsts aģentūras veiktspējas stiprināšanu un pakalpojumu modernizēšanu.</w:t>
      </w:r>
      <w:bookmarkStart w:id="57" w:name="_Hlk179043196"/>
    </w:p>
    <w:p w14:paraId="2D485564" w14:textId="77777777" w:rsidR="0058560C" w:rsidRDefault="0058560C">
      <w:pPr>
        <w:spacing w:after="160" w:line="259" w:lineRule="auto"/>
        <w:ind w:firstLine="0"/>
        <w:jc w:val="left"/>
        <w:rPr>
          <w:rFonts w:eastAsia="Calibri" w:cs="Times New Roman"/>
          <w:b/>
          <w:bCs/>
          <w:kern w:val="2"/>
          <w:szCs w:val="24"/>
          <w14:ligatures w14:val="standardContextual"/>
        </w:rPr>
      </w:pPr>
      <w:r>
        <w:rPr>
          <w:rFonts w:eastAsia="Calibri" w:cs="Times New Roman"/>
          <w:b/>
          <w:bCs/>
          <w:kern w:val="2"/>
          <w:szCs w:val="24"/>
          <w14:ligatures w14:val="standardContextual"/>
        </w:rPr>
        <w:br w:type="page"/>
      </w:r>
    </w:p>
    <w:p w14:paraId="15808ACD" w14:textId="55B8CAC9"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lastRenderedPageBreak/>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Nodarbinātības politika</w:t>
      </w:r>
    </w:p>
    <w:tbl>
      <w:tblPr>
        <w:tblW w:w="0" w:type="auto"/>
        <w:tblLook w:val="04A0" w:firstRow="1" w:lastRow="0" w:firstColumn="1" w:lastColumn="0" w:noHBand="0" w:noVBand="1"/>
      </w:tblPr>
      <w:tblGrid>
        <w:gridCol w:w="1920"/>
        <w:gridCol w:w="1907"/>
        <w:gridCol w:w="1762"/>
        <w:gridCol w:w="1115"/>
        <w:gridCol w:w="1423"/>
        <w:gridCol w:w="1234"/>
        <w:gridCol w:w="942"/>
        <w:gridCol w:w="863"/>
        <w:gridCol w:w="1173"/>
        <w:gridCol w:w="1057"/>
        <w:gridCol w:w="1164"/>
      </w:tblGrid>
      <w:tr w:rsidR="00BF055E" w:rsidRPr="00BF055E" w14:paraId="21DB6EB6" w14:textId="77777777" w:rsidTr="003B1594">
        <w:trPr>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95B3D7"/>
            <w:vAlign w:val="bottom"/>
            <w:hideMark/>
          </w:tcPr>
          <w:bookmarkEnd w:id="57"/>
          <w:p w14:paraId="7F599EB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2C2B57F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15DB0F5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0FE7C683"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49B73D8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15BFFE6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0190265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ANM/ES budžets (MFF)</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121AA3E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230FA54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2A443C2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0" w:type="auto"/>
            <w:tcBorders>
              <w:top w:val="single" w:sz="4" w:space="0" w:color="auto"/>
              <w:left w:val="nil"/>
              <w:bottom w:val="single" w:sz="4" w:space="0" w:color="auto"/>
              <w:right w:val="single" w:sz="4" w:space="0" w:color="auto"/>
            </w:tcBorders>
            <w:shd w:val="clear" w:color="000000" w:fill="95B3D7"/>
            <w:vAlign w:val="bottom"/>
            <w:hideMark/>
          </w:tcPr>
          <w:p w14:paraId="16C515A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0FCF33F1" w14:textId="77777777" w:rsidTr="003B1594">
        <w:trPr>
          <w:trHeight w:val="20"/>
          <w:tblHeader/>
        </w:trPr>
        <w:tc>
          <w:tcPr>
            <w:tcW w:w="0" w:type="auto"/>
            <w:gridSpan w:val="11"/>
            <w:tcBorders>
              <w:top w:val="single" w:sz="4" w:space="0" w:color="auto"/>
              <w:left w:val="single" w:sz="4" w:space="0" w:color="auto"/>
              <w:bottom w:val="single" w:sz="4" w:space="0" w:color="auto"/>
              <w:right w:val="single" w:sz="4" w:space="0" w:color="auto"/>
            </w:tcBorders>
            <w:shd w:val="clear" w:color="000000" w:fill="F2DCDB"/>
            <w:hideMark/>
          </w:tcPr>
          <w:p w14:paraId="7A32F433"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Nodarbinātības politika</w:t>
            </w:r>
          </w:p>
        </w:tc>
      </w:tr>
      <w:tr w:rsidR="00BF055E" w:rsidRPr="00BF055E" w14:paraId="36BC527B" w14:textId="77777777" w:rsidTr="003B1594">
        <w:trPr>
          <w:trHeight w:val="20"/>
        </w:trPr>
        <w:tc>
          <w:tcPr>
            <w:tcW w:w="0" w:type="auto"/>
            <w:tcBorders>
              <w:top w:val="nil"/>
              <w:left w:val="single" w:sz="4" w:space="0" w:color="auto"/>
              <w:bottom w:val="single" w:sz="4" w:space="0" w:color="auto"/>
              <w:right w:val="single" w:sz="4" w:space="0" w:color="auto"/>
            </w:tcBorders>
            <w:shd w:val="clear" w:color="000000" w:fill="FFFFFF"/>
            <w:hideMark/>
          </w:tcPr>
          <w:p w14:paraId="1B0853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Aktīvās nodarbinātības politikas pasākumi</w:t>
            </w:r>
          </w:p>
        </w:tc>
        <w:tc>
          <w:tcPr>
            <w:tcW w:w="0" w:type="auto"/>
            <w:tcBorders>
              <w:top w:val="nil"/>
              <w:left w:val="nil"/>
              <w:bottom w:val="single" w:sz="4" w:space="0" w:color="auto"/>
              <w:right w:val="single" w:sz="4" w:space="0" w:color="auto"/>
            </w:tcBorders>
            <w:shd w:val="clear" w:color="000000" w:fill="FFFFFF"/>
            <w:hideMark/>
          </w:tcPr>
          <w:p w14:paraId="29795DF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Palielināt nelabvēlīgākā situācijā esošu bezdarbnieku un ekonomiski neaktīvo iedzīvotāju iekļaušanos darba tirgū,  veicināt nodarbināto darba mūža pagarināšanos (sniegt atbalstu 57 762 personām iesaistei mācību pasākumos, veicināt 7 846 personu, īpaši ilgstošo bezdarbnieku un bezdarbnieku ar invaliditāti, iesaisti nodarbinātības atbalsta pasākumos, atbalstīt 148 sociālos uzņēmumus, uzlabot darba vidi 2 477 gados vecākām nodarbinātām personām)</w:t>
            </w:r>
          </w:p>
        </w:tc>
        <w:tc>
          <w:tcPr>
            <w:tcW w:w="0" w:type="auto"/>
            <w:tcBorders>
              <w:top w:val="nil"/>
              <w:left w:val="nil"/>
              <w:bottom w:val="single" w:sz="4" w:space="0" w:color="auto"/>
              <w:right w:val="single" w:sz="4" w:space="0" w:color="auto"/>
            </w:tcBorders>
            <w:shd w:val="clear" w:color="auto" w:fill="auto"/>
            <w:hideMark/>
          </w:tcPr>
          <w:p w14:paraId="301703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Bezdarbnieku, darba meklētāju un bezdarba riskam pakļauto personu kvalifikācijas un prasmju paaugstināšana (ANM 3.1.2.5.i investīcija (20.06.2023. MKN Nr. 323) un ESF + 4.3.3.1. pasākums (MKN noteikumu izstrāde plānota 01.01.2025.));</w:t>
            </w:r>
            <w:r w:rsidRPr="00BF055E">
              <w:rPr>
                <w:rFonts w:eastAsia="Times New Roman" w:cs="Times New Roman"/>
                <w:sz w:val="18"/>
                <w:szCs w:val="18"/>
                <w:lang w:eastAsia="lv-LV"/>
              </w:rPr>
              <w:br/>
              <w:t>2. Nelabvēlīgākā situācijā esošu bezdarbnieku un ekonomiski neaktīvo iedzīvotāju iekļaušanās darba tirgū sekmēšana (subsidētā nodarbinātība u.c. atbalsta pasākumi, ESF + 4.3.3.2. pasākums (28.11.2023. MKN Nr. 691))</w:t>
            </w:r>
            <w:r w:rsidRPr="00BF055E">
              <w:rPr>
                <w:rFonts w:eastAsia="Times New Roman" w:cs="Times New Roman"/>
                <w:sz w:val="18"/>
                <w:szCs w:val="18"/>
                <w:lang w:eastAsia="lv-LV"/>
              </w:rPr>
              <w:br/>
              <w:t>3. Atbalsts sociālajai uzņēmējdarbībai (ESF + 4.3.3.3. pasākums (19.12.2023. MKN Nr. 818))</w:t>
            </w:r>
            <w:r w:rsidRPr="00BF055E">
              <w:rPr>
                <w:rFonts w:eastAsia="Times New Roman" w:cs="Times New Roman"/>
                <w:sz w:val="18"/>
                <w:szCs w:val="18"/>
                <w:lang w:eastAsia="lv-LV"/>
              </w:rPr>
              <w:br/>
              <w:t xml:space="preserve">4. </w:t>
            </w:r>
            <w:proofErr w:type="spellStart"/>
            <w:r w:rsidRPr="00BF055E">
              <w:rPr>
                <w:rFonts w:eastAsia="Times New Roman" w:cs="Times New Roman"/>
                <w:i/>
                <w:sz w:val="18"/>
                <w:szCs w:val="18"/>
                <w:lang w:eastAsia="lv-LV"/>
              </w:rPr>
              <w:t>Euroes</w:t>
            </w:r>
            <w:proofErr w:type="spellEnd"/>
            <w:r w:rsidRPr="00BF055E">
              <w:rPr>
                <w:rFonts w:eastAsia="Times New Roman" w:cs="Times New Roman"/>
                <w:sz w:val="18"/>
                <w:szCs w:val="18"/>
                <w:lang w:eastAsia="lv-LV"/>
              </w:rPr>
              <w:t xml:space="preserve"> tīkla darbības </w:t>
            </w:r>
            <w:r w:rsidRPr="00BF055E">
              <w:rPr>
                <w:rFonts w:eastAsia="Times New Roman" w:cs="Times New Roman"/>
                <w:sz w:val="18"/>
                <w:szCs w:val="18"/>
                <w:lang w:eastAsia="lv-LV"/>
              </w:rPr>
              <w:lastRenderedPageBreak/>
              <w:t>nodrošināšana Latvijā (ESF + 4.3.3.4. pasākums (28.11.2023. MKN Nr. 689))</w:t>
            </w:r>
            <w:r w:rsidRPr="00BF055E">
              <w:rPr>
                <w:rFonts w:eastAsia="Times New Roman" w:cs="Times New Roman"/>
                <w:sz w:val="18"/>
                <w:szCs w:val="18"/>
                <w:lang w:eastAsia="lv-LV"/>
              </w:rPr>
              <w:br/>
              <w:t>5. Ilgāka un labāka darba mūža veicināšana (atbalsts nodarbinātajiem vecumā 45 gadi un vairāk darba apstākļu un vides uzlabošanai, ESF + 4.3.3.5. pasākums (2.07.2024. MKN Nr. 431))</w:t>
            </w:r>
            <w:r w:rsidRPr="00BF055E">
              <w:rPr>
                <w:rFonts w:eastAsia="Times New Roman" w:cs="Times New Roman"/>
                <w:sz w:val="18"/>
                <w:szCs w:val="18"/>
                <w:lang w:eastAsia="lv-LV"/>
              </w:rPr>
              <w:br/>
              <w:t>6. Nodarbinātības valsts aģentūras veiktspējas stiprināšana un pakalpojumu modernizēšana (ESF + 4.3.3.6. pasākums (5.12.2024. MKN Nr. 723))</w:t>
            </w:r>
          </w:p>
        </w:tc>
        <w:tc>
          <w:tcPr>
            <w:tcW w:w="0" w:type="auto"/>
            <w:tcBorders>
              <w:top w:val="nil"/>
              <w:left w:val="nil"/>
              <w:bottom w:val="single" w:sz="4" w:space="0" w:color="auto"/>
              <w:right w:val="single" w:sz="4" w:space="0" w:color="auto"/>
            </w:tcBorders>
            <w:shd w:val="clear" w:color="000000" w:fill="FFFFFF"/>
            <w:hideMark/>
          </w:tcPr>
          <w:p w14:paraId="7DFE9F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2023.-2029.g.</w:t>
            </w:r>
          </w:p>
        </w:tc>
        <w:tc>
          <w:tcPr>
            <w:tcW w:w="0" w:type="auto"/>
            <w:tcBorders>
              <w:top w:val="nil"/>
              <w:left w:val="nil"/>
              <w:bottom w:val="single" w:sz="4" w:space="0" w:color="auto"/>
              <w:right w:val="single" w:sz="4" w:space="0" w:color="auto"/>
            </w:tcBorders>
            <w:shd w:val="clear" w:color="auto" w:fill="auto"/>
            <w:hideMark/>
          </w:tcPr>
          <w:p w14:paraId="2C3C834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finansējums - 28 710 000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(3.1.2.5. i); ESF + finansējums - 125 296 927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- 23 554 807 </w:t>
            </w:r>
            <w:proofErr w:type="spellStart"/>
            <w:r w:rsidRPr="00BF055E">
              <w:rPr>
                <w:rFonts w:eastAsia="Times New Roman" w:cs="Times New Roman"/>
                <w:i/>
                <w:sz w:val="18"/>
                <w:szCs w:val="18"/>
                <w:lang w:eastAsia="lv-LV"/>
              </w:rPr>
              <w:t>euro</w:t>
            </w:r>
            <w:proofErr w:type="spellEnd"/>
          </w:p>
        </w:tc>
        <w:tc>
          <w:tcPr>
            <w:tcW w:w="0" w:type="auto"/>
            <w:tcBorders>
              <w:top w:val="nil"/>
              <w:left w:val="nil"/>
              <w:bottom w:val="single" w:sz="4" w:space="0" w:color="auto"/>
              <w:right w:val="single" w:sz="4" w:space="0" w:color="auto"/>
            </w:tcBorders>
            <w:shd w:val="clear" w:color="000000" w:fill="FFFFFF"/>
            <w:hideMark/>
          </w:tcPr>
          <w:p w14:paraId="2884E9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LM, NVA, ALTUM, LBAS, LDDK, RSU DDVVI</w:t>
            </w:r>
          </w:p>
        </w:tc>
        <w:tc>
          <w:tcPr>
            <w:tcW w:w="0" w:type="auto"/>
            <w:tcBorders>
              <w:top w:val="nil"/>
              <w:left w:val="nil"/>
              <w:bottom w:val="single" w:sz="4" w:space="0" w:color="auto"/>
              <w:right w:val="single" w:sz="4" w:space="0" w:color="auto"/>
            </w:tcBorders>
            <w:shd w:val="clear" w:color="auto" w:fill="auto"/>
            <w:hideMark/>
          </w:tcPr>
          <w:p w14:paraId="0DF227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1DE3717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2020(2); 2024(3)</w:t>
            </w:r>
          </w:p>
        </w:tc>
        <w:tc>
          <w:tcPr>
            <w:tcW w:w="0" w:type="auto"/>
            <w:tcBorders>
              <w:top w:val="nil"/>
              <w:left w:val="nil"/>
              <w:bottom w:val="single" w:sz="4" w:space="0" w:color="auto"/>
              <w:right w:val="single" w:sz="4" w:space="0" w:color="auto"/>
            </w:tcBorders>
            <w:shd w:val="clear" w:color="000000" w:fill="FFFFFF"/>
            <w:hideMark/>
          </w:tcPr>
          <w:p w14:paraId="39857D2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511F62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0" w:type="auto"/>
            <w:tcBorders>
              <w:top w:val="nil"/>
              <w:left w:val="nil"/>
              <w:bottom w:val="single" w:sz="4" w:space="0" w:color="auto"/>
              <w:right w:val="single" w:sz="4" w:space="0" w:color="auto"/>
            </w:tcBorders>
            <w:shd w:val="clear" w:color="000000" w:fill="FFFFFF"/>
            <w:hideMark/>
          </w:tcPr>
          <w:p w14:paraId="3C2371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1.Novērsta nabadzība; 8.Cienīgs darbs un ekonomiskā izaugsme</w:t>
            </w:r>
          </w:p>
        </w:tc>
      </w:tr>
    </w:tbl>
    <w:p w14:paraId="71B5154B" w14:textId="77777777" w:rsidR="00BF055E" w:rsidRPr="00BF055E" w:rsidRDefault="00BF055E" w:rsidP="006357B3">
      <w:pPr>
        <w:spacing w:before="120" w:line="240" w:lineRule="auto"/>
        <w:rPr>
          <w:rFonts w:eastAsia="Calibri" w:cs="Times New Roman"/>
          <w:kern w:val="2"/>
          <w:szCs w:val="24"/>
          <w14:ligatures w14:val="standardContextual"/>
        </w:rPr>
      </w:pPr>
    </w:p>
    <w:p w14:paraId="4AFECB91" w14:textId="4BED8600" w:rsidR="00BF055E" w:rsidRPr="00BF055E" w:rsidRDefault="00D16FDC" w:rsidP="006357B3">
      <w:pPr>
        <w:spacing w:before="120"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.1.6. Uzņēmējdarbības vide</w:t>
      </w:r>
    </w:p>
    <w:p w14:paraId="2BD4541E"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Galvenais Latvijas FSP politikas virziena “Uzņēmējdarbības vide” pasākumu mērķis ir mazināt administratīvo un regulatīvo slogu, kas pilnībā atbilst Latvijai izteiktajai ES Padomes valstu specifiskajai rekomendācijai. Lai uzlabotu uzņēmējdarbības vidi un mazinātu administratīvo slogu, Latvijas FSP paredz virkni pasākumus, kas ir saistīti ar administratīvā un birokrātiskā sloga identificēšanu Latvijas normatīvajos aktos, administratīvā sloga mazināšanu nekustamo īpašumu attīstīšanas jomā, Uzņēmumu reģistra modernizāciju un Ekonomisko lietu tiesas darbības pilnveidošanu. Tāpat šajā sadaļā iekļautie pasākumi paredz uzlabot un stiprināt tirgus uzraudzību komercbanku sektorā ar mērķi uzlabot konkurenci finanšu tirgos.</w:t>
      </w:r>
    </w:p>
    <w:p w14:paraId="72C81D96" w14:textId="77777777" w:rsidR="0058560C" w:rsidRDefault="0058560C">
      <w:pPr>
        <w:spacing w:after="160" w:line="259" w:lineRule="auto"/>
        <w:ind w:firstLine="0"/>
        <w:jc w:val="left"/>
        <w:rPr>
          <w:rFonts w:eastAsia="Calibri" w:cs="Times New Roman"/>
          <w:b/>
          <w:bCs/>
          <w:kern w:val="2"/>
          <w:szCs w:val="24"/>
          <w14:ligatures w14:val="standardContextual"/>
        </w:rPr>
      </w:pPr>
      <w:r>
        <w:rPr>
          <w:rFonts w:eastAsia="Calibri" w:cs="Times New Roman"/>
          <w:b/>
          <w:bCs/>
          <w:kern w:val="2"/>
          <w:szCs w:val="24"/>
          <w14:ligatures w14:val="standardContextual"/>
        </w:rPr>
        <w:br w:type="page"/>
      </w:r>
    </w:p>
    <w:p w14:paraId="0BABBF98" w14:textId="4B00A509"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lastRenderedPageBreak/>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Uzņēmējdarbības vide</w:t>
      </w:r>
    </w:p>
    <w:tbl>
      <w:tblPr>
        <w:tblW w:w="0" w:type="auto"/>
        <w:tblLayout w:type="fixed"/>
        <w:tblLook w:val="04A0" w:firstRow="1" w:lastRow="0" w:firstColumn="1" w:lastColumn="0" w:noHBand="0" w:noVBand="1"/>
      </w:tblPr>
      <w:tblGrid>
        <w:gridCol w:w="1555"/>
        <w:gridCol w:w="2268"/>
        <w:gridCol w:w="2551"/>
        <w:gridCol w:w="1134"/>
        <w:gridCol w:w="1418"/>
        <w:gridCol w:w="1134"/>
        <w:gridCol w:w="850"/>
        <w:gridCol w:w="709"/>
        <w:gridCol w:w="876"/>
        <w:gridCol w:w="841"/>
        <w:gridCol w:w="1224"/>
      </w:tblGrid>
      <w:tr w:rsidR="00BF055E" w:rsidRPr="00BF055E" w14:paraId="319C883B" w14:textId="77777777" w:rsidTr="003B1594">
        <w:trPr>
          <w:trHeight w:val="20"/>
          <w:tblHeader/>
        </w:trPr>
        <w:tc>
          <w:tcPr>
            <w:tcW w:w="1555"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56E1E2A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w:t>
            </w:r>
          </w:p>
          <w:p w14:paraId="32C07EC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investīcijas) nosaukums</w:t>
            </w:r>
          </w:p>
        </w:tc>
        <w:tc>
          <w:tcPr>
            <w:tcW w:w="2268" w:type="dxa"/>
            <w:tcBorders>
              <w:top w:val="single" w:sz="4" w:space="0" w:color="auto"/>
              <w:left w:val="nil"/>
              <w:bottom w:val="single" w:sz="4" w:space="0" w:color="auto"/>
              <w:right w:val="single" w:sz="4" w:space="0" w:color="auto"/>
            </w:tcBorders>
            <w:shd w:val="clear" w:color="000000" w:fill="95B3D7"/>
            <w:vAlign w:val="center"/>
            <w:hideMark/>
          </w:tcPr>
          <w:p w14:paraId="1DCD546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551" w:type="dxa"/>
            <w:tcBorders>
              <w:top w:val="single" w:sz="4" w:space="0" w:color="auto"/>
              <w:left w:val="nil"/>
              <w:bottom w:val="single" w:sz="4" w:space="0" w:color="auto"/>
              <w:right w:val="single" w:sz="4" w:space="0" w:color="auto"/>
            </w:tcBorders>
            <w:shd w:val="clear" w:color="000000" w:fill="95B3D7"/>
            <w:vAlign w:val="center"/>
            <w:hideMark/>
          </w:tcPr>
          <w:p w14:paraId="692C4D7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63A4715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418" w:type="dxa"/>
            <w:tcBorders>
              <w:top w:val="single" w:sz="4" w:space="0" w:color="auto"/>
              <w:left w:val="nil"/>
              <w:bottom w:val="single" w:sz="4" w:space="0" w:color="auto"/>
              <w:right w:val="single" w:sz="4" w:space="0" w:color="auto"/>
            </w:tcBorders>
            <w:shd w:val="clear" w:color="000000" w:fill="95B3D7"/>
            <w:vAlign w:val="center"/>
            <w:hideMark/>
          </w:tcPr>
          <w:p w14:paraId="369E2A9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6CD5D8D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62EBDFE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0DFAA02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709" w:type="dxa"/>
            <w:tcBorders>
              <w:top w:val="single" w:sz="4" w:space="0" w:color="auto"/>
              <w:left w:val="nil"/>
              <w:bottom w:val="single" w:sz="4" w:space="0" w:color="auto"/>
              <w:right w:val="single" w:sz="4" w:space="0" w:color="auto"/>
            </w:tcBorders>
            <w:shd w:val="clear" w:color="000000" w:fill="95B3D7"/>
            <w:vAlign w:val="center"/>
            <w:hideMark/>
          </w:tcPr>
          <w:p w14:paraId="62DFBBB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876" w:type="dxa"/>
            <w:tcBorders>
              <w:top w:val="single" w:sz="4" w:space="0" w:color="auto"/>
              <w:left w:val="nil"/>
              <w:bottom w:val="single" w:sz="4" w:space="0" w:color="auto"/>
              <w:right w:val="single" w:sz="4" w:space="0" w:color="auto"/>
            </w:tcBorders>
            <w:shd w:val="clear" w:color="000000" w:fill="95B3D7"/>
            <w:vAlign w:val="center"/>
            <w:hideMark/>
          </w:tcPr>
          <w:p w14:paraId="3C30F50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841" w:type="dxa"/>
            <w:tcBorders>
              <w:top w:val="single" w:sz="4" w:space="0" w:color="auto"/>
              <w:left w:val="nil"/>
              <w:bottom w:val="single" w:sz="4" w:space="0" w:color="auto"/>
              <w:right w:val="single" w:sz="4" w:space="0" w:color="auto"/>
            </w:tcBorders>
            <w:shd w:val="clear" w:color="000000" w:fill="95B3D7"/>
            <w:vAlign w:val="center"/>
            <w:hideMark/>
          </w:tcPr>
          <w:p w14:paraId="3D350B6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1224" w:type="dxa"/>
            <w:tcBorders>
              <w:top w:val="single" w:sz="4" w:space="0" w:color="auto"/>
              <w:left w:val="nil"/>
              <w:bottom w:val="single" w:sz="4" w:space="0" w:color="auto"/>
              <w:right w:val="single" w:sz="4" w:space="0" w:color="auto"/>
            </w:tcBorders>
            <w:shd w:val="clear" w:color="000000" w:fill="95B3D7"/>
            <w:vAlign w:val="center"/>
            <w:hideMark/>
          </w:tcPr>
          <w:p w14:paraId="37040E1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23124C32" w14:textId="77777777" w:rsidTr="003B1594">
        <w:trPr>
          <w:trHeight w:val="20"/>
          <w:tblHeader/>
        </w:trPr>
        <w:tc>
          <w:tcPr>
            <w:tcW w:w="14560"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5D23020B"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Uzņēmējdarbības vide</w:t>
            </w:r>
          </w:p>
        </w:tc>
      </w:tr>
      <w:tr w:rsidR="00BF055E" w:rsidRPr="00BF055E" w14:paraId="594C3AC0" w14:textId="77777777" w:rsidTr="003B1594">
        <w:trPr>
          <w:trHeight w:val="20"/>
        </w:trPr>
        <w:tc>
          <w:tcPr>
            <w:tcW w:w="1555" w:type="dxa"/>
            <w:tcBorders>
              <w:top w:val="nil"/>
              <w:left w:val="single" w:sz="4" w:space="0" w:color="auto"/>
              <w:bottom w:val="single" w:sz="4" w:space="0" w:color="auto"/>
              <w:right w:val="single" w:sz="4" w:space="0" w:color="auto"/>
            </w:tcBorders>
            <w:shd w:val="clear" w:color="000000" w:fill="FFFFFF"/>
            <w:hideMark/>
          </w:tcPr>
          <w:p w14:paraId="1001D8B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Normatīvo aktu un birokrātisko šķēršļu identificēšana</w:t>
            </w:r>
          </w:p>
        </w:tc>
        <w:tc>
          <w:tcPr>
            <w:tcW w:w="2268" w:type="dxa"/>
            <w:tcBorders>
              <w:top w:val="nil"/>
              <w:left w:val="nil"/>
              <w:bottom w:val="single" w:sz="4" w:space="0" w:color="auto"/>
              <w:right w:val="single" w:sz="4" w:space="0" w:color="auto"/>
            </w:tcBorders>
            <w:shd w:val="clear" w:color="000000" w:fill="FFFFFF"/>
            <w:hideMark/>
          </w:tcPr>
          <w:p w14:paraId="31E44B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Mazināt administratīvo un regulatīvo slogu</w:t>
            </w:r>
          </w:p>
        </w:tc>
        <w:tc>
          <w:tcPr>
            <w:tcW w:w="2551" w:type="dxa"/>
            <w:tcBorders>
              <w:top w:val="nil"/>
              <w:left w:val="nil"/>
              <w:bottom w:val="single" w:sz="4" w:space="0" w:color="auto"/>
              <w:right w:val="single" w:sz="4" w:space="0" w:color="auto"/>
            </w:tcBorders>
            <w:shd w:val="clear" w:color="000000" w:fill="FFFFFF"/>
            <w:hideMark/>
          </w:tcPr>
          <w:p w14:paraId="1E224E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Darbs pie identificēto birokrātisko šķēršļu risinājumiem (normatīvo aktu izmaiņām) un jaunu birokrātisko šķēršļu identificēšanas</w:t>
            </w:r>
          </w:p>
        </w:tc>
        <w:tc>
          <w:tcPr>
            <w:tcW w:w="1134" w:type="dxa"/>
            <w:tcBorders>
              <w:top w:val="nil"/>
              <w:left w:val="nil"/>
              <w:bottom w:val="single" w:sz="4" w:space="0" w:color="auto"/>
              <w:right w:val="single" w:sz="4" w:space="0" w:color="auto"/>
            </w:tcBorders>
            <w:shd w:val="clear" w:color="000000" w:fill="FFFFFF"/>
            <w:hideMark/>
          </w:tcPr>
          <w:p w14:paraId="2528BDD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2023.-2027.g.</w:t>
            </w:r>
          </w:p>
        </w:tc>
        <w:tc>
          <w:tcPr>
            <w:tcW w:w="1418" w:type="dxa"/>
            <w:tcBorders>
              <w:top w:val="nil"/>
              <w:left w:val="nil"/>
              <w:bottom w:val="single" w:sz="4" w:space="0" w:color="auto"/>
              <w:right w:val="single" w:sz="4" w:space="0" w:color="auto"/>
            </w:tcBorders>
            <w:shd w:val="clear" w:color="000000" w:fill="FFFFFF"/>
            <w:hideMark/>
          </w:tcPr>
          <w:p w14:paraId="2706B0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6A273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614874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339BA0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746852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6137541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22A2C4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238DA47F" w14:textId="77777777" w:rsidTr="003B1594">
        <w:trPr>
          <w:trHeight w:val="20"/>
        </w:trPr>
        <w:tc>
          <w:tcPr>
            <w:tcW w:w="1555" w:type="dxa"/>
            <w:vMerge w:val="restart"/>
            <w:tcBorders>
              <w:top w:val="nil"/>
              <w:left w:val="single" w:sz="4" w:space="0" w:color="auto"/>
              <w:bottom w:val="single" w:sz="4" w:space="0" w:color="auto"/>
              <w:right w:val="single" w:sz="4" w:space="0" w:color="auto"/>
            </w:tcBorders>
            <w:shd w:val="clear" w:color="000000" w:fill="FFFFFF"/>
            <w:hideMark/>
          </w:tcPr>
          <w:p w14:paraId="5C76BA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Administratīvā sloga mazināšana nekustamo īpašumu attīstīšanas jomā  </w:t>
            </w: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51CF70C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Uzlabot sabiedrības informētību par teritorijas plānoto attīstību, nodrošināt jēgpilnu sabiedrības iesaisti un procesu</w:t>
            </w:r>
          </w:p>
        </w:tc>
        <w:tc>
          <w:tcPr>
            <w:tcW w:w="2551" w:type="dxa"/>
            <w:tcBorders>
              <w:top w:val="nil"/>
              <w:left w:val="nil"/>
              <w:bottom w:val="single" w:sz="4" w:space="0" w:color="auto"/>
              <w:right w:val="single" w:sz="4" w:space="0" w:color="auto"/>
            </w:tcBorders>
            <w:shd w:val="clear" w:color="000000" w:fill="FFFFFF"/>
            <w:hideMark/>
          </w:tcPr>
          <w:p w14:paraId="1E269E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Noteikt sabiedriskās apspriešanas mērķus un tvērumu katrā no posmiem: Grozīt Būvniecības likumu, tai skaitā nosakot gadījumus, kad sabiedrisko apspriešanu var nerīkot.</w:t>
            </w:r>
          </w:p>
        </w:tc>
        <w:tc>
          <w:tcPr>
            <w:tcW w:w="1134" w:type="dxa"/>
            <w:tcBorders>
              <w:top w:val="nil"/>
              <w:left w:val="nil"/>
              <w:bottom w:val="single" w:sz="4" w:space="0" w:color="auto"/>
              <w:right w:val="single" w:sz="4" w:space="0" w:color="auto"/>
            </w:tcBorders>
            <w:shd w:val="clear" w:color="000000" w:fill="FFFFFF"/>
            <w:hideMark/>
          </w:tcPr>
          <w:p w14:paraId="4AAD62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Iesniegšana izskatīšanai MK - 30.11.2024. </w:t>
            </w:r>
          </w:p>
        </w:tc>
        <w:tc>
          <w:tcPr>
            <w:tcW w:w="1418" w:type="dxa"/>
            <w:tcBorders>
              <w:top w:val="nil"/>
              <w:left w:val="nil"/>
              <w:bottom w:val="single" w:sz="4" w:space="0" w:color="auto"/>
              <w:right w:val="single" w:sz="4" w:space="0" w:color="auto"/>
            </w:tcBorders>
            <w:shd w:val="clear" w:color="000000" w:fill="FFFFFF"/>
            <w:hideMark/>
          </w:tcPr>
          <w:p w14:paraId="78AEF4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AD50D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0A65A1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77F559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1A68113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5692B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EBC296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737B5786"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0BEC5F93"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061B502A"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60DF12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Pilnveidot būvniecības informācijas sistēmas (turpmāk – BIS) funkcionalitāti, ļaujot ikvienam pieteikties saņemt informāciju elektroniski par interesējošajā teritorijā ierosināto būvniecību un būvniecības saistībā pieņemtajiem lēmumiem (būvatļaujas izdošana, atzīmes izdarīšana par projektēšanas nosacījumu izpildi).</w:t>
            </w:r>
          </w:p>
        </w:tc>
        <w:tc>
          <w:tcPr>
            <w:tcW w:w="1134" w:type="dxa"/>
            <w:tcBorders>
              <w:top w:val="nil"/>
              <w:left w:val="nil"/>
              <w:bottom w:val="single" w:sz="4" w:space="0" w:color="auto"/>
              <w:right w:val="single" w:sz="4" w:space="0" w:color="auto"/>
            </w:tcBorders>
            <w:shd w:val="clear" w:color="000000" w:fill="FFFFFF"/>
            <w:hideMark/>
          </w:tcPr>
          <w:p w14:paraId="68E32CD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31.12.2025.</w:t>
            </w:r>
          </w:p>
        </w:tc>
        <w:tc>
          <w:tcPr>
            <w:tcW w:w="1418" w:type="dxa"/>
            <w:tcBorders>
              <w:top w:val="nil"/>
              <w:left w:val="nil"/>
              <w:bottom w:val="single" w:sz="4" w:space="0" w:color="auto"/>
              <w:right w:val="single" w:sz="4" w:space="0" w:color="auto"/>
            </w:tcBorders>
            <w:shd w:val="clear" w:color="000000" w:fill="FFFFFF"/>
            <w:hideMark/>
          </w:tcPr>
          <w:p w14:paraId="6E3CAA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2864A0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EM/BVKB</w:t>
            </w:r>
          </w:p>
        </w:tc>
        <w:tc>
          <w:tcPr>
            <w:tcW w:w="850" w:type="dxa"/>
            <w:tcBorders>
              <w:top w:val="nil"/>
              <w:left w:val="nil"/>
              <w:bottom w:val="single" w:sz="4" w:space="0" w:color="auto"/>
              <w:right w:val="single" w:sz="4" w:space="0" w:color="auto"/>
            </w:tcBorders>
            <w:shd w:val="clear" w:color="000000" w:fill="FFFFFF"/>
            <w:hideMark/>
          </w:tcPr>
          <w:p w14:paraId="376B3F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2871E8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34FBEAF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3F72DD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34B3DE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6CB5CC33"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5DD9A970"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02460DF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5492CC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Precizēt </w:t>
            </w:r>
            <w:proofErr w:type="spellStart"/>
            <w:r w:rsidRPr="00BF055E">
              <w:rPr>
                <w:rFonts w:eastAsia="Times New Roman" w:cs="Times New Roman"/>
                <w:sz w:val="18"/>
                <w:szCs w:val="18"/>
                <w:lang w:eastAsia="lv-LV"/>
              </w:rPr>
              <w:t>būvtāfeles</w:t>
            </w:r>
            <w:proofErr w:type="spellEnd"/>
            <w:r w:rsidRPr="00BF055E">
              <w:rPr>
                <w:rFonts w:eastAsia="Times New Roman" w:cs="Times New Roman"/>
                <w:sz w:val="18"/>
                <w:szCs w:val="18"/>
                <w:lang w:eastAsia="lv-LV"/>
              </w:rPr>
              <w:t xml:space="preserve"> lomu būvniecības ieceres īstenošanas procesā, nosakot ka tā nodrošina tikai papildus sabiedrības informēšanas funkciju, tās neesamība konkrētajā dienā nav uzskatāma par nepietiekamu sabiedrības informēšanu un nevar būt iemesls apstrīdēšanas termiņa pagarināšanai. Pārskatīt </w:t>
            </w:r>
            <w:proofErr w:type="spellStart"/>
            <w:r w:rsidRPr="00BF055E">
              <w:rPr>
                <w:rFonts w:eastAsia="Times New Roman" w:cs="Times New Roman"/>
                <w:sz w:val="18"/>
                <w:szCs w:val="18"/>
                <w:lang w:eastAsia="lv-LV"/>
              </w:rPr>
              <w:lastRenderedPageBreak/>
              <w:t>būvtāfelē</w:t>
            </w:r>
            <w:proofErr w:type="spellEnd"/>
            <w:r w:rsidRPr="00BF055E">
              <w:rPr>
                <w:rFonts w:eastAsia="Times New Roman" w:cs="Times New Roman"/>
                <w:sz w:val="18"/>
                <w:szCs w:val="18"/>
                <w:lang w:eastAsia="lv-LV"/>
              </w:rPr>
              <w:t xml:space="preserve"> norādāmās informācijas apjomu. Regulējumam jāstājas spēkā vienlaicīgi ar 3.1.1.3.pasākumā paredzēto BIS funkcionalitāti. </w:t>
            </w:r>
          </w:p>
        </w:tc>
        <w:tc>
          <w:tcPr>
            <w:tcW w:w="1134" w:type="dxa"/>
            <w:tcBorders>
              <w:top w:val="nil"/>
              <w:left w:val="nil"/>
              <w:bottom w:val="single" w:sz="4" w:space="0" w:color="auto"/>
              <w:right w:val="single" w:sz="4" w:space="0" w:color="auto"/>
            </w:tcBorders>
            <w:shd w:val="clear" w:color="000000" w:fill="FFFFFF"/>
            <w:hideMark/>
          </w:tcPr>
          <w:p w14:paraId="1EBFB3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3B54E1A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26296F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EM/BVKB</w:t>
            </w:r>
          </w:p>
        </w:tc>
        <w:tc>
          <w:tcPr>
            <w:tcW w:w="850" w:type="dxa"/>
            <w:tcBorders>
              <w:top w:val="nil"/>
              <w:left w:val="nil"/>
              <w:bottom w:val="single" w:sz="4" w:space="0" w:color="auto"/>
              <w:right w:val="single" w:sz="4" w:space="0" w:color="auto"/>
            </w:tcBorders>
            <w:shd w:val="clear" w:color="000000" w:fill="FFFFFF"/>
            <w:hideMark/>
          </w:tcPr>
          <w:p w14:paraId="5B4587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15672F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32A7D2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6B35D73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0B8E49E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0CD155A5"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1567C3F4"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48D532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Uzlabot kompetento institūciju viedokļu un noteikumu saņemšanu nekustamā īpašuma attīstīšanas procesos</w:t>
            </w:r>
          </w:p>
        </w:tc>
        <w:tc>
          <w:tcPr>
            <w:tcW w:w="2551" w:type="dxa"/>
            <w:tcBorders>
              <w:top w:val="nil"/>
              <w:left w:val="nil"/>
              <w:bottom w:val="single" w:sz="4" w:space="0" w:color="auto"/>
              <w:right w:val="single" w:sz="4" w:space="0" w:color="auto"/>
            </w:tcBorders>
            <w:shd w:val="clear" w:color="000000" w:fill="FFFFFF"/>
            <w:hideMark/>
          </w:tcPr>
          <w:p w14:paraId="35F377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Grozīt MK 2014. gada 14. oktobra noteikumus Nr. 628 “Noteikumi par pašvaldību teritorijas attīstības plānošanas dokumentiem”, nosakot:</w:t>
            </w:r>
            <w:r w:rsidRPr="00BF055E">
              <w:rPr>
                <w:rFonts w:eastAsia="Times New Roman" w:cs="Times New Roman"/>
                <w:sz w:val="18"/>
                <w:szCs w:val="18"/>
                <w:lang w:eastAsia="lv-LV"/>
              </w:rPr>
              <w:br/>
              <w:t xml:space="preserve">a) nosacījumu mērķus un obligāti sniedzamās informācijas apjomu. Ņemot vērā pieteikumā </w:t>
            </w:r>
            <w:proofErr w:type="spellStart"/>
            <w:r w:rsidRPr="00BF055E">
              <w:rPr>
                <w:rFonts w:eastAsia="Times New Roman" w:cs="Times New Roman"/>
                <w:sz w:val="18"/>
                <w:szCs w:val="18"/>
                <w:lang w:eastAsia="lv-LV"/>
              </w:rPr>
              <w:t>lokālplānojumā</w:t>
            </w:r>
            <w:proofErr w:type="spellEnd"/>
            <w:r w:rsidRPr="00BF055E">
              <w:rPr>
                <w:rFonts w:eastAsia="Times New Roman" w:cs="Times New Roman"/>
                <w:sz w:val="18"/>
                <w:szCs w:val="18"/>
                <w:lang w:eastAsia="lv-LV"/>
              </w:rPr>
              <w:t xml:space="preserve"> izstrādei norādīto informāciju, </w:t>
            </w:r>
            <w:proofErr w:type="spellStart"/>
            <w:r w:rsidRPr="00BF055E">
              <w:rPr>
                <w:rFonts w:eastAsia="Times New Roman" w:cs="Times New Roman"/>
                <w:sz w:val="18"/>
                <w:szCs w:val="18"/>
                <w:lang w:eastAsia="lv-LV"/>
              </w:rPr>
              <w:t>inženiersistēmu</w:t>
            </w:r>
            <w:proofErr w:type="spellEnd"/>
            <w:r w:rsidRPr="00BF055E">
              <w:rPr>
                <w:rFonts w:eastAsia="Times New Roman" w:cs="Times New Roman"/>
                <w:sz w:val="18"/>
                <w:szCs w:val="18"/>
                <w:lang w:eastAsia="lv-LV"/>
              </w:rPr>
              <w:t xml:space="preserve"> turētājiem ir jāidentificē ieguldījumi infrastruktūrā, kas ir priekšnosacījums </w:t>
            </w:r>
            <w:proofErr w:type="spellStart"/>
            <w:r w:rsidRPr="00BF055E">
              <w:rPr>
                <w:rFonts w:eastAsia="Times New Roman" w:cs="Times New Roman"/>
                <w:sz w:val="18"/>
                <w:szCs w:val="18"/>
                <w:lang w:eastAsia="lv-LV"/>
              </w:rPr>
              <w:t>lokālplānojuma</w:t>
            </w:r>
            <w:proofErr w:type="spellEnd"/>
            <w:r w:rsidRPr="00BF055E">
              <w:rPr>
                <w:rFonts w:eastAsia="Times New Roman" w:cs="Times New Roman"/>
                <w:sz w:val="18"/>
                <w:szCs w:val="18"/>
                <w:lang w:eastAsia="lv-LV"/>
              </w:rPr>
              <w:t xml:space="preserve"> vai detālplānojuma īstenošanai;</w:t>
            </w:r>
            <w:r w:rsidRPr="00BF055E">
              <w:rPr>
                <w:rFonts w:eastAsia="Times New Roman" w:cs="Times New Roman"/>
                <w:sz w:val="18"/>
                <w:szCs w:val="18"/>
                <w:lang w:eastAsia="lv-LV"/>
              </w:rPr>
              <w:br/>
              <w:t xml:space="preserve">b) pieprasot saņemt nosacījumus no konkrētās institūcijas, jānorāda pamatojums, lai samazinātu iespēju, ka tiek izvirzīti nepamatoti nosacījumi. Brīvprātīgi piesakoties atzinuma sniegšanai, arī jānorāda pamatojums. </w:t>
            </w:r>
            <w:r w:rsidRPr="00BF055E">
              <w:rPr>
                <w:rFonts w:eastAsia="Times New Roman" w:cs="Times New Roman"/>
                <w:sz w:val="18"/>
                <w:szCs w:val="18"/>
                <w:lang w:eastAsia="lv-LV"/>
              </w:rPr>
              <w:br/>
              <w:t xml:space="preserve">c) pieteikumā </w:t>
            </w:r>
            <w:proofErr w:type="spellStart"/>
            <w:r w:rsidRPr="00BF055E">
              <w:rPr>
                <w:rFonts w:eastAsia="Times New Roman" w:cs="Times New Roman"/>
                <w:sz w:val="18"/>
                <w:szCs w:val="18"/>
                <w:lang w:eastAsia="lv-LV"/>
              </w:rPr>
              <w:t>lokālplānojuma</w:t>
            </w:r>
            <w:proofErr w:type="spellEnd"/>
            <w:r w:rsidRPr="00BF055E">
              <w:rPr>
                <w:rFonts w:eastAsia="Times New Roman" w:cs="Times New Roman"/>
                <w:sz w:val="18"/>
                <w:szCs w:val="18"/>
                <w:lang w:eastAsia="lv-LV"/>
              </w:rPr>
              <w:t xml:space="preserve"> izstrādei skaidri un detalizēti apraksta plānoto būvniecību un plānoto darbību. </w:t>
            </w:r>
          </w:p>
        </w:tc>
        <w:tc>
          <w:tcPr>
            <w:tcW w:w="1134" w:type="dxa"/>
            <w:tcBorders>
              <w:top w:val="nil"/>
              <w:left w:val="nil"/>
              <w:bottom w:val="single" w:sz="4" w:space="0" w:color="auto"/>
              <w:right w:val="single" w:sz="4" w:space="0" w:color="auto"/>
            </w:tcBorders>
            <w:shd w:val="clear" w:color="000000" w:fill="FFFFFF"/>
            <w:hideMark/>
          </w:tcPr>
          <w:p w14:paraId="584563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7910B1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107BA1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 /EM</w:t>
            </w:r>
          </w:p>
        </w:tc>
        <w:tc>
          <w:tcPr>
            <w:tcW w:w="850" w:type="dxa"/>
            <w:tcBorders>
              <w:top w:val="nil"/>
              <w:left w:val="nil"/>
              <w:bottom w:val="single" w:sz="4" w:space="0" w:color="auto"/>
              <w:right w:val="single" w:sz="4" w:space="0" w:color="auto"/>
            </w:tcBorders>
            <w:shd w:val="clear" w:color="000000" w:fill="FFFFFF"/>
            <w:hideMark/>
          </w:tcPr>
          <w:p w14:paraId="71FC97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23B1D9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30EC1F3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6D76AB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7CB026E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144E3F58"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55CF59CE"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0EB51CE4"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5521FD4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normatīvo regulējumu būvniecības jomā, nosakot, ka atsevišķi tehniskie noteikumi vides aizsardzības jomā nav </w:t>
            </w:r>
            <w:r w:rsidRPr="00BF055E">
              <w:rPr>
                <w:rFonts w:eastAsia="Times New Roman" w:cs="Times New Roman"/>
                <w:sz w:val="18"/>
                <w:szCs w:val="18"/>
                <w:lang w:eastAsia="lv-LV"/>
              </w:rPr>
              <w:lastRenderedPageBreak/>
              <w:t xml:space="preserve">nepieciešami, ja ir veikts IVN. Valsts vides dienests saskaņo būvprojektu, pārliecinoties, ka ir ievēroti IVN rezultāti un secinājumi. </w:t>
            </w:r>
          </w:p>
        </w:tc>
        <w:tc>
          <w:tcPr>
            <w:tcW w:w="1134" w:type="dxa"/>
            <w:tcBorders>
              <w:top w:val="nil"/>
              <w:left w:val="nil"/>
              <w:bottom w:val="single" w:sz="4" w:space="0" w:color="auto"/>
              <w:right w:val="single" w:sz="4" w:space="0" w:color="auto"/>
            </w:tcBorders>
            <w:shd w:val="clear" w:color="000000" w:fill="FFFFFF"/>
            <w:hideMark/>
          </w:tcPr>
          <w:p w14:paraId="13FDFA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118041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004FDBD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12B1B8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46F34D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7EF0DD5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7968BE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25D67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62216DE8"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18E0BE94"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00FC02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Pilnveidot Tehnisko noteikumu saņemšana būvniecības ieceres īstenošanā</w:t>
            </w:r>
          </w:p>
        </w:tc>
        <w:tc>
          <w:tcPr>
            <w:tcW w:w="2551" w:type="dxa"/>
            <w:tcBorders>
              <w:top w:val="nil"/>
              <w:left w:val="nil"/>
              <w:bottom w:val="single" w:sz="4" w:space="0" w:color="auto"/>
              <w:right w:val="single" w:sz="4" w:space="0" w:color="auto"/>
            </w:tcBorders>
            <w:shd w:val="clear" w:color="000000" w:fill="FFFFFF"/>
            <w:hideMark/>
          </w:tcPr>
          <w:p w14:paraId="5EFF17D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Grozīt Būvniecības likumu un uz tā pamata izdotus noteikumus, noteikt:</w:t>
            </w:r>
            <w:r w:rsidRPr="00BF055E">
              <w:rPr>
                <w:rFonts w:eastAsia="Times New Roman" w:cs="Times New Roman"/>
                <w:sz w:val="18"/>
                <w:szCs w:val="18"/>
                <w:lang w:eastAsia="lv-LV"/>
              </w:rPr>
              <w:br/>
              <w:t>a) institūcijas, no kurām saņem tehniskos vai speciālos noteikumus, nosaka būvprojekta izstrādātājs. Pašvaldība ir tiesīga pievienot institūcijas, to pamatojot;</w:t>
            </w:r>
            <w:r w:rsidRPr="00BF055E">
              <w:rPr>
                <w:rFonts w:eastAsia="Times New Roman" w:cs="Times New Roman"/>
                <w:sz w:val="18"/>
                <w:szCs w:val="18"/>
                <w:lang w:eastAsia="lv-LV"/>
              </w:rPr>
              <w:br/>
              <w:t>b) tehnisko noteikumu izdošanas mērķi un saturu;</w:t>
            </w:r>
            <w:r w:rsidRPr="00BF055E">
              <w:rPr>
                <w:rFonts w:eastAsia="Times New Roman" w:cs="Times New Roman"/>
                <w:sz w:val="18"/>
                <w:szCs w:val="18"/>
                <w:lang w:eastAsia="lv-LV"/>
              </w:rPr>
              <w:br/>
              <w:t>c) gadījumus, kad tehnisko noteikumu saņemšana nav nepieciešama;</w:t>
            </w:r>
            <w:r w:rsidRPr="00BF055E">
              <w:rPr>
                <w:rFonts w:eastAsia="Times New Roman" w:cs="Times New Roman"/>
                <w:sz w:val="18"/>
                <w:szCs w:val="18"/>
                <w:lang w:eastAsia="lv-LV"/>
              </w:rPr>
              <w:br/>
              <w:t>d) tehnisko noteikumu termiņu.</w:t>
            </w:r>
          </w:p>
        </w:tc>
        <w:tc>
          <w:tcPr>
            <w:tcW w:w="1134" w:type="dxa"/>
            <w:tcBorders>
              <w:top w:val="nil"/>
              <w:left w:val="nil"/>
              <w:bottom w:val="single" w:sz="4" w:space="0" w:color="auto"/>
              <w:right w:val="single" w:sz="4" w:space="0" w:color="auto"/>
            </w:tcBorders>
            <w:shd w:val="clear" w:color="000000" w:fill="FFFFFF"/>
            <w:hideMark/>
          </w:tcPr>
          <w:p w14:paraId="7B4346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5EF5E5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1A71BF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18D262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5A120E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01CC89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1EB0E0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02A07E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23006F42"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378237B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19A087E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3E8A7E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Izvērtēt iespēju ieviest </w:t>
            </w:r>
            <w:proofErr w:type="spellStart"/>
            <w:r w:rsidRPr="00BF055E">
              <w:rPr>
                <w:rFonts w:eastAsia="Times New Roman" w:cs="Times New Roman"/>
                <w:sz w:val="18"/>
                <w:szCs w:val="18"/>
                <w:lang w:eastAsia="lv-LV"/>
              </w:rPr>
              <w:t>ārpustiesas</w:t>
            </w:r>
            <w:proofErr w:type="spellEnd"/>
            <w:r w:rsidRPr="00BF055E">
              <w:rPr>
                <w:rFonts w:eastAsia="Times New Roman" w:cs="Times New Roman"/>
                <w:sz w:val="18"/>
                <w:szCs w:val="18"/>
                <w:lang w:eastAsia="lv-LV"/>
              </w:rPr>
              <w:t xml:space="preserve"> strīdu izskatīšanas mehānismu, ka tehniskie noteikumi neatbilst normatīvo aktu prasībām.</w:t>
            </w:r>
          </w:p>
        </w:tc>
        <w:tc>
          <w:tcPr>
            <w:tcW w:w="1134" w:type="dxa"/>
            <w:tcBorders>
              <w:top w:val="nil"/>
              <w:left w:val="nil"/>
              <w:bottom w:val="single" w:sz="4" w:space="0" w:color="auto"/>
              <w:right w:val="single" w:sz="4" w:space="0" w:color="auto"/>
            </w:tcBorders>
            <w:shd w:val="clear" w:color="000000" w:fill="FFFFFF"/>
            <w:hideMark/>
          </w:tcPr>
          <w:p w14:paraId="622905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5ABBB13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D8A1E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66B6D7C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F811AC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66EC24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0C489E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58F751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56069FE2"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62B8F31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6C51C6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Vienota procesa ieviešana, sākot no būvniecības uzsākšanas līdz būves ierakstīšanai zemesgrāmatā</w:t>
            </w:r>
          </w:p>
        </w:tc>
        <w:tc>
          <w:tcPr>
            <w:tcW w:w="2551" w:type="dxa"/>
            <w:tcBorders>
              <w:top w:val="nil"/>
              <w:left w:val="nil"/>
              <w:bottom w:val="single" w:sz="4" w:space="0" w:color="auto"/>
              <w:right w:val="single" w:sz="4" w:space="0" w:color="auto"/>
            </w:tcBorders>
            <w:shd w:val="clear" w:color="000000" w:fill="FFFFFF"/>
            <w:hideMark/>
          </w:tcPr>
          <w:p w14:paraId="1849D76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MK līmenī tiks apstiprināts konceptuālo modeli būvju reģistrācijai Nekustamā īpašuma valsts kadastra informācijas sistēmā un zemesgrāmatā, balstoties uz būvniecības procesā iegūtiem un BIS sistēmā strukturēto datu veidā reģistrētiem datiem par būvi, atsakoties no atkārtotas (dublējošas) datu iegūšanas apvidū būves kadastrālās uzmērīšanas procesā. Definēt </w:t>
            </w:r>
            <w:r w:rsidRPr="00BF055E">
              <w:rPr>
                <w:rFonts w:eastAsia="Times New Roman" w:cs="Times New Roman"/>
                <w:sz w:val="18"/>
                <w:szCs w:val="18"/>
                <w:lang w:eastAsia="lv-LV"/>
              </w:rPr>
              <w:lastRenderedPageBreak/>
              <w:t>prasības datu precizitātei, obligāti iegūstamiem datiem, būvniecības administratīvā tiesiskuma pārbaudes aspektiem, lai nodrošinātu kvalitatīvu un tiesisku būves reģistrācijas procesu.</w:t>
            </w:r>
          </w:p>
        </w:tc>
        <w:tc>
          <w:tcPr>
            <w:tcW w:w="1134" w:type="dxa"/>
            <w:tcBorders>
              <w:top w:val="nil"/>
              <w:left w:val="nil"/>
              <w:bottom w:val="single" w:sz="4" w:space="0" w:color="auto"/>
              <w:right w:val="single" w:sz="4" w:space="0" w:color="auto"/>
            </w:tcBorders>
            <w:shd w:val="clear" w:color="000000" w:fill="FFFFFF"/>
            <w:hideMark/>
          </w:tcPr>
          <w:p w14:paraId="63D877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Vienotais process jāievieš ne vēlāk kā ar 2026.gada 1.janvāri.</w:t>
            </w:r>
          </w:p>
        </w:tc>
        <w:tc>
          <w:tcPr>
            <w:tcW w:w="1418" w:type="dxa"/>
            <w:tcBorders>
              <w:top w:val="nil"/>
              <w:left w:val="nil"/>
              <w:bottom w:val="single" w:sz="4" w:space="0" w:color="auto"/>
              <w:right w:val="single" w:sz="4" w:space="0" w:color="auto"/>
            </w:tcBorders>
            <w:shd w:val="clear" w:color="auto" w:fill="auto"/>
            <w:hideMark/>
          </w:tcPr>
          <w:p w14:paraId="026122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2 800 000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(datu apmaiņas ar BIS un VVDZ, izmaiņas informācijas sistēmās 1 655 000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izmaiņas VZD portālā Kadastrs.lv 923 750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VVDZ </w:t>
            </w:r>
            <w:r w:rsidRPr="00BF055E">
              <w:rPr>
                <w:rFonts w:eastAsia="Times New Roman" w:cs="Times New Roman"/>
                <w:sz w:val="18"/>
                <w:szCs w:val="18"/>
                <w:lang w:eastAsia="lv-LV"/>
              </w:rPr>
              <w:lastRenderedPageBreak/>
              <w:t xml:space="preserve">pielāgojumi 221 250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134" w:type="dxa"/>
            <w:tcBorders>
              <w:top w:val="nil"/>
              <w:left w:val="nil"/>
              <w:bottom w:val="single" w:sz="4" w:space="0" w:color="auto"/>
              <w:right w:val="single" w:sz="4" w:space="0" w:color="auto"/>
            </w:tcBorders>
            <w:shd w:val="clear" w:color="000000" w:fill="FFFFFF"/>
            <w:hideMark/>
          </w:tcPr>
          <w:p w14:paraId="638240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EM</w:t>
            </w:r>
          </w:p>
        </w:tc>
        <w:tc>
          <w:tcPr>
            <w:tcW w:w="850" w:type="dxa"/>
            <w:tcBorders>
              <w:top w:val="nil"/>
              <w:left w:val="nil"/>
              <w:bottom w:val="single" w:sz="4" w:space="0" w:color="auto"/>
              <w:right w:val="single" w:sz="4" w:space="0" w:color="auto"/>
            </w:tcBorders>
            <w:shd w:val="clear" w:color="000000" w:fill="FFFFFF"/>
            <w:hideMark/>
          </w:tcPr>
          <w:p w14:paraId="16F67F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97FFA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0DA9CA6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45C7866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127CBA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6422B1C5"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573084FB"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7B6A6FE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Jauna Teritorijas plānojuma noteikumu piemērošana uz iepriekš uzsāktajiem nekustamā īpašuma attīstīšanas procesiem</w:t>
            </w:r>
          </w:p>
        </w:tc>
        <w:tc>
          <w:tcPr>
            <w:tcW w:w="2551" w:type="dxa"/>
            <w:tcBorders>
              <w:top w:val="nil"/>
              <w:left w:val="nil"/>
              <w:bottom w:val="single" w:sz="4" w:space="0" w:color="auto"/>
              <w:right w:val="single" w:sz="4" w:space="0" w:color="auto"/>
            </w:tcBorders>
            <w:shd w:val="clear" w:color="000000" w:fill="FFFFFF"/>
            <w:hideMark/>
          </w:tcPr>
          <w:p w14:paraId="3D536E7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Papildināt Teritorijas attīstības plānošanas likumu un Būvniecības likumu ar regulējumu par nosacījumiem uzsākto procesu pabeigšanai teritorijas plānojuma regulējuma maiņas gadījumā.</w:t>
            </w:r>
          </w:p>
        </w:tc>
        <w:tc>
          <w:tcPr>
            <w:tcW w:w="1134" w:type="dxa"/>
            <w:tcBorders>
              <w:top w:val="nil"/>
              <w:left w:val="nil"/>
              <w:bottom w:val="single" w:sz="4" w:space="0" w:color="auto"/>
              <w:right w:val="single" w:sz="4" w:space="0" w:color="auto"/>
            </w:tcBorders>
            <w:shd w:val="clear" w:color="000000" w:fill="FFFFFF"/>
            <w:hideMark/>
          </w:tcPr>
          <w:p w14:paraId="44C0E58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37333FC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42231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 /EM</w:t>
            </w:r>
          </w:p>
        </w:tc>
        <w:tc>
          <w:tcPr>
            <w:tcW w:w="850" w:type="dxa"/>
            <w:tcBorders>
              <w:top w:val="nil"/>
              <w:left w:val="nil"/>
              <w:bottom w:val="single" w:sz="4" w:space="0" w:color="auto"/>
              <w:right w:val="single" w:sz="4" w:space="0" w:color="auto"/>
            </w:tcBorders>
            <w:shd w:val="clear" w:color="000000" w:fill="FFFFFF"/>
            <w:hideMark/>
          </w:tcPr>
          <w:p w14:paraId="6ED0BEA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592FFD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2112F9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70091C1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288728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34FDED48"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220AC68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1270165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Atteikšanās no gaisvada līnijām pilsētvides uzlabošanai</w:t>
            </w:r>
          </w:p>
        </w:tc>
        <w:tc>
          <w:tcPr>
            <w:tcW w:w="2551" w:type="dxa"/>
            <w:tcBorders>
              <w:top w:val="nil"/>
              <w:left w:val="nil"/>
              <w:bottom w:val="single" w:sz="4" w:space="0" w:color="auto"/>
              <w:right w:val="single" w:sz="4" w:space="0" w:color="auto"/>
            </w:tcBorders>
            <w:shd w:val="clear" w:color="000000" w:fill="FFFFFF"/>
            <w:hideMark/>
          </w:tcPr>
          <w:p w14:paraId="71150E5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MK 2014.gada  30.septembra noteikumus Nr. 574 “Noteikumi par Latvijas būvnormatīvu LBN 008-14 "Inženiertīklu izvietojums", noteikt pienākumu jaunas ielas būvniecības vai ielas pārbūves gadījumā izbūvēt komunikāciju tuneļus; </w:t>
            </w:r>
          </w:p>
        </w:tc>
        <w:tc>
          <w:tcPr>
            <w:tcW w:w="1134" w:type="dxa"/>
            <w:tcBorders>
              <w:top w:val="nil"/>
              <w:left w:val="nil"/>
              <w:bottom w:val="single" w:sz="4" w:space="0" w:color="auto"/>
              <w:right w:val="single" w:sz="4" w:space="0" w:color="auto"/>
            </w:tcBorders>
            <w:shd w:val="clear" w:color="000000" w:fill="FFFFFF"/>
            <w:hideMark/>
          </w:tcPr>
          <w:p w14:paraId="4FD530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40AE83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01F607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EM/SM </w:t>
            </w:r>
          </w:p>
        </w:tc>
        <w:tc>
          <w:tcPr>
            <w:tcW w:w="850" w:type="dxa"/>
            <w:tcBorders>
              <w:top w:val="nil"/>
              <w:left w:val="nil"/>
              <w:bottom w:val="single" w:sz="4" w:space="0" w:color="auto"/>
              <w:right w:val="single" w:sz="4" w:space="0" w:color="auto"/>
            </w:tcBorders>
            <w:shd w:val="clear" w:color="000000" w:fill="FFFFFF"/>
            <w:hideMark/>
          </w:tcPr>
          <w:p w14:paraId="568ABE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23AF784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1DA727A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30A8C0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54F0CD3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2DE4431A"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0C84BA60"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5AEEB8D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1335B9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Grozīt Elektronisko sakaru likumu, noteikt vienkāršotas prasības gaisvada līniju novietošanai pazemē, t.sk. risināt jautājumu par nepieciešamību būvniecību saskaņot ar zemes vienību, kuru šķērsos komunikācijas, īpašniekiem;</w:t>
            </w:r>
          </w:p>
        </w:tc>
        <w:tc>
          <w:tcPr>
            <w:tcW w:w="1134" w:type="dxa"/>
            <w:tcBorders>
              <w:top w:val="nil"/>
              <w:left w:val="nil"/>
              <w:bottom w:val="single" w:sz="4" w:space="0" w:color="auto"/>
              <w:right w:val="single" w:sz="4" w:space="0" w:color="auto"/>
            </w:tcBorders>
            <w:shd w:val="clear" w:color="000000" w:fill="FFFFFF"/>
            <w:hideMark/>
          </w:tcPr>
          <w:p w14:paraId="0F2A2D7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601FC1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3D610B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SM / EM</w:t>
            </w:r>
          </w:p>
        </w:tc>
        <w:tc>
          <w:tcPr>
            <w:tcW w:w="850" w:type="dxa"/>
            <w:tcBorders>
              <w:top w:val="nil"/>
              <w:left w:val="nil"/>
              <w:bottom w:val="single" w:sz="4" w:space="0" w:color="auto"/>
              <w:right w:val="single" w:sz="4" w:space="0" w:color="auto"/>
            </w:tcBorders>
            <w:shd w:val="clear" w:color="000000" w:fill="FFFFFF"/>
            <w:hideMark/>
          </w:tcPr>
          <w:p w14:paraId="4EFD67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6A81BB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0DF05DE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594E108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22DDB13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0E6DC34E"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28EF182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777E9CF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4F5848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Normatīvajos aktos teritorijas plānošanas jomā paredzēt vienotu regulējumu gaisvadu līniju pārvietošanai pazemē, samērojot gaisvadu īpašnieku </w:t>
            </w:r>
            <w:r w:rsidRPr="00BF055E">
              <w:rPr>
                <w:rFonts w:eastAsia="Times New Roman" w:cs="Times New Roman"/>
                <w:sz w:val="18"/>
                <w:szCs w:val="18"/>
                <w:lang w:eastAsia="lv-LV"/>
              </w:rPr>
              <w:lastRenderedPageBreak/>
              <w:t xml:space="preserve">un ēku īpašnieku intereses un nekavējot ēku sakārtošanu. </w:t>
            </w:r>
          </w:p>
        </w:tc>
        <w:tc>
          <w:tcPr>
            <w:tcW w:w="1134" w:type="dxa"/>
            <w:tcBorders>
              <w:top w:val="nil"/>
              <w:left w:val="nil"/>
              <w:bottom w:val="single" w:sz="4" w:space="0" w:color="auto"/>
              <w:right w:val="single" w:sz="4" w:space="0" w:color="auto"/>
            </w:tcBorders>
            <w:shd w:val="clear" w:color="000000" w:fill="FFFFFF"/>
            <w:hideMark/>
          </w:tcPr>
          <w:p w14:paraId="08E088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28D7A7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74388F0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w:t>
            </w:r>
            <w:r w:rsidRPr="00BF055E">
              <w:rPr>
                <w:rFonts w:eastAsia="Times New Roman" w:cs="Times New Roman"/>
                <w:sz w:val="18"/>
                <w:szCs w:val="18"/>
                <w:lang w:eastAsia="lv-LV"/>
              </w:rPr>
              <w:br/>
              <w:t>SM</w:t>
            </w:r>
          </w:p>
        </w:tc>
        <w:tc>
          <w:tcPr>
            <w:tcW w:w="850" w:type="dxa"/>
            <w:tcBorders>
              <w:top w:val="nil"/>
              <w:left w:val="nil"/>
              <w:bottom w:val="single" w:sz="4" w:space="0" w:color="auto"/>
              <w:right w:val="single" w:sz="4" w:space="0" w:color="auto"/>
            </w:tcBorders>
            <w:shd w:val="clear" w:color="000000" w:fill="FFFFFF"/>
            <w:hideMark/>
          </w:tcPr>
          <w:p w14:paraId="38D3E9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34B71A3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6F7557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039B06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6D55C4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423E661D"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23EA2E3A"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69FC24F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Būvniecības process ir jāpadara elastīgāks, lai būvniecības regulējums atsevišķos aspektos ir nebūtu nesamērīgi ierobežojošs. </w:t>
            </w:r>
          </w:p>
        </w:tc>
        <w:tc>
          <w:tcPr>
            <w:tcW w:w="2551" w:type="dxa"/>
            <w:tcBorders>
              <w:top w:val="nil"/>
              <w:left w:val="nil"/>
              <w:bottom w:val="single" w:sz="4" w:space="0" w:color="auto"/>
              <w:right w:val="single" w:sz="4" w:space="0" w:color="auto"/>
            </w:tcBorders>
            <w:shd w:val="clear" w:color="000000" w:fill="FFFFFF"/>
            <w:hideMark/>
          </w:tcPr>
          <w:p w14:paraId="0922CC8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Būvniecības ieceres īstenošanas procesa “reorganizācija”: Grozīt vispārīgos un speciālos būvnoteikumus, paredzot paralēlu būvniecības ieceru īstenošanu, nosakot, kādos gadījumos tas būtu pieļaujams, nostiprinot kārtību būvdarbu uzraudzībai un nodošanai ekspluatācijā. </w:t>
            </w:r>
          </w:p>
        </w:tc>
        <w:tc>
          <w:tcPr>
            <w:tcW w:w="1134" w:type="dxa"/>
            <w:tcBorders>
              <w:top w:val="nil"/>
              <w:left w:val="nil"/>
              <w:bottom w:val="single" w:sz="4" w:space="0" w:color="auto"/>
              <w:right w:val="single" w:sz="4" w:space="0" w:color="auto"/>
            </w:tcBorders>
            <w:shd w:val="clear" w:color="000000" w:fill="FFFFFF"/>
            <w:hideMark/>
          </w:tcPr>
          <w:p w14:paraId="170E3F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18AAAC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6A93F4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05EDAC9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A03B5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4B5273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351A5C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F5671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5A184CAE"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6EE034A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2A5208B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282571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MK 2014.gada 19.augusta noteikumus Nr. 500 “Vispārīgie būvnoteikumi”, ietverot regulējumu būvniecības ieceres īstenošanai pa kārtām. </w:t>
            </w:r>
          </w:p>
        </w:tc>
        <w:tc>
          <w:tcPr>
            <w:tcW w:w="1134" w:type="dxa"/>
            <w:tcBorders>
              <w:top w:val="nil"/>
              <w:left w:val="nil"/>
              <w:bottom w:val="single" w:sz="4" w:space="0" w:color="auto"/>
              <w:right w:val="single" w:sz="4" w:space="0" w:color="auto"/>
            </w:tcBorders>
            <w:shd w:val="clear" w:color="000000" w:fill="FFFFFF"/>
            <w:hideMark/>
          </w:tcPr>
          <w:p w14:paraId="3F7E5D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6DD913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3BC5E8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3283E84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9723B1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7E51B8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02583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5A2860D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19B1EFFE"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7142A5F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24E617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Precizēt </w:t>
            </w:r>
            <w:proofErr w:type="spellStart"/>
            <w:r w:rsidRPr="00BF055E">
              <w:rPr>
                <w:rFonts w:eastAsia="Times New Roman" w:cs="Times New Roman"/>
                <w:sz w:val="18"/>
                <w:szCs w:val="18"/>
                <w:lang w:eastAsia="lv-LV"/>
              </w:rPr>
              <w:t>autouzraudzības</w:t>
            </w:r>
            <w:proofErr w:type="spellEnd"/>
            <w:r w:rsidRPr="00BF055E">
              <w:rPr>
                <w:rFonts w:eastAsia="Times New Roman" w:cs="Times New Roman"/>
                <w:sz w:val="18"/>
                <w:szCs w:val="18"/>
                <w:lang w:eastAsia="lv-LV"/>
              </w:rPr>
              <w:t xml:space="preserve"> lomu: jānostiprina autoruzraudzības loma un nozīme, nodalot to no autortiesību aspekta, skaidri nostiprinot </w:t>
            </w:r>
            <w:proofErr w:type="spellStart"/>
            <w:r w:rsidRPr="00BF055E">
              <w:rPr>
                <w:rFonts w:eastAsia="Times New Roman" w:cs="Times New Roman"/>
                <w:sz w:val="18"/>
                <w:szCs w:val="18"/>
                <w:lang w:eastAsia="lv-LV"/>
              </w:rPr>
              <w:t>autoruzrauga</w:t>
            </w:r>
            <w:proofErr w:type="spellEnd"/>
            <w:r w:rsidRPr="00BF055E">
              <w:rPr>
                <w:rFonts w:eastAsia="Times New Roman" w:cs="Times New Roman"/>
                <w:sz w:val="18"/>
                <w:szCs w:val="18"/>
                <w:lang w:eastAsia="lv-LV"/>
              </w:rPr>
              <w:t xml:space="preserve"> atbildības tvērumu (par ko atbild un par ko neatbild) par būvdarbu atbilstību būvprojektam. </w:t>
            </w:r>
          </w:p>
        </w:tc>
        <w:tc>
          <w:tcPr>
            <w:tcW w:w="2551" w:type="dxa"/>
            <w:tcBorders>
              <w:top w:val="nil"/>
              <w:left w:val="nil"/>
              <w:bottom w:val="single" w:sz="4" w:space="0" w:color="auto"/>
              <w:right w:val="single" w:sz="4" w:space="0" w:color="auto"/>
            </w:tcBorders>
            <w:shd w:val="clear" w:color="000000" w:fill="FFFFFF"/>
            <w:hideMark/>
          </w:tcPr>
          <w:p w14:paraId="2A1F6AE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Veikt grozījumus MK 2014.gada 19.augusta noteikumos Nr.500 “Vispārīgie būvnoteikumi”, pilnveidojot autoruzraudzības regulējumu.</w:t>
            </w:r>
          </w:p>
        </w:tc>
        <w:tc>
          <w:tcPr>
            <w:tcW w:w="1134" w:type="dxa"/>
            <w:tcBorders>
              <w:top w:val="nil"/>
              <w:left w:val="nil"/>
              <w:bottom w:val="single" w:sz="4" w:space="0" w:color="auto"/>
              <w:right w:val="single" w:sz="4" w:space="0" w:color="auto"/>
            </w:tcBorders>
            <w:shd w:val="clear" w:color="000000" w:fill="FFFFFF"/>
            <w:hideMark/>
          </w:tcPr>
          <w:p w14:paraId="1253FF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3B6F29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32A143E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6FB7B6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75D32A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411D6BB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0BA075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1BB8C0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0C99CFBE"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5A50B51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6540410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Tiesības veikt darbus būvlaukumā pirms atzīmes veikšanas par projektēšanas nosacījumu izpildi</w:t>
            </w:r>
          </w:p>
        </w:tc>
        <w:tc>
          <w:tcPr>
            <w:tcW w:w="2551" w:type="dxa"/>
            <w:tcBorders>
              <w:top w:val="nil"/>
              <w:left w:val="nil"/>
              <w:bottom w:val="single" w:sz="4" w:space="0" w:color="auto"/>
              <w:right w:val="single" w:sz="4" w:space="0" w:color="auto"/>
            </w:tcBorders>
            <w:shd w:val="clear" w:color="000000" w:fill="FFFFFF"/>
            <w:hideMark/>
          </w:tcPr>
          <w:p w14:paraId="6D0C2F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Optimālā būvniecības procesa noteikšanai, izvērtēt vai un kādus sagatavošanas darbus būvdarbu veicējs var uzsākt pirms ir veikta atzīme par projektēšanas nosacījumi izpildi. </w:t>
            </w:r>
          </w:p>
        </w:tc>
        <w:tc>
          <w:tcPr>
            <w:tcW w:w="1134" w:type="dxa"/>
            <w:tcBorders>
              <w:top w:val="nil"/>
              <w:left w:val="nil"/>
              <w:bottom w:val="single" w:sz="4" w:space="0" w:color="auto"/>
              <w:right w:val="single" w:sz="4" w:space="0" w:color="auto"/>
            </w:tcBorders>
            <w:shd w:val="clear" w:color="000000" w:fill="FFFFFF"/>
            <w:hideMark/>
          </w:tcPr>
          <w:p w14:paraId="07810F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7D3B59F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8F73D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7008297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42AAD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7443F6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6E606F9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04A6C3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3760FDB9"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03C3695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7AAC123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Ir jāizstrādā skaidrs regulējums atzīmes par projektēšanas nosacījumu izpildi un būvdarbu </w:t>
            </w:r>
            <w:r w:rsidRPr="00BF055E">
              <w:rPr>
                <w:rFonts w:eastAsia="Times New Roman" w:cs="Times New Roman"/>
                <w:sz w:val="18"/>
                <w:szCs w:val="18"/>
                <w:lang w:eastAsia="lv-LV"/>
              </w:rPr>
              <w:lastRenderedPageBreak/>
              <w:t>uzsākšanas nosacījumu izpildi apstrīdēšanai, uzlabojot sabiedrības informētību par plānoto būvniecību, vienlaicīgi radot investoram prognozējamu būvatļaujas apstrīdēšanas procesu.</w:t>
            </w:r>
          </w:p>
        </w:tc>
        <w:tc>
          <w:tcPr>
            <w:tcW w:w="2551" w:type="dxa"/>
            <w:tcBorders>
              <w:top w:val="nil"/>
              <w:left w:val="nil"/>
              <w:bottom w:val="single" w:sz="4" w:space="0" w:color="auto"/>
              <w:right w:val="single" w:sz="4" w:space="0" w:color="auto"/>
            </w:tcBorders>
            <w:shd w:val="clear" w:color="000000" w:fill="FFFFFF"/>
            <w:hideMark/>
          </w:tcPr>
          <w:p w14:paraId="3644380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Grozīt Būvniecības likumu, nosakot prasības sabiedrības informēšanai par atzīmes par projektēšanas nosacījumu </w:t>
            </w:r>
            <w:r w:rsidRPr="00BF055E">
              <w:rPr>
                <w:rFonts w:eastAsia="Times New Roman" w:cs="Times New Roman"/>
                <w:sz w:val="18"/>
                <w:szCs w:val="18"/>
                <w:lang w:eastAsia="lv-LV"/>
              </w:rPr>
              <w:lastRenderedPageBreak/>
              <w:t>izpildi, apstrīdēšanas kartībai un apstrīdēšanas termiņam.</w:t>
            </w:r>
          </w:p>
        </w:tc>
        <w:tc>
          <w:tcPr>
            <w:tcW w:w="1134" w:type="dxa"/>
            <w:tcBorders>
              <w:top w:val="nil"/>
              <w:left w:val="nil"/>
              <w:bottom w:val="single" w:sz="4" w:space="0" w:color="auto"/>
              <w:right w:val="single" w:sz="4" w:space="0" w:color="auto"/>
            </w:tcBorders>
            <w:shd w:val="clear" w:color="000000" w:fill="FFFFFF"/>
            <w:hideMark/>
          </w:tcPr>
          <w:p w14:paraId="722723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628FFB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8B19B6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60A36F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7901D3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56200B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67347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2F7F07F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6BC554C3"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1EF2732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5637996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Uzlabot būvniecības procesa efektivitāti, vienlaicīgi samazinot iespējamos krāpšanas riskus. </w:t>
            </w:r>
          </w:p>
        </w:tc>
        <w:tc>
          <w:tcPr>
            <w:tcW w:w="2551" w:type="dxa"/>
            <w:tcBorders>
              <w:top w:val="nil"/>
              <w:left w:val="nil"/>
              <w:bottom w:val="single" w:sz="4" w:space="0" w:color="auto"/>
              <w:right w:val="single" w:sz="4" w:space="0" w:color="auto"/>
            </w:tcBorders>
            <w:shd w:val="clear" w:color="000000" w:fill="FFFFFF"/>
            <w:hideMark/>
          </w:tcPr>
          <w:p w14:paraId="2E05954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MK 2014.gada 19.augusta noteikumus Nr. 500 “Vispārīgie būvnoteikumi” un speciālos būvnoteikumus, piemēram, MK 2014.gada 2.septembra noteikumus Nr. 529 “Ēku būvnoteikumi” un pilnveidot regulējumu būvdarbu fiksēšanai un būvdarbu kvalitātes risku mazināšanai. </w:t>
            </w:r>
          </w:p>
        </w:tc>
        <w:tc>
          <w:tcPr>
            <w:tcW w:w="1134" w:type="dxa"/>
            <w:tcBorders>
              <w:top w:val="nil"/>
              <w:left w:val="nil"/>
              <w:bottom w:val="single" w:sz="4" w:space="0" w:color="auto"/>
              <w:right w:val="single" w:sz="4" w:space="0" w:color="auto"/>
            </w:tcBorders>
            <w:shd w:val="clear" w:color="000000" w:fill="FFFFFF"/>
            <w:hideMark/>
          </w:tcPr>
          <w:p w14:paraId="273DBF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418" w:type="dxa"/>
            <w:tcBorders>
              <w:top w:val="nil"/>
              <w:left w:val="nil"/>
              <w:bottom w:val="single" w:sz="4" w:space="0" w:color="auto"/>
              <w:right w:val="single" w:sz="4" w:space="0" w:color="auto"/>
            </w:tcBorders>
            <w:shd w:val="clear" w:color="000000" w:fill="FFFFFF"/>
            <w:hideMark/>
          </w:tcPr>
          <w:p w14:paraId="06F04B9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B9082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50" w:type="dxa"/>
            <w:tcBorders>
              <w:top w:val="nil"/>
              <w:left w:val="nil"/>
              <w:bottom w:val="single" w:sz="4" w:space="0" w:color="auto"/>
              <w:right w:val="single" w:sz="4" w:space="0" w:color="auto"/>
            </w:tcBorders>
            <w:shd w:val="clear" w:color="000000" w:fill="FFFFFF"/>
            <w:hideMark/>
          </w:tcPr>
          <w:p w14:paraId="01E1930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45D2AC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3E3216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28410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3F8BA8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4D40AAFF"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0C51AA2A"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33F9C15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Atvieglot Informācijas iegūšanu par pazemes </w:t>
            </w:r>
            <w:proofErr w:type="spellStart"/>
            <w:r w:rsidRPr="00BF055E">
              <w:rPr>
                <w:rFonts w:eastAsia="Times New Roman" w:cs="Times New Roman"/>
                <w:sz w:val="18"/>
                <w:szCs w:val="18"/>
                <w:lang w:eastAsia="lv-LV"/>
              </w:rPr>
              <w:t>inženiersistēmām</w:t>
            </w:r>
            <w:proofErr w:type="spellEnd"/>
            <w:r w:rsidRPr="00BF055E">
              <w:rPr>
                <w:rFonts w:eastAsia="Times New Roman" w:cs="Times New Roman"/>
                <w:sz w:val="18"/>
                <w:szCs w:val="18"/>
                <w:lang w:eastAsia="lv-LV"/>
              </w:rPr>
              <w:t xml:space="preserve"> un atbildība par kaitējuma nodarīšanu pazemes komunikācijām</w:t>
            </w:r>
          </w:p>
        </w:tc>
        <w:tc>
          <w:tcPr>
            <w:tcW w:w="2551" w:type="dxa"/>
            <w:tcBorders>
              <w:top w:val="nil"/>
              <w:left w:val="nil"/>
              <w:bottom w:val="single" w:sz="4" w:space="0" w:color="auto"/>
              <w:right w:val="single" w:sz="4" w:space="0" w:color="auto"/>
            </w:tcBorders>
            <w:shd w:val="clear" w:color="000000" w:fill="FFFFFF"/>
            <w:hideMark/>
          </w:tcPr>
          <w:p w14:paraId="0F7ABC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MK 2012.gada 24.aprīļa noteikumus Nr. 281, nosakot, ka datus par pazemes </w:t>
            </w:r>
            <w:proofErr w:type="spellStart"/>
            <w:r w:rsidRPr="00BF055E">
              <w:rPr>
                <w:rFonts w:eastAsia="Times New Roman" w:cs="Times New Roman"/>
                <w:sz w:val="18"/>
                <w:szCs w:val="18"/>
                <w:lang w:eastAsia="lv-LV"/>
              </w:rPr>
              <w:t>inženiersistēmām</w:t>
            </w:r>
            <w:proofErr w:type="spellEnd"/>
            <w:r w:rsidRPr="00BF055E">
              <w:rPr>
                <w:rFonts w:eastAsia="Times New Roman" w:cs="Times New Roman"/>
                <w:sz w:val="18"/>
                <w:szCs w:val="18"/>
                <w:lang w:eastAsia="lv-LV"/>
              </w:rPr>
              <w:t xml:space="preserve"> topogrāfiskajā plānā attēlo, balstoties uz Apgrūtināto teritoriju informācijas sistēmas datiem. </w:t>
            </w:r>
          </w:p>
        </w:tc>
        <w:tc>
          <w:tcPr>
            <w:tcW w:w="1134" w:type="dxa"/>
            <w:tcBorders>
              <w:top w:val="nil"/>
              <w:left w:val="nil"/>
              <w:bottom w:val="single" w:sz="4" w:space="0" w:color="auto"/>
              <w:right w:val="single" w:sz="4" w:space="0" w:color="auto"/>
            </w:tcBorders>
            <w:shd w:val="clear" w:color="000000" w:fill="FFFFFF"/>
            <w:hideMark/>
          </w:tcPr>
          <w:p w14:paraId="72AEFB9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- 30.11.2025.</w:t>
            </w:r>
          </w:p>
        </w:tc>
        <w:tc>
          <w:tcPr>
            <w:tcW w:w="1418" w:type="dxa"/>
            <w:tcBorders>
              <w:top w:val="nil"/>
              <w:left w:val="nil"/>
              <w:bottom w:val="single" w:sz="4" w:space="0" w:color="auto"/>
              <w:right w:val="single" w:sz="4" w:space="0" w:color="auto"/>
            </w:tcBorders>
            <w:shd w:val="clear" w:color="000000" w:fill="FFFFFF"/>
            <w:hideMark/>
          </w:tcPr>
          <w:p w14:paraId="3DF760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564D07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TM/EM/VZD</w:t>
            </w:r>
          </w:p>
        </w:tc>
        <w:tc>
          <w:tcPr>
            <w:tcW w:w="850" w:type="dxa"/>
            <w:tcBorders>
              <w:top w:val="nil"/>
              <w:left w:val="nil"/>
              <w:bottom w:val="single" w:sz="4" w:space="0" w:color="auto"/>
              <w:right w:val="single" w:sz="4" w:space="0" w:color="auto"/>
            </w:tcBorders>
            <w:shd w:val="clear" w:color="000000" w:fill="FFFFFF"/>
            <w:hideMark/>
          </w:tcPr>
          <w:p w14:paraId="64178A4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76219BD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0264683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60FEC9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2973744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1B1BB8F0"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44ECE55C"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4F27C36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43801D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Pilnveidot Būvniecības likuma regulējumu, aprobežojot būvdarbu veicēja un būvniecības ierosinātāja atbildību, nosakot, ka tie nav atbildīgi par kaitējuma nodarīšanu pazemes </w:t>
            </w:r>
            <w:proofErr w:type="spellStart"/>
            <w:r w:rsidRPr="00BF055E">
              <w:rPr>
                <w:rFonts w:eastAsia="Times New Roman" w:cs="Times New Roman"/>
                <w:sz w:val="18"/>
                <w:szCs w:val="18"/>
                <w:lang w:eastAsia="lv-LV"/>
              </w:rPr>
              <w:t>inženiersistēmām</w:t>
            </w:r>
            <w:proofErr w:type="spellEnd"/>
            <w:r w:rsidRPr="00BF055E">
              <w:rPr>
                <w:rFonts w:eastAsia="Times New Roman" w:cs="Times New Roman"/>
                <w:sz w:val="18"/>
                <w:szCs w:val="18"/>
                <w:lang w:eastAsia="lv-LV"/>
              </w:rPr>
              <w:t xml:space="preserve">, par kurām tam nebija un nevarēja būt informācija. </w:t>
            </w:r>
          </w:p>
        </w:tc>
        <w:tc>
          <w:tcPr>
            <w:tcW w:w="1134" w:type="dxa"/>
            <w:tcBorders>
              <w:top w:val="nil"/>
              <w:left w:val="nil"/>
              <w:bottom w:val="single" w:sz="4" w:space="0" w:color="auto"/>
              <w:right w:val="single" w:sz="4" w:space="0" w:color="auto"/>
            </w:tcBorders>
            <w:shd w:val="clear" w:color="000000" w:fill="FFFFFF"/>
            <w:hideMark/>
          </w:tcPr>
          <w:p w14:paraId="24E99B1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30EF3B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4C244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0BC5DD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40BF50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066E483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4FD4D20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328B0A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647D3B5F"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119291A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3EEA6B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Veicināt atkārtotu būvizstrādājumu izmantošanu</w:t>
            </w:r>
          </w:p>
        </w:tc>
        <w:tc>
          <w:tcPr>
            <w:tcW w:w="2551" w:type="dxa"/>
            <w:tcBorders>
              <w:top w:val="nil"/>
              <w:left w:val="nil"/>
              <w:bottom w:val="single" w:sz="4" w:space="0" w:color="auto"/>
              <w:right w:val="single" w:sz="4" w:space="0" w:color="auto"/>
            </w:tcBorders>
            <w:shd w:val="clear" w:color="000000" w:fill="FFFFFF"/>
            <w:hideMark/>
          </w:tcPr>
          <w:p w14:paraId="422D60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Pilnveidot normatīvo regulējumu būvizstrādājumu jomā, veicinot būvizstrādājumu </w:t>
            </w:r>
            <w:r w:rsidRPr="00BF055E">
              <w:rPr>
                <w:rFonts w:eastAsia="Times New Roman" w:cs="Times New Roman"/>
                <w:sz w:val="18"/>
                <w:szCs w:val="18"/>
                <w:lang w:eastAsia="lv-LV"/>
              </w:rPr>
              <w:lastRenderedPageBreak/>
              <w:t>atkārtoto izmantošanu un būvdarbu rezultātā radīto atkritumu izmantošanu rekultivācijā.</w:t>
            </w:r>
          </w:p>
        </w:tc>
        <w:tc>
          <w:tcPr>
            <w:tcW w:w="1134" w:type="dxa"/>
            <w:tcBorders>
              <w:top w:val="nil"/>
              <w:left w:val="nil"/>
              <w:bottom w:val="single" w:sz="4" w:space="0" w:color="auto"/>
              <w:right w:val="single" w:sz="4" w:space="0" w:color="auto"/>
            </w:tcBorders>
            <w:shd w:val="clear" w:color="000000" w:fill="FFFFFF"/>
            <w:hideMark/>
          </w:tcPr>
          <w:p w14:paraId="61DB41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Iesniegšana izskatīšanai </w:t>
            </w:r>
            <w:r w:rsidRPr="00BF055E">
              <w:rPr>
                <w:rFonts w:eastAsia="Times New Roman" w:cs="Times New Roman"/>
                <w:sz w:val="18"/>
                <w:szCs w:val="18"/>
                <w:lang w:eastAsia="lv-LV"/>
              </w:rPr>
              <w:lastRenderedPageBreak/>
              <w:t>MK - 30.11.2025.</w:t>
            </w:r>
          </w:p>
        </w:tc>
        <w:tc>
          <w:tcPr>
            <w:tcW w:w="1418" w:type="dxa"/>
            <w:tcBorders>
              <w:top w:val="nil"/>
              <w:left w:val="nil"/>
              <w:bottom w:val="single" w:sz="4" w:space="0" w:color="auto"/>
              <w:right w:val="single" w:sz="4" w:space="0" w:color="auto"/>
            </w:tcBorders>
            <w:shd w:val="clear" w:color="000000" w:fill="FFFFFF"/>
            <w:hideMark/>
          </w:tcPr>
          <w:p w14:paraId="336BA34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1134" w:type="dxa"/>
            <w:tcBorders>
              <w:top w:val="nil"/>
              <w:left w:val="nil"/>
              <w:bottom w:val="single" w:sz="4" w:space="0" w:color="auto"/>
              <w:right w:val="single" w:sz="4" w:space="0" w:color="auto"/>
            </w:tcBorders>
            <w:shd w:val="clear" w:color="000000" w:fill="FFFFFF"/>
            <w:hideMark/>
          </w:tcPr>
          <w:p w14:paraId="436409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6FD409B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348673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251BE8E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3AC2D0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5ECFC9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12.Atbildīgs patēriņš un ražošana</w:t>
            </w:r>
          </w:p>
        </w:tc>
      </w:tr>
      <w:tr w:rsidR="00BF055E" w:rsidRPr="00BF055E" w14:paraId="603D3EBB"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335BA86B"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5E58E2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Atmežošanas procesa pilnveidošana un </w:t>
            </w:r>
            <w:proofErr w:type="spellStart"/>
            <w:r w:rsidRPr="00BF055E">
              <w:rPr>
                <w:rFonts w:eastAsia="Times New Roman" w:cs="Times New Roman"/>
                <w:sz w:val="18"/>
                <w:szCs w:val="18"/>
                <w:lang w:eastAsia="lv-LV"/>
              </w:rPr>
              <w:t>digitalizācija</w:t>
            </w:r>
            <w:proofErr w:type="spellEnd"/>
          </w:p>
        </w:tc>
        <w:tc>
          <w:tcPr>
            <w:tcW w:w="2551" w:type="dxa"/>
            <w:tcBorders>
              <w:top w:val="nil"/>
              <w:left w:val="nil"/>
              <w:bottom w:val="single" w:sz="4" w:space="0" w:color="auto"/>
              <w:right w:val="single" w:sz="4" w:space="0" w:color="auto"/>
            </w:tcBorders>
            <w:shd w:val="clear" w:color="000000" w:fill="FFFFFF"/>
            <w:hideMark/>
          </w:tcPr>
          <w:p w14:paraId="130347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Veikt grozījumus normatīvajos aktos būvniecības jomā, nosakot prasības atmežojama poligona ievietošanai būvprojektā, augšupielādēšanai BIS, strukturēto datu norādīšanu, kas ir nepieciešami Valsts meža dienestam reģistrācijai meža reģistrā un kompensācijas aprēķināšanai. Paredzēt, ka atmežojamo platību nosaka, balstoties uz Kadastra datiem par meža zemi. </w:t>
            </w:r>
          </w:p>
        </w:tc>
        <w:tc>
          <w:tcPr>
            <w:tcW w:w="1134" w:type="dxa"/>
            <w:tcBorders>
              <w:top w:val="nil"/>
              <w:left w:val="nil"/>
              <w:bottom w:val="single" w:sz="4" w:space="0" w:color="auto"/>
              <w:right w:val="single" w:sz="4" w:space="0" w:color="auto"/>
            </w:tcBorders>
            <w:shd w:val="clear" w:color="000000" w:fill="FFFFFF"/>
            <w:hideMark/>
          </w:tcPr>
          <w:p w14:paraId="7FD5C5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46FD1B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7722D1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EM/TM</w:t>
            </w:r>
          </w:p>
        </w:tc>
        <w:tc>
          <w:tcPr>
            <w:tcW w:w="850" w:type="dxa"/>
            <w:tcBorders>
              <w:top w:val="nil"/>
              <w:left w:val="nil"/>
              <w:bottom w:val="single" w:sz="4" w:space="0" w:color="auto"/>
              <w:right w:val="single" w:sz="4" w:space="0" w:color="auto"/>
            </w:tcBorders>
            <w:shd w:val="clear" w:color="000000" w:fill="FFFFFF"/>
            <w:hideMark/>
          </w:tcPr>
          <w:p w14:paraId="0DD056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C876D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428DBB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841" w:type="dxa"/>
            <w:tcBorders>
              <w:top w:val="nil"/>
              <w:left w:val="nil"/>
              <w:bottom w:val="single" w:sz="4" w:space="0" w:color="auto"/>
              <w:right w:val="single" w:sz="4" w:space="0" w:color="auto"/>
            </w:tcBorders>
            <w:shd w:val="clear" w:color="000000" w:fill="FFFFFF"/>
            <w:hideMark/>
          </w:tcPr>
          <w:p w14:paraId="52595B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90F04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1FA93042"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289C7A14"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16042B8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3907BB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Pārskatīt MK 2011. gada 27. decembra noteikumus Nr. 1019 “Zemes kadastrālās uzmērīšanas noteikumi”, paredzot tiesības sertificētam </w:t>
            </w:r>
            <w:proofErr w:type="spellStart"/>
            <w:r w:rsidRPr="00BF055E">
              <w:rPr>
                <w:rFonts w:eastAsia="Times New Roman" w:cs="Times New Roman"/>
                <w:sz w:val="18"/>
                <w:szCs w:val="18"/>
                <w:lang w:eastAsia="lv-LV"/>
              </w:rPr>
              <w:t>būvspeciālistam</w:t>
            </w:r>
            <w:proofErr w:type="spellEnd"/>
            <w:r w:rsidRPr="00BF055E">
              <w:rPr>
                <w:rFonts w:eastAsia="Times New Roman" w:cs="Times New Roman"/>
                <w:sz w:val="18"/>
                <w:szCs w:val="18"/>
                <w:lang w:eastAsia="lv-LV"/>
              </w:rPr>
              <w:t xml:space="preserve"> iezīmēt poligonu.</w:t>
            </w:r>
          </w:p>
        </w:tc>
        <w:tc>
          <w:tcPr>
            <w:tcW w:w="1134" w:type="dxa"/>
            <w:tcBorders>
              <w:top w:val="nil"/>
              <w:left w:val="nil"/>
              <w:bottom w:val="single" w:sz="4" w:space="0" w:color="auto"/>
              <w:right w:val="single" w:sz="4" w:space="0" w:color="auto"/>
            </w:tcBorders>
            <w:shd w:val="clear" w:color="000000" w:fill="FFFFFF"/>
            <w:hideMark/>
          </w:tcPr>
          <w:p w14:paraId="78B8CF6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64FA0C5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7B8691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28A502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5D51829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1B0BB9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BDAB9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011BB98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27E1E931"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38AD210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64D7FE36"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4D4053D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Attiecīgi pilnveidot BIS funkcionalitāti</w:t>
            </w:r>
          </w:p>
        </w:tc>
        <w:tc>
          <w:tcPr>
            <w:tcW w:w="1134" w:type="dxa"/>
            <w:tcBorders>
              <w:top w:val="nil"/>
              <w:left w:val="nil"/>
              <w:bottom w:val="single" w:sz="4" w:space="0" w:color="auto"/>
              <w:right w:val="single" w:sz="4" w:space="0" w:color="auto"/>
            </w:tcBorders>
            <w:shd w:val="clear" w:color="000000" w:fill="FFFFFF"/>
            <w:hideMark/>
          </w:tcPr>
          <w:p w14:paraId="37DDC42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30.12.2025.</w:t>
            </w:r>
          </w:p>
        </w:tc>
        <w:tc>
          <w:tcPr>
            <w:tcW w:w="1418" w:type="dxa"/>
            <w:tcBorders>
              <w:top w:val="nil"/>
              <w:left w:val="nil"/>
              <w:bottom w:val="single" w:sz="4" w:space="0" w:color="auto"/>
              <w:right w:val="single" w:sz="4" w:space="0" w:color="auto"/>
            </w:tcBorders>
            <w:shd w:val="clear" w:color="000000" w:fill="FFFFFF"/>
            <w:hideMark/>
          </w:tcPr>
          <w:p w14:paraId="51BB3D4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172B75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EM/BVKB</w:t>
            </w:r>
          </w:p>
        </w:tc>
        <w:tc>
          <w:tcPr>
            <w:tcW w:w="850" w:type="dxa"/>
            <w:tcBorders>
              <w:top w:val="nil"/>
              <w:left w:val="nil"/>
              <w:bottom w:val="single" w:sz="4" w:space="0" w:color="auto"/>
              <w:right w:val="single" w:sz="4" w:space="0" w:color="auto"/>
            </w:tcBorders>
            <w:shd w:val="clear" w:color="000000" w:fill="FFFFFF"/>
            <w:hideMark/>
          </w:tcPr>
          <w:p w14:paraId="795081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207445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27A8FD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1909B6B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24B3FC4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208504FA"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20BBB586"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5C2F9C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Pilnveidot dzīvokļa īpašuma “veidošanas” procesu</w:t>
            </w:r>
          </w:p>
        </w:tc>
        <w:tc>
          <w:tcPr>
            <w:tcW w:w="2551" w:type="dxa"/>
            <w:tcBorders>
              <w:top w:val="nil"/>
              <w:left w:val="nil"/>
              <w:bottom w:val="single" w:sz="4" w:space="0" w:color="auto"/>
              <w:right w:val="single" w:sz="4" w:space="0" w:color="auto"/>
            </w:tcBorders>
            <w:shd w:val="clear" w:color="000000" w:fill="FFFFFF"/>
            <w:hideMark/>
          </w:tcPr>
          <w:p w14:paraId="299053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Dzīvokļa īpašuma likumu, pieļaujot jaunbūves gadījumā iespēju Kadastrā piešķirt telpu grupām dzīvokļa īpašuma reģistrācijai nepieciešamos kadastra numurus un aprēķināt dzīvokļa īpašumam piesaistītās domājamās daļas no kopīpašuma vienlaicīgi ar dzīvojamās mājas un telpu grupu reģistrāciju Kadastrā. </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br/>
              <w:t xml:space="preserve">Nepieciešamības gadījumā grozīt regulējumu zemesgrāmatu jomā likumu, pieļaujot vienlaicīgu dzīvojamās mājas ierakstīšanu un sadalīšanu dzīvokļu īpašumos (var lūgt vienā reizē, nodrošinot secīgu reģistrāciju). </w:t>
            </w:r>
          </w:p>
        </w:tc>
        <w:tc>
          <w:tcPr>
            <w:tcW w:w="1134" w:type="dxa"/>
            <w:tcBorders>
              <w:top w:val="nil"/>
              <w:left w:val="nil"/>
              <w:bottom w:val="single" w:sz="4" w:space="0" w:color="auto"/>
              <w:right w:val="single" w:sz="4" w:space="0" w:color="auto"/>
            </w:tcBorders>
            <w:shd w:val="clear" w:color="000000" w:fill="FFFFFF"/>
            <w:hideMark/>
          </w:tcPr>
          <w:p w14:paraId="20F213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01D6AD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23CA963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EM/TM</w:t>
            </w:r>
          </w:p>
        </w:tc>
        <w:tc>
          <w:tcPr>
            <w:tcW w:w="850" w:type="dxa"/>
            <w:tcBorders>
              <w:top w:val="nil"/>
              <w:left w:val="nil"/>
              <w:bottom w:val="single" w:sz="4" w:space="0" w:color="auto"/>
              <w:right w:val="single" w:sz="4" w:space="0" w:color="auto"/>
            </w:tcBorders>
            <w:shd w:val="clear" w:color="000000" w:fill="FFFFFF"/>
            <w:hideMark/>
          </w:tcPr>
          <w:p w14:paraId="2DF079F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7D84EBD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6F58D7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3E45750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09A881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259C25E0"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2A1CA6D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28394C8A"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393A1A1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Izstrādāt informatīvo materiālu un skaidrojumus par kopīpašuma aspektiem, veicinot dzīvojamo māju sadalīšanu dzīvokļu īpašumos.</w:t>
            </w:r>
          </w:p>
        </w:tc>
        <w:tc>
          <w:tcPr>
            <w:tcW w:w="1134" w:type="dxa"/>
            <w:tcBorders>
              <w:top w:val="nil"/>
              <w:left w:val="nil"/>
              <w:bottom w:val="single" w:sz="4" w:space="0" w:color="auto"/>
              <w:right w:val="single" w:sz="4" w:space="0" w:color="auto"/>
            </w:tcBorders>
            <w:shd w:val="clear" w:color="000000" w:fill="FFFFFF"/>
            <w:hideMark/>
          </w:tcPr>
          <w:p w14:paraId="05076A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30.12.2024.</w:t>
            </w:r>
          </w:p>
        </w:tc>
        <w:tc>
          <w:tcPr>
            <w:tcW w:w="1418" w:type="dxa"/>
            <w:tcBorders>
              <w:top w:val="nil"/>
              <w:left w:val="nil"/>
              <w:bottom w:val="single" w:sz="4" w:space="0" w:color="auto"/>
              <w:right w:val="single" w:sz="4" w:space="0" w:color="auto"/>
            </w:tcBorders>
            <w:shd w:val="clear" w:color="000000" w:fill="FFFFFF"/>
            <w:hideMark/>
          </w:tcPr>
          <w:p w14:paraId="088206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7F4C1C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25F5CF4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621D9EF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2567A70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148037E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15EC4E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4E71B1BD"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7265C50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4545C39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206E3E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normatīvo regulējumu, veicinot kopīpašumā esošās būves nodošanu ekspluatācijā, tai skaitā nosakot regulējumu patvaļīgās būvniecības novēršanai. </w:t>
            </w:r>
          </w:p>
        </w:tc>
        <w:tc>
          <w:tcPr>
            <w:tcW w:w="1134" w:type="dxa"/>
            <w:tcBorders>
              <w:top w:val="nil"/>
              <w:left w:val="nil"/>
              <w:bottom w:val="single" w:sz="4" w:space="0" w:color="auto"/>
              <w:right w:val="single" w:sz="4" w:space="0" w:color="auto"/>
            </w:tcBorders>
            <w:shd w:val="clear" w:color="000000" w:fill="FFFFFF"/>
            <w:hideMark/>
          </w:tcPr>
          <w:p w14:paraId="407091E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31.12.2024.</w:t>
            </w:r>
          </w:p>
        </w:tc>
        <w:tc>
          <w:tcPr>
            <w:tcW w:w="1418" w:type="dxa"/>
            <w:tcBorders>
              <w:top w:val="nil"/>
              <w:left w:val="nil"/>
              <w:bottom w:val="single" w:sz="4" w:space="0" w:color="auto"/>
              <w:right w:val="single" w:sz="4" w:space="0" w:color="auto"/>
            </w:tcBorders>
            <w:shd w:val="clear" w:color="000000" w:fill="FFFFFF"/>
            <w:hideMark/>
          </w:tcPr>
          <w:p w14:paraId="3999AD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57A0C6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4DDA21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443AC0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1CFB0B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65FA61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517D494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6C92F9A4"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7ABC844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2D2BE2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Pilnveidot regulējumu attiecībā uz dzīvojamās mājas kopīpašumā esošo daļu</w:t>
            </w:r>
          </w:p>
        </w:tc>
        <w:tc>
          <w:tcPr>
            <w:tcW w:w="2551" w:type="dxa"/>
            <w:tcBorders>
              <w:top w:val="nil"/>
              <w:left w:val="nil"/>
              <w:bottom w:val="single" w:sz="4" w:space="0" w:color="auto"/>
              <w:right w:val="single" w:sz="4" w:space="0" w:color="auto"/>
            </w:tcBorders>
            <w:shd w:val="clear" w:color="000000" w:fill="FFFFFF"/>
            <w:hideMark/>
          </w:tcPr>
          <w:p w14:paraId="079F02C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Grozīt Dzīvokļa īpašuma likumu, paredzot iespēju izveidot (noteikt) kopīpašuma daļā neietilpstošus funkcionāli saistītus objektus, kas ir funkcionāli saistīti ar konkrētu dzīvokļa īpašumu un kas var atsevišķi būt par civiltiesiskās apgrozības objektu (tikai dzīvojamās mājas īpašnieku ietvaros).</w:t>
            </w:r>
          </w:p>
        </w:tc>
        <w:tc>
          <w:tcPr>
            <w:tcW w:w="1134" w:type="dxa"/>
            <w:tcBorders>
              <w:top w:val="nil"/>
              <w:left w:val="nil"/>
              <w:bottom w:val="single" w:sz="4" w:space="0" w:color="auto"/>
              <w:right w:val="single" w:sz="4" w:space="0" w:color="auto"/>
            </w:tcBorders>
            <w:shd w:val="clear" w:color="000000" w:fill="FFFFFF"/>
            <w:hideMark/>
          </w:tcPr>
          <w:p w14:paraId="7A3A78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301BF9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3C30B3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EM/TM</w:t>
            </w:r>
          </w:p>
        </w:tc>
        <w:tc>
          <w:tcPr>
            <w:tcW w:w="850" w:type="dxa"/>
            <w:tcBorders>
              <w:top w:val="nil"/>
              <w:left w:val="nil"/>
              <w:bottom w:val="single" w:sz="4" w:space="0" w:color="auto"/>
              <w:right w:val="single" w:sz="4" w:space="0" w:color="auto"/>
            </w:tcBorders>
            <w:shd w:val="clear" w:color="000000" w:fill="FFFFFF"/>
            <w:hideMark/>
          </w:tcPr>
          <w:p w14:paraId="33638A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CC8D9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104E41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52CDD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547BFB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55948500"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5D7FF5D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val="restart"/>
            <w:tcBorders>
              <w:top w:val="nil"/>
              <w:left w:val="single" w:sz="4" w:space="0" w:color="auto"/>
              <w:bottom w:val="single" w:sz="4" w:space="0" w:color="auto"/>
              <w:right w:val="single" w:sz="4" w:space="0" w:color="auto"/>
            </w:tcBorders>
            <w:shd w:val="clear" w:color="000000" w:fill="FFFFFF"/>
            <w:hideMark/>
          </w:tcPr>
          <w:p w14:paraId="1106733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Pilnveidot tiesiskais risinājumu koplietošanas infrastruktūrai</w:t>
            </w:r>
          </w:p>
        </w:tc>
        <w:tc>
          <w:tcPr>
            <w:tcW w:w="2551" w:type="dxa"/>
            <w:tcBorders>
              <w:top w:val="nil"/>
              <w:left w:val="nil"/>
              <w:bottom w:val="single" w:sz="4" w:space="0" w:color="auto"/>
              <w:right w:val="single" w:sz="4" w:space="0" w:color="auto"/>
            </w:tcBorders>
            <w:shd w:val="clear" w:color="000000" w:fill="FFFFFF"/>
            <w:hideMark/>
          </w:tcPr>
          <w:p w14:paraId="3F7E334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Grozīt normatīvo regulējumu, radot risinājumu privātpersonu izbūvētiem ceļiem, būvējot privātmāju ciematus. Iespējamais risinājums ir noteikt, ka ceļi, kas izveidoti, būvējot privātmāju ciematus, ir </w:t>
            </w:r>
            <w:r w:rsidRPr="00BF055E">
              <w:rPr>
                <w:rFonts w:eastAsia="Times New Roman" w:cs="Times New Roman"/>
                <w:sz w:val="18"/>
                <w:szCs w:val="18"/>
                <w:lang w:eastAsia="lv-LV"/>
              </w:rPr>
              <w:lastRenderedPageBreak/>
              <w:t xml:space="preserve">piekritīgi pašvaldībai un ir nododami tai bezatlīdzības, vienlaicīgi paredzot, ka normatīvajos aktos tiek noteikts īpašs pienākums privātmāju ciemata īpašniekiem veikt ceļu uzturēšanu vai to finansēt. </w:t>
            </w:r>
          </w:p>
        </w:tc>
        <w:tc>
          <w:tcPr>
            <w:tcW w:w="1134" w:type="dxa"/>
            <w:tcBorders>
              <w:top w:val="nil"/>
              <w:left w:val="nil"/>
              <w:bottom w:val="single" w:sz="4" w:space="0" w:color="auto"/>
              <w:right w:val="single" w:sz="4" w:space="0" w:color="auto"/>
            </w:tcBorders>
            <w:shd w:val="clear" w:color="000000" w:fill="FFFFFF"/>
            <w:hideMark/>
          </w:tcPr>
          <w:p w14:paraId="678337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Iesniegšana izskatīšanai MK - 30.11.2025.</w:t>
            </w:r>
          </w:p>
        </w:tc>
        <w:tc>
          <w:tcPr>
            <w:tcW w:w="1418" w:type="dxa"/>
            <w:tcBorders>
              <w:top w:val="nil"/>
              <w:left w:val="nil"/>
              <w:bottom w:val="single" w:sz="4" w:space="0" w:color="auto"/>
              <w:right w:val="single" w:sz="4" w:space="0" w:color="auto"/>
            </w:tcBorders>
            <w:shd w:val="clear" w:color="000000" w:fill="FFFFFF"/>
            <w:hideMark/>
          </w:tcPr>
          <w:p w14:paraId="3007BA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3378859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VARAM/EM</w:t>
            </w:r>
          </w:p>
        </w:tc>
        <w:tc>
          <w:tcPr>
            <w:tcW w:w="850" w:type="dxa"/>
            <w:tcBorders>
              <w:top w:val="nil"/>
              <w:left w:val="nil"/>
              <w:bottom w:val="single" w:sz="4" w:space="0" w:color="auto"/>
              <w:right w:val="single" w:sz="4" w:space="0" w:color="auto"/>
            </w:tcBorders>
            <w:shd w:val="clear" w:color="000000" w:fill="FFFFFF"/>
            <w:hideMark/>
          </w:tcPr>
          <w:p w14:paraId="31A902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3BD238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0AD149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19F215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77355F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52132FA5"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3DBF2DF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vMerge/>
            <w:tcBorders>
              <w:top w:val="nil"/>
              <w:left w:val="single" w:sz="4" w:space="0" w:color="auto"/>
              <w:bottom w:val="single" w:sz="4" w:space="0" w:color="auto"/>
              <w:right w:val="single" w:sz="4" w:space="0" w:color="auto"/>
            </w:tcBorders>
            <w:vAlign w:val="center"/>
            <w:hideMark/>
          </w:tcPr>
          <w:p w14:paraId="6A54065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34844A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Ņemot vērā, ka Civillikums paredz tiesības nodibināt īpašuma aprobežojumu ar testamentu, līgumu vai likumu, izvērtēt iespēju grozīt normatīvo regulējumu būvniecības jomā, ieviešot koplietošanas infrastruktūras jēdzienu un likuma līmenī paredzēt koplietošanas statusa reģistrāciju zemesgrāmatā (tiesību aprobežojums uz likuma pamata līdzīgi kā sarkano līniju gadījuma). Regulējumā būtu jāietver šī institūta būtības skaidrojums, izlietošanas noteikumi, tiesiskās sekas u.tml. </w:t>
            </w:r>
          </w:p>
        </w:tc>
        <w:tc>
          <w:tcPr>
            <w:tcW w:w="1134" w:type="dxa"/>
            <w:tcBorders>
              <w:top w:val="nil"/>
              <w:left w:val="nil"/>
              <w:bottom w:val="single" w:sz="4" w:space="0" w:color="auto"/>
              <w:right w:val="single" w:sz="4" w:space="0" w:color="auto"/>
            </w:tcBorders>
            <w:shd w:val="clear" w:color="000000" w:fill="FFFFFF"/>
            <w:hideMark/>
          </w:tcPr>
          <w:p w14:paraId="521B325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78661E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00B57C1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EM/TM</w:t>
            </w:r>
          </w:p>
        </w:tc>
        <w:tc>
          <w:tcPr>
            <w:tcW w:w="850" w:type="dxa"/>
            <w:tcBorders>
              <w:top w:val="nil"/>
              <w:left w:val="nil"/>
              <w:bottom w:val="single" w:sz="4" w:space="0" w:color="auto"/>
              <w:right w:val="single" w:sz="4" w:space="0" w:color="auto"/>
            </w:tcBorders>
            <w:shd w:val="clear" w:color="000000" w:fill="FFFFFF"/>
            <w:hideMark/>
          </w:tcPr>
          <w:p w14:paraId="4D676D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13E968D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7C66DC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112A3F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1CDFD5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12AEA36D"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4517A296"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36C51F9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Elektroniskā paraksta plašāka izmantošana, prasot ierakstus zemesgrāmatā</w:t>
            </w:r>
          </w:p>
        </w:tc>
        <w:tc>
          <w:tcPr>
            <w:tcW w:w="2551" w:type="dxa"/>
            <w:tcBorders>
              <w:top w:val="nil"/>
              <w:left w:val="nil"/>
              <w:bottom w:val="single" w:sz="4" w:space="0" w:color="auto"/>
              <w:right w:val="single" w:sz="4" w:space="0" w:color="auto"/>
            </w:tcBorders>
            <w:shd w:val="clear" w:color="000000" w:fill="FFFFFF"/>
            <w:hideMark/>
          </w:tcPr>
          <w:p w14:paraId="4358FE0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Vienkāršot procesu atsevišķu ierakstu veikšanai zemesgrāmatā, stiprināt labticīgā ieguvēja aizsardzību.</w:t>
            </w:r>
            <w:r w:rsidRPr="00BF055E">
              <w:rPr>
                <w:rFonts w:eastAsia="Times New Roman" w:cs="Times New Roman"/>
                <w:sz w:val="18"/>
                <w:szCs w:val="18"/>
                <w:lang w:eastAsia="lv-LV"/>
              </w:rPr>
              <w:br/>
              <w:t>Tieslietu ministrijai izveidot darba grupu un “sašķirot” nostiprinājuma lūgumu veidus, kurus iespējams iesniegt elektroniski, parakstot ar elektronisko parakstu, iespējams, izmantojot oficiālo e-adresi.</w:t>
            </w:r>
          </w:p>
        </w:tc>
        <w:tc>
          <w:tcPr>
            <w:tcW w:w="1134" w:type="dxa"/>
            <w:tcBorders>
              <w:top w:val="nil"/>
              <w:left w:val="nil"/>
              <w:bottom w:val="single" w:sz="4" w:space="0" w:color="auto"/>
              <w:right w:val="single" w:sz="4" w:space="0" w:color="auto"/>
            </w:tcBorders>
            <w:shd w:val="clear" w:color="000000" w:fill="FFFFFF"/>
            <w:hideMark/>
          </w:tcPr>
          <w:p w14:paraId="481632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31.12.2024.</w:t>
            </w:r>
          </w:p>
        </w:tc>
        <w:tc>
          <w:tcPr>
            <w:tcW w:w="1418" w:type="dxa"/>
            <w:tcBorders>
              <w:top w:val="nil"/>
              <w:left w:val="nil"/>
              <w:bottom w:val="single" w:sz="4" w:space="0" w:color="auto"/>
              <w:right w:val="single" w:sz="4" w:space="0" w:color="auto"/>
            </w:tcBorders>
            <w:shd w:val="clear" w:color="000000" w:fill="FFFFFF"/>
            <w:hideMark/>
          </w:tcPr>
          <w:p w14:paraId="168ED35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004D99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TM/EM</w:t>
            </w:r>
          </w:p>
        </w:tc>
        <w:tc>
          <w:tcPr>
            <w:tcW w:w="850" w:type="dxa"/>
            <w:tcBorders>
              <w:top w:val="nil"/>
              <w:left w:val="nil"/>
              <w:bottom w:val="single" w:sz="4" w:space="0" w:color="auto"/>
              <w:right w:val="single" w:sz="4" w:space="0" w:color="auto"/>
            </w:tcBorders>
            <w:shd w:val="clear" w:color="000000" w:fill="FFFFFF"/>
            <w:hideMark/>
          </w:tcPr>
          <w:p w14:paraId="3C02C9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51EAC0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35D931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685CB0E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6FA7D8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3E842989"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50C037FB"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793078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Dzīvokļu īpašnieku kopības juridiskā statusa nostiprināšana</w:t>
            </w:r>
          </w:p>
        </w:tc>
        <w:tc>
          <w:tcPr>
            <w:tcW w:w="2551" w:type="dxa"/>
            <w:tcBorders>
              <w:top w:val="nil"/>
              <w:left w:val="nil"/>
              <w:bottom w:val="single" w:sz="4" w:space="0" w:color="auto"/>
              <w:right w:val="single" w:sz="4" w:space="0" w:color="auto"/>
            </w:tcBorders>
            <w:shd w:val="clear" w:color="000000" w:fill="FFFFFF"/>
            <w:hideMark/>
          </w:tcPr>
          <w:p w14:paraId="538D36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Grozīt normatīvo regulējumu, precizējot dzīvokļu īpašnieku kopības tiesisko statusu.</w:t>
            </w:r>
          </w:p>
        </w:tc>
        <w:tc>
          <w:tcPr>
            <w:tcW w:w="1134" w:type="dxa"/>
            <w:tcBorders>
              <w:top w:val="nil"/>
              <w:left w:val="nil"/>
              <w:bottom w:val="single" w:sz="4" w:space="0" w:color="auto"/>
              <w:right w:val="single" w:sz="4" w:space="0" w:color="auto"/>
            </w:tcBorders>
            <w:shd w:val="clear" w:color="000000" w:fill="FFFFFF"/>
            <w:hideMark/>
          </w:tcPr>
          <w:p w14:paraId="6B747E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- 30.11.2024.</w:t>
            </w:r>
          </w:p>
        </w:tc>
        <w:tc>
          <w:tcPr>
            <w:tcW w:w="1418" w:type="dxa"/>
            <w:tcBorders>
              <w:top w:val="nil"/>
              <w:left w:val="nil"/>
              <w:bottom w:val="single" w:sz="4" w:space="0" w:color="auto"/>
              <w:right w:val="single" w:sz="4" w:space="0" w:color="auto"/>
            </w:tcBorders>
            <w:shd w:val="clear" w:color="000000" w:fill="FFFFFF"/>
            <w:hideMark/>
          </w:tcPr>
          <w:p w14:paraId="6F18473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11716A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850" w:type="dxa"/>
            <w:tcBorders>
              <w:top w:val="nil"/>
              <w:left w:val="nil"/>
              <w:bottom w:val="single" w:sz="4" w:space="0" w:color="auto"/>
              <w:right w:val="single" w:sz="4" w:space="0" w:color="auto"/>
            </w:tcBorders>
            <w:shd w:val="clear" w:color="000000" w:fill="FFFFFF"/>
            <w:hideMark/>
          </w:tcPr>
          <w:p w14:paraId="4712F9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3E020F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7019D30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29C0B2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609E93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5053D756"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6F3A4F73"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2B06D1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Vienkāršot zemes ierīcības procesu zemes atsavināšanai lineāro būvju būvniecības gadījumā</w:t>
            </w:r>
          </w:p>
        </w:tc>
        <w:tc>
          <w:tcPr>
            <w:tcW w:w="2551" w:type="dxa"/>
            <w:tcBorders>
              <w:top w:val="nil"/>
              <w:left w:val="nil"/>
              <w:bottom w:val="single" w:sz="4" w:space="0" w:color="auto"/>
              <w:right w:val="single" w:sz="4" w:space="0" w:color="auto"/>
            </w:tcBorders>
            <w:shd w:val="clear" w:color="000000" w:fill="FFFFFF"/>
            <w:hideMark/>
          </w:tcPr>
          <w:p w14:paraId="3F8FF8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Grozījumi normatīvajos aktos zemes ierīcības jomā un zemes kadastrālās uzmērīšanas jomā.</w:t>
            </w:r>
            <w:r w:rsidRPr="00BF055E">
              <w:rPr>
                <w:rFonts w:eastAsia="Times New Roman" w:cs="Times New Roman"/>
                <w:sz w:val="18"/>
                <w:szCs w:val="18"/>
                <w:lang w:eastAsia="lv-LV"/>
              </w:rPr>
              <w:br/>
              <w:t>Padarīt zemes platības atdalīšanas procesu lineāro būvju būvniecības vajadzībām efektīvu:</w:t>
            </w:r>
            <w:r w:rsidRPr="00BF055E">
              <w:rPr>
                <w:rFonts w:eastAsia="Times New Roman" w:cs="Times New Roman"/>
                <w:sz w:val="18"/>
                <w:szCs w:val="18"/>
                <w:lang w:eastAsia="lv-LV"/>
              </w:rPr>
              <w:br/>
              <w:t>1) pieļaut zemes vienības sadales projektu kā pamatu zemes platības atdalīšanai;</w:t>
            </w:r>
            <w:r w:rsidRPr="00BF055E">
              <w:rPr>
                <w:rFonts w:eastAsia="Times New Roman" w:cs="Times New Roman"/>
                <w:sz w:val="18"/>
                <w:szCs w:val="18"/>
                <w:lang w:eastAsia="lv-LV"/>
              </w:rPr>
              <w:br/>
              <w:t>2) atteikties no pienākuma uzmērīt paliekošo platību, ja lineārās būves būvniecības vajadzībām tiek nodalīta daļa no privātpersonai piederošās zemes vienības.</w:t>
            </w:r>
          </w:p>
        </w:tc>
        <w:tc>
          <w:tcPr>
            <w:tcW w:w="1134" w:type="dxa"/>
            <w:tcBorders>
              <w:top w:val="nil"/>
              <w:left w:val="nil"/>
              <w:bottom w:val="single" w:sz="4" w:space="0" w:color="auto"/>
              <w:right w:val="single" w:sz="4" w:space="0" w:color="auto"/>
            </w:tcBorders>
            <w:shd w:val="clear" w:color="000000" w:fill="FFFFFF"/>
            <w:hideMark/>
          </w:tcPr>
          <w:p w14:paraId="113B74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Iesniegšana izskatīšanai MK - 30.11.2025.</w:t>
            </w:r>
          </w:p>
        </w:tc>
        <w:tc>
          <w:tcPr>
            <w:tcW w:w="1418" w:type="dxa"/>
            <w:tcBorders>
              <w:top w:val="nil"/>
              <w:left w:val="nil"/>
              <w:bottom w:val="single" w:sz="4" w:space="0" w:color="auto"/>
              <w:right w:val="single" w:sz="4" w:space="0" w:color="auto"/>
            </w:tcBorders>
            <w:shd w:val="clear" w:color="000000" w:fill="FFFFFF"/>
            <w:hideMark/>
          </w:tcPr>
          <w:p w14:paraId="30F3FD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1B54BA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TM/EM/FM</w:t>
            </w:r>
          </w:p>
        </w:tc>
        <w:tc>
          <w:tcPr>
            <w:tcW w:w="850" w:type="dxa"/>
            <w:tcBorders>
              <w:top w:val="nil"/>
              <w:left w:val="nil"/>
              <w:bottom w:val="single" w:sz="4" w:space="0" w:color="auto"/>
              <w:right w:val="single" w:sz="4" w:space="0" w:color="auto"/>
            </w:tcBorders>
            <w:shd w:val="clear" w:color="000000" w:fill="FFFFFF"/>
            <w:hideMark/>
          </w:tcPr>
          <w:p w14:paraId="1C7F3F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58BBD1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3852B8A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5883AEF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EDB5B8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0C5191F9" w14:textId="77777777" w:rsidTr="003B1594">
        <w:trPr>
          <w:trHeight w:val="20"/>
        </w:trPr>
        <w:tc>
          <w:tcPr>
            <w:tcW w:w="1555" w:type="dxa"/>
            <w:vMerge w:val="restart"/>
            <w:tcBorders>
              <w:top w:val="nil"/>
              <w:left w:val="single" w:sz="4" w:space="0" w:color="auto"/>
              <w:bottom w:val="single" w:sz="4" w:space="0" w:color="auto"/>
              <w:right w:val="single" w:sz="4" w:space="0" w:color="auto"/>
            </w:tcBorders>
            <w:shd w:val="clear" w:color="000000" w:fill="FFFFFF"/>
            <w:hideMark/>
          </w:tcPr>
          <w:p w14:paraId="3B78D1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Tirgus uzraudzība komercbanku sektorā</w:t>
            </w:r>
          </w:p>
        </w:tc>
        <w:tc>
          <w:tcPr>
            <w:tcW w:w="2268" w:type="dxa"/>
            <w:tcBorders>
              <w:top w:val="nil"/>
              <w:left w:val="nil"/>
              <w:bottom w:val="single" w:sz="4" w:space="0" w:color="auto"/>
              <w:right w:val="single" w:sz="4" w:space="0" w:color="auto"/>
            </w:tcBorders>
            <w:shd w:val="clear" w:color="000000" w:fill="FFFFFF"/>
            <w:hideMark/>
          </w:tcPr>
          <w:p w14:paraId="24F83B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Izvērtēt kopējo konkurences situāciju komercbanku sektorā; Uzlabot konkurenci finanšu tirgos</w:t>
            </w:r>
          </w:p>
        </w:tc>
        <w:tc>
          <w:tcPr>
            <w:tcW w:w="2551" w:type="dxa"/>
            <w:tcBorders>
              <w:top w:val="nil"/>
              <w:left w:val="nil"/>
              <w:bottom w:val="single" w:sz="4" w:space="0" w:color="auto"/>
              <w:right w:val="single" w:sz="4" w:space="0" w:color="auto"/>
            </w:tcBorders>
            <w:shd w:val="clear" w:color="000000" w:fill="FFFFFF"/>
            <w:hideMark/>
          </w:tcPr>
          <w:p w14:paraId="620DD4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Tirgus uzraudzības ietvaros t.sk. plānots arī novērtēt komercbanku klientu mobilitāti ietekmējošos faktorus, kā arī konkurences situāciju kreditēšanas jomā. Pēc tirgus uzraudzības pabeigšanas, tiks publicēti noslēguma secinājumi un priekšlikumi.</w:t>
            </w:r>
          </w:p>
        </w:tc>
        <w:tc>
          <w:tcPr>
            <w:tcW w:w="1134" w:type="dxa"/>
            <w:tcBorders>
              <w:top w:val="nil"/>
              <w:left w:val="nil"/>
              <w:bottom w:val="single" w:sz="4" w:space="0" w:color="auto"/>
              <w:right w:val="single" w:sz="4" w:space="0" w:color="auto"/>
            </w:tcBorders>
            <w:shd w:val="clear" w:color="000000" w:fill="FFFFFF"/>
            <w:hideMark/>
          </w:tcPr>
          <w:p w14:paraId="47A368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2026.gada rudens</w:t>
            </w:r>
          </w:p>
        </w:tc>
        <w:tc>
          <w:tcPr>
            <w:tcW w:w="1418" w:type="dxa"/>
            <w:tcBorders>
              <w:top w:val="nil"/>
              <w:left w:val="nil"/>
              <w:bottom w:val="single" w:sz="4" w:space="0" w:color="auto"/>
              <w:right w:val="single" w:sz="4" w:space="0" w:color="auto"/>
            </w:tcBorders>
            <w:shd w:val="clear" w:color="000000" w:fill="FFFFFF"/>
            <w:hideMark/>
          </w:tcPr>
          <w:p w14:paraId="62FE16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8A4DB3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KP</w:t>
            </w:r>
          </w:p>
        </w:tc>
        <w:tc>
          <w:tcPr>
            <w:tcW w:w="850" w:type="dxa"/>
            <w:tcBorders>
              <w:top w:val="nil"/>
              <w:left w:val="nil"/>
              <w:bottom w:val="single" w:sz="4" w:space="0" w:color="auto"/>
              <w:right w:val="single" w:sz="4" w:space="0" w:color="auto"/>
            </w:tcBorders>
            <w:shd w:val="clear" w:color="000000" w:fill="FFFFFF"/>
            <w:hideMark/>
          </w:tcPr>
          <w:p w14:paraId="777BA3C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5D46E3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038D00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5363F9F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3D79FF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5CD1AF4F" w14:textId="77777777" w:rsidTr="003B1594">
        <w:trPr>
          <w:trHeight w:val="20"/>
        </w:trPr>
        <w:tc>
          <w:tcPr>
            <w:tcW w:w="1555" w:type="dxa"/>
            <w:vMerge/>
            <w:tcBorders>
              <w:top w:val="nil"/>
              <w:left w:val="single" w:sz="4" w:space="0" w:color="auto"/>
              <w:bottom w:val="single" w:sz="4" w:space="0" w:color="auto"/>
              <w:right w:val="single" w:sz="4" w:space="0" w:color="auto"/>
            </w:tcBorders>
            <w:vAlign w:val="center"/>
            <w:hideMark/>
          </w:tcPr>
          <w:p w14:paraId="3059AAF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268" w:type="dxa"/>
            <w:tcBorders>
              <w:top w:val="nil"/>
              <w:left w:val="nil"/>
              <w:bottom w:val="single" w:sz="4" w:space="0" w:color="auto"/>
              <w:right w:val="single" w:sz="4" w:space="0" w:color="auto"/>
            </w:tcBorders>
            <w:shd w:val="clear" w:color="000000" w:fill="FFFFFF"/>
            <w:hideMark/>
          </w:tcPr>
          <w:p w14:paraId="7AFF9C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Uzlabot konkurenci finanšu tirgos</w:t>
            </w:r>
          </w:p>
        </w:tc>
        <w:tc>
          <w:tcPr>
            <w:tcW w:w="2551" w:type="dxa"/>
            <w:tcBorders>
              <w:top w:val="nil"/>
              <w:left w:val="nil"/>
              <w:bottom w:val="single" w:sz="4" w:space="0" w:color="auto"/>
              <w:right w:val="single" w:sz="4" w:space="0" w:color="auto"/>
            </w:tcBorders>
            <w:shd w:val="clear" w:color="000000" w:fill="FFFFFF"/>
            <w:hideMark/>
          </w:tcPr>
          <w:p w14:paraId="3B30D44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2023. gadā Latvijas Banka uzsākusi komercbanku aizdevumu un noguldījumu likmju publicēšanu, tādējādi uzlabojot informācijas pieejamību banku klientiem, stiprinot konkurenci un veicinot klientu mobilitāti </w:t>
            </w:r>
            <w:r w:rsidRPr="00BF055E">
              <w:rPr>
                <w:rFonts w:eastAsia="Times New Roman" w:cs="Times New Roman"/>
                <w:sz w:val="18"/>
                <w:szCs w:val="18"/>
                <w:lang w:eastAsia="lv-LV"/>
              </w:rPr>
              <w:br/>
              <w:t xml:space="preserve">2) 2023. gadā pēc dialoga ar </w:t>
            </w:r>
            <w:r w:rsidRPr="00BF055E">
              <w:rPr>
                <w:rFonts w:eastAsia="Times New Roman" w:cs="Times New Roman"/>
                <w:sz w:val="18"/>
                <w:szCs w:val="18"/>
                <w:lang w:eastAsia="lv-LV"/>
              </w:rPr>
              <w:lastRenderedPageBreak/>
              <w:t xml:space="preserve">nozari LB veikusi regulējuma pārskatīšanu, veicinot nozares norādīto kreditēšanas pakalpojumu attīstības šķēršļu mazināšanu. </w:t>
            </w:r>
            <w:r w:rsidRPr="00BF055E">
              <w:rPr>
                <w:rFonts w:eastAsia="Times New Roman" w:cs="Times New Roman"/>
                <w:sz w:val="18"/>
                <w:szCs w:val="18"/>
                <w:lang w:eastAsia="lv-LV"/>
              </w:rPr>
              <w:br/>
              <w:t xml:space="preserve">3) Tiek īstenota LB iniciatīva aizdevumu refinansēšanas procesa atvieglošanā: 2023. gadā Refinansēšanas darba grupas darba rezultātā tika būtiski atvieglots hipotekāro aizdevumu refinansēšanas process (jau stājās spēkā), tādējādi būtiski veicinot klientu mobilitāti un konkurenci finanšu sektorā. 2024. gadā uzsākts  darbs pie refinansēšanas procesa atvieglošanas attiecībā uz aizdevumiem uzņēmumiem. </w:t>
            </w:r>
            <w:r w:rsidRPr="00BF055E">
              <w:rPr>
                <w:rFonts w:eastAsia="Times New Roman" w:cs="Times New Roman"/>
                <w:sz w:val="18"/>
                <w:szCs w:val="18"/>
                <w:lang w:eastAsia="lv-LV"/>
              </w:rPr>
              <w:br/>
              <w:t>4) 2024. gadā izsniegta licence jaunajam tirgus dalībniekam - “</w:t>
            </w:r>
            <w:proofErr w:type="spellStart"/>
            <w:r w:rsidRPr="00BF055E">
              <w:rPr>
                <w:rFonts w:eastAsia="Times New Roman" w:cs="Times New Roman"/>
                <w:sz w:val="18"/>
                <w:szCs w:val="18"/>
                <w:lang w:eastAsia="lv-LV"/>
              </w:rPr>
              <w:t>Indexo</w:t>
            </w:r>
            <w:proofErr w:type="spellEnd"/>
            <w:r w:rsidRPr="00BF055E">
              <w:rPr>
                <w:rFonts w:eastAsia="Times New Roman" w:cs="Times New Roman"/>
                <w:sz w:val="18"/>
                <w:szCs w:val="18"/>
                <w:lang w:eastAsia="lv-LV"/>
              </w:rPr>
              <w:t>” bankai.</w:t>
            </w:r>
            <w:r w:rsidRPr="00BF055E">
              <w:rPr>
                <w:rFonts w:eastAsia="Times New Roman" w:cs="Times New Roman"/>
                <w:sz w:val="18"/>
                <w:szCs w:val="18"/>
                <w:lang w:eastAsia="lv-LV"/>
              </w:rPr>
              <w:br/>
              <w:t xml:space="preserve">5) LB regulāri sniedz atbalstu LIAA sarunās ar potenciālajiem tirgus dalībniekiem to ienākšanai Latvijas finanšu tirgū. </w:t>
            </w:r>
            <w:r w:rsidRPr="00BF055E">
              <w:rPr>
                <w:rFonts w:eastAsia="Times New Roman" w:cs="Times New Roman"/>
                <w:sz w:val="18"/>
                <w:szCs w:val="18"/>
                <w:lang w:eastAsia="lv-LV"/>
              </w:rPr>
              <w:br/>
              <w:t xml:space="preserve">6) Maksājumu pakalpojumu jomā konkurence tiks veicināta, nodrošinot </w:t>
            </w:r>
            <w:proofErr w:type="spellStart"/>
            <w:r w:rsidRPr="00BF055E">
              <w:rPr>
                <w:rFonts w:eastAsia="Times New Roman" w:cs="Times New Roman"/>
                <w:sz w:val="18"/>
                <w:szCs w:val="18"/>
                <w:lang w:eastAsia="lv-LV"/>
              </w:rPr>
              <w:t>nebanku</w:t>
            </w:r>
            <w:proofErr w:type="spellEnd"/>
            <w:r w:rsidRPr="00BF055E">
              <w:rPr>
                <w:rFonts w:eastAsia="Times New Roman" w:cs="Times New Roman"/>
                <w:sz w:val="18"/>
                <w:szCs w:val="18"/>
                <w:lang w:eastAsia="lv-LV"/>
              </w:rPr>
              <w:t xml:space="preserve"> maksājumu pakalpojumu sniedzējiem piekļuvi CB maksājumu sistēmām </w:t>
            </w:r>
            <w:r w:rsidRPr="00BF055E">
              <w:rPr>
                <w:rFonts w:eastAsia="Times New Roman" w:cs="Times New Roman"/>
                <w:sz w:val="18"/>
                <w:szCs w:val="18"/>
                <w:lang w:eastAsia="lv-LV"/>
              </w:rPr>
              <w:br/>
              <w:t xml:space="preserve">7) LB uztur regulāru dialogu ar uzņēmējiem, t.sk. reģionos, par finansējuma pieejamību, t.sk. aicinot uzņēmējus aktīvāk izmantot arī mazo banku </w:t>
            </w:r>
            <w:r w:rsidRPr="00BF055E">
              <w:rPr>
                <w:rFonts w:eastAsia="Times New Roman" w:cs="Times New Roman"/>
                <w:sz w:val="18"/>
                <w:szCs w:val="18"/>
                <w:lang w:eastAsia="lv-LV"/>
              </w:rPr>
              <w:lastRenderedPageBreak/>
              <w:t>pakalpojumus, kas veicinās konkurenci tirgū.</w:t>
            </w:r>
          </w:p>
        </w:tc>
        <w:tc>
          <w:tcPr>
            <w:tcW w:w="1134" w:type="dxa"/>
            <w:tcBorders>
              <w:top w:val="nil"/>
              <w:left w:val="nil"/>
              <w:bottom w:val="single" w:sz="4" w:space="0" w:color="auto"/>
              <w:right w:val="single" w:sz="4" w:space="0" w:color="auto"/>
            </w:tcBorders>
            <w:shd w:val="clear" w:color="000000" w:fill="FFFFFF"/>
            <w:hideMark/>
          </w:tcPr>
          <w:p w14:paraId="5B4C581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2023-2024</w:t>
            </w:r>
          </w:p>
        </w:tc>
        <w:tc>
          <w:tcPr>
            <w:tcW w:w="1418" w:type="dxa"/>
            <w:tcBorders>
              <w:top w:val="nil"/>
              <w:left w:val="nil"/>
              <w:bottom w:val="single" w:sz="4" w:space="0" w:color="auto"/>
              <w:right w:val="single" w:sz="4" w:space="0" w:color="auto"/>
            </w:tcBorders>
            <w:shd w:val="clear" w:color="000000" w:fill="FFFFFF"/>
            <w:hideMark/>
          </w:tcPr>
          <w:p w14:paraId="1ADD7D2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3E17C7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LB</w:t>
            </w:r>
          </w:p>
        </w:tc>
        <w:tc>
          <w:tcPr>
            <w:tcW w:w="850" w:type="dxa"/>
            <w:tcBorders>
              <w:top w:val="nil"/>
              <w:left w:val="nil"/>
              <w:bottom w:val="single" w:sz="4" w:space="0" w:color="auto"/>
              <w:right w:val="single" w:sz="4" w:space="0" w:color="auto"/>
            </w:tcBorders>
            <w:shd w:val="clear" w:color="000000" w:fill="FFFFFF"/>
            <w:hideMark/>
          </w:tcPr>
          <w:p w14:paraId="3152C36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4F203F8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233225D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55E17B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64B964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17580478" w14:textId="77777777" w:rsidTr="003B1594">
        <w:trPr>
          <w:trHeight w:val="20"/>
        </w:trPr>
        <w:tc>
          <w:tcPr>
            <w:tcW w:w="1555" w:type="dxa"/>
            <w:tcBorders>
              <w:top w:val="nil"/>
              <w:left w:val="single" w:sz="4" w:space="0" w:color="auto"/>
              <w:bottom w:val="single" w:sz="4" w:space="0" w:color="auto"/>
              <w:right w:val="single" w:sz="4" w:space="0" w:color="auto"/>
            </w:tcBorders>
            <w:shd w:val="clear" w:color="000000" w:fill="FFFFFF"/>
            <w:hideMark/>
          </w:tcPr>
          <w:p w14:paraId="733F516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Par Ekonomisko lietu tiesas regulējuma izmaiņām ar mērķi uzlabot uzņēmējdarbības vidi </w:t>
            </w:r>
          </w:p>
        </w:tc>
        <w:tc>
          <w:tcPr>
            <w:tcW w:w="2268" w:type="dxa"/>
            <w:tcBorders>
              <w:top w:val="nil"/>
              <w:left w:val="nil"/>
              <w:bottom w:val="single" w:sz="4" w:space="0" w:color="auto"/>
              <w:right w:val="single" w:sz="4" w:space="0" w:color="auto"/>
            </w:tcBorders>
            <w:shd w:val="clear" w:color="000000" w:fill="FFFFFF"/>
            <w:hideMark/>
          </w:tcPr>
          <w:p w14:paraId="5F229EE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Mazināt administratīvo un regulatīvo slogu</w:t>
            </w:r>
          </w:p>
        </w:tc>
        <w:tc>
          <w:tcPr>
            <w:tcW w:w="2551" w:type="dxa"/>
            <w:tcBorders>
              <w:top w:val="nil"/>
              <w:left w:val="nil"/>
              <w:bottom w:val="single" w:sz="4" w:space="0" w:color="auto"/>
              <w:right w:val="single" w:sz="4" w:space="0" w:color="auto"/>
            </w:tcBorders>
            <w:shd w:val="clear" w:color="000000" w:fill="FFFFFF"/>
            <w:hideMark/>
          </w:tcPr>
          <w:p w14:paraId="4E35FC1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Ekonomisko lietu tiesas papildu kompetenču izvērtēšana un noteikšana kopsakarībā ar telpām un cilvēkresursu.  2) Likumprojekta “Grozījumu Civilprocesa likumā” un likumprojekta “Grozījumi Kriminālprocesa likumā” izstrāde, nosakot Ekonomisko lietu tiesas papildu kompetenci.</w:t>
            </w:r>
          </w:p>
        </w:tc>
        <w:tc>
          <w:tcPr>
            <w:tcW w:w="1134" w:type="dxa"/>
            <w:tcBorders>
              <w:top w:val="nil"/>
              <w:left w:val="nil"/>
              <w:bottom w:val="single" w:sz="4" w:space="0" w:color="auto"/>
              <w:right w:val="single" w:sz="4" w:space="0" w:color="auto"/>
            </w:tcBorders>
            <w:shd w:val="clear" w:color="000000" w:fill="FFFFFF"/>
            <w:hideMark/>
          </w:tcPr>
          <w:p w14:paraId="081432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2025.g.</w:t>
            </w:r>
          </w:p>
        </w:tc>
        <w:tc>
          <w:tcPr>
            <w:tcW w:w="1418" w:type="dxa"/>
            <w:tcBorders>
              <w:top w:val="nil"/>
              <w:left w:val="nil"/>
              <w:bottom w:val="single" w:sz="4" w:space="0" w:color="auto"/>
              <w:right w:val="single" w:sz="4" w:space="0" w:color="auto"/>
            </w:tcBorders>
            <w:shd w:val="clear" w:color="000000" w:fill="FFFFFF"/>
            <w:hideMark/>
          </w:tcPr>
          <w:p w14:paraId="09E905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Nav prognozējams, atkarīgs no </w:t>
            </w:r>
            <w:proofErr w:type="spellStart"/>
            <w:r w:rsidRPr="00BF055E">
              <w:rPr>
                <w:rFonts w:eastAsia="Times New Roman" w:cs="Times New Roman"/>
                <w:sz w:val="18"/>
                <w:szCs w:val="18"/>
                <w:lang w:eastAsia="lv-LV"/>
              </w:rPr>
              <w:t>izvērtējuma</w:t>
            </w:r>
            <w:proofErr w:type="spellEnd"/>
            <w:r w:rsidRPr="00BF055E">
              <w:rPr>
                <w:rFonts w:eastAsia="Times New Roman" w:cs="Times New Roman"/>
                <w:sz w:val="18"/>
                <w:szCs w:val="18"/>
                <w:lang w:eastAsia="lv-LV"/>
              </w:rPr>
              <w:t xml:space="preserve"> rezultātiem.</w:t>
            </w:r>
          </w:p>
        </w:tc>
        <w:tc>
          <w:tcPr>
            <w:tcW w:w="1134" w:type="dxa"/>
            <w:tcBorders>
              <w:top w:val="nil"/>
              <w:left w:val="nil"/>
              <w:bottom w:val="single" w:sz="4" w:space="0" w:color="auto"/>
              <w:right w:val="single" w:sz="4" w:space="0" w:color="auto"/>
            </w:tcBorders>
            <w:shd w:val="clear" w:color="000000" w:fill="FFFFFF"/>
            <w:hideMark/>
          </w:tcPr>
          <w:p w14:paraId="4B857D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w:t>
            </w:r>
          </w:p>
        </w:tc>
        <w:tc>
          <w:tcPr>
            <w:tcW w:w="850" w:type="dxa"/>
            <w:tcBorders>
              <w:top w:val="nil"/>
              <w:left w:val="nil"/>
              <w:bottom w:val="single" w:sz="4" w:space="0" w:color="auto"/>
              <w:right w:val="single" w:sz="4" w:space="0" w:color="auto"/>
            </w:tcBorders>
            <w:shd w:val="clear" w:color="000000" w:fill="FFFFFF"/>
            <w:hideMark/>
          </w:tcPr>
          <w:p w14:paraId="5B3274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39B287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11017E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0170AF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5B1A34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r w:rsidR="00BF055E" w:rsidRPr="00BF055E" w14:paraId="7D3224EE" w14:textId="77777777" w:rsidTr="003B1594">
        <w:trPr>
          <w:trHeight w:val="20"/>
        </w:trPr>
        <w:tc>
          <w:tcPr>
            <w:tcW w:w="1555" w:type="dxa"/>
            <w:tcBorders>
              <w:top w:val="nil"/>
              <w:left w:val="single" w:sz="4" w:space="0" w:color="auto"/>
              <w:bottom w:val="single" w:sz="4" w:space="0" w:color="auto"/>
              <w:right w:val="single" w:sz="4" w:space="0" w:color="auto"/>
            </w:tcBorders>
            <w:shd w:val="clear" w:color="000000" w:fill="FFFFFF"/>
            <w:hideMark/>
          </w:tcPr>
          <w:p w14:paraId="26B03A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Uzņēmumu reģistra modernizācija</w:t>
            </w:r>
          </w:p>
        </w:tc>
        <w:tc>
          <w:tcPr>
            <w:tcW w:w="2268" w:type="dxa"/>
            <w:tcBorders>
              <w:top w:val="nil"/>
              <w:left w:val="nil"/>
              <w:bottom w:val="single" w:sz="4" w:space="0" w:color="auto"/>
              <w:right w:val="single" w:sz="4" w:space="0" w:color="auto"/>
            </w:tcBorders>
            <w:shd w:val="clear" w:color="000000" w:fill="FFFFFF"/>
            <w:hideMark/>
          </w:tcPr>
          <w:p w14:paraId="51BC32F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Mazināt administratīvo un regulatīvo slogu</w:t>
            </w:r>
          </w:p>
        </w:tc>
        <w:tc>
          <w:tcPr>
            <w:tcW w:w="2551" w:type="dxa"/>
            <w:tcBorders>
              <w:top w:val="nil"/>
              <w:left w:val="nil"/>
              <w:bottom w:val="single" w:sz="4" w:space="0" w:color="auto"/>
              <w:right w:val="single" w:sz="4" w:space="0" w:color="auto"/>
            </w:tcBorders>
            <w:shd w:val="clear" w:color="000000" w:fill="FFFFFF"/>
            <w:hideMark/>
          </w:tcPr>
          <w:p w14:paraId="3BFD040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Tiks modernizēta Uzņēmumu reģistra datu apstrāde un pakalpojumi</w:t>
            </w:r>
          </w:p>
        </w:tc>
        <w:tc>
          <w:tcPr>
            <w:tcW w:w="1134" w:type="dxa"/>
            <w:tcBorders>
              <w:top w:val="nil"/>
              <w:left w:val="nil"/>
              <w:bottom w:val="single" w:sz="4" w:space="0" w:color="auto"/>
              <w:right w:val="single" w:sz="4" w:space="0" w:color="auto"/>
            </w:tcBorders>
            <w:shd w:val="clear" w:color="000000" w:fill="FFFFFF"/>
            <w:hideMark/>
          </w:tcPr>
          <w:p w14:paraId="748F6A0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31.05.2026.</w:t>
            </w:r>
          </w:p>
        </w:tc>
        <w:tc>
          <w:tcPr>
            <w:tcW w:w="1418" w:type="dxa"/>
            <w:tcBorders>
              <w:top w:val="nil"/>
              <w:left w:val="nil"/>
              <w:bottom w:val="single" w:sz="4" w:space="0" w:color="auto"/>
              <w:right w:val="single" w:sz="4" w:space="0" w:color="auto"/>
            </w:tcBorders>
            <w:shd w:val="clear" w:color="auto" w:fill="auto"/>
            <w:hideMark/>
          </w:tcPr>
          <w:p w14:paraId="3CE2D2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2,3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(ANM finansējums)</w:t>
            </w:r>
          </w:p>
        </w:tc>
        <w:tc>
          <w:tcPr>
            <w:tcW w:w="1134" w:type="dxa"/>
            <w:tcBorders>
              <w:top w:val="nil"/>
              <w:left w:val="nil"/>
              <w:bottom w:val="single" w:sz="4" w:space="0" w:color="auto"/>
              <w:right w:val="single" w:sz="4" w:space="0" w:color="auto"/>
            </w:tcBorders>
            <w:shd w:val="clear" w:color="000000" w:fill="FFFFFF"/>
            <w:hideMark/>
          </w:tcPr>
          <w:p w14:paraId="64A4EC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w:t>
            </w:r>
          </w:p>
        </w:tc>
        <w:tc>
          <w:tcPr>
            <w:tcW w:w="850" w:type="dxa"/>
            <w:tcBorders>
              <w:top w:val="nil"/>
              <w:left w:val="nil"/>
              <w:bottom w:val="single" w:sz="4" w:space="0" w:color="auto"/>
              <w:right w:val="single" w:sz="4" w:space="0" w:color="auto"/>
            </w:tcBorders>
            <w:shd w:val="clear" w:color="auto" w:fill="auto"/>
            <w:hideMark/>
          </w:tcPr>
          <w:p w14:paraId="261A44C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709" w:type="dxa"/>
            <w:tcBorders>
              <w:top w:val="nil"/>
              <w:left w:val="nil"/>
              <w:bottom w:val="single" w:sz="4" w:space="0" w:color="auto"/>
              <w:right w:val="single" w:sz="4" w:space="0" w:color="auto"/>
            </w:tcBorders>
            <w:shd w:val="clear" w:color="000000" w:fill="FFFFFF"/>
            <w:hideMark/>
          </w:tcPr>
          <w:p w14:paraId="58CD82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2024(3)</w:t>
            </w:r>
          </w:p>
        </w:tc>
        <w:tc>
          <w:tcPr>
            <w:tcW w:w="876" w:type="dxa"/>
            <w:tcBorders>
              <w:top w:val="nil"/>
              <w:left w:val="nil"/>
              <w:bottom w:val="single" w:sz="4" w:space="0" w:color="auto"/>
              <w:right w:val="single" w:sz="4" w:space="0" w:color="auto"/>
            </w:tcBorders>
            <w:shd w:val="clear" w:color="000000" w:fill="FFFFFF"/>
            <w:hideMark/>
          </w:tcPr>
          <w:p w14:paraId="5F1DCE4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41" w:type="dxa"/>
            <w:tcBorders>
              <w:top w:val="nil"/>
              <w:left w:val="nil"/>
              <w:bottom w:val="single" w:sz="4" w:space="0" w:color="auto"/>
              <w:right w:val="single" w:sz="4" w:space="0" w:color="auto"/>
            </w:tcBorders>
            <w:shd w:val="clear" w:color="000000" w:fill="FFFFFF"/>
            <w:hideMark/>
          </w:tcPr>
          <w:p w14:paraId="157F3B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224" w:type="dxa"/>
            <w:tcBorders>
              <w:top w:val="nil"/>
              <w:left w:val="nil"/>
              <w:bottom w:val="single" w:sz="4" w:space="0" w:color="auto"/>
              <w:right w:val="single" w:sz="4" w:space="0" w:color="auto"/>
            </w:tcBorders>
            <w:shd w:val="clear" w:color="000000" w:fill="FFFFFF"/>
            <w:hideMark/>
          </w:tcPr>
          <w:p w14:paraId="4D0969F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r>
    </w:tbl>
    <w:p w14:paraId="07BFAB43" w14:textId="77777777" w:rsidR="00BF055E" w:rsidRPr="00BF055E" w:rsidRDefault="00BF055E" w:rsidP="006357B3">
      <w:pPr>
        <w:spacing w:after="0" w:line="240" w:lineRule="auto"/>
        <w:ind w:firstLine="0"/>
        <w:rPr>
          <w:rFonts w:eastAsia="Calibri" w:cs="Times New Roman"/>
          <w:kern w:val="2"/>
          <w:szCs w:val="24"/>
          <w14:ligatures w14:val="standardContextual"/>
        </w:rPr>
      </w:pPr>
    </w:p>
    <w:p w14:paraId="5F19D2EC" w14:textId="4C995C56"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.1.7. Investīciju veicināšana</w:t>
      </w:r>
    </w:p>
    <w:p w14:paraId="502A20DB" w14:textId="02240319" w:rsidR="00D16FDC" w:rsidRPr="00D16FDC" w:rsidRDefault="00BF055E" w:rsidP="0058560C">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Šajā politikas virzienā iekļautie pasākumi ir saistīti ar aizdevumu un garantiju nodrošināšanu uzņēmumiem, atbalstu jaunu produktu un tehnoloģiju izstrādei, t.sk. investīcijām zaļās pārejas veicināšanai un inovācijai, atbalstu digitālās pārejas nodrošināšanai komercdarbībā, investīcijām uzņēmējdarbības publiskajā infrastruktūrā industriālo parku un teritoriju attīstīšanai reģionos, uzņēmējdarbības infrastruktūras uzlabošanu, pašvaldību un plānošanas reģionu administratīvās kapacitātes uzlabošanu un konkurētspējas veicināšanu lauksaimniecībā. Visi augstākminētie pasākumi tiek īstenoti ES fondu atbalsta programmu un Latvijas ANM plāna ietvaros.</w:t>
      </w:r>
    </w:p>
    <w:p w14:paraId="64736E61" w14:textId="77777777" w:rsidR="0058560C" w:rsidRDefault="0058560C">
      <w:pPr>
        <w:spacing w:after="160" w:line="259" w:lineRule="auto"/>
        <w:ind w:firstLine="0"/>
        <w:jc w:val="left"/>
        <w:rPr>
          <w:rFonts w:eastAsia="Calibri" w:cs="Times New Roman"/>
          <w:b/>
          <w:bCs/>
          <w:kern w:val="2"/>
          <w:szCs w:val="24"/>
          <w14:ligatures w14:val="standardContextual"/>
        </w:rPr>
      </w:pPr>
      <w:r>
        <w:rPr>
          <w:rFonts w:eastAsia="Calibri" w:cs="Times New Roman"/>
          <w:b/>
          <w:bCs/>
          <w:kern w:val="2"/>
          <w:szCs w:val="24"/>
          <w14:ligatures w14:val="standardContextual"/>
        </w:rPr>
        <w:br w:type="page"/>
      </w:r>
    </w:p>
    <w:p w14:paraId="2710C8BC" w14:textId="3A979672"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lastRenderedPageBreak/>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Investīciju veicināšana</w:t>
      </w:r>
    </w:p>
    <w:tbl>
      <w:tblPr>
        <w:tblW w:w="0" w:type="auto"/>
        <w:tblInd w:w="-147" w:type="dxa"/>
        <w:tblLayout w:type="fixed"/>
        <w:tblLook w:val="04A0" w:firstRow="1" w:lastRow="0" w:firstColumn="1" w:lastColumn="0" w:noHBand="0" w:noVBand="1"/>
      </w:tblPr>
      <w:tblGrid>
        <w:gridCol w:w="1418"/>
        <w:gridCol w:w="1985"/>
        <w:gridCol w:w="2551"/>
        <w:gridCol w:w="1134"/>
        <w:gridCol w:w="1701"/>
        <w:gridCol w:w="992"/>
        <w:gridCol w:w="1090"/>
        <w:gridCol w:w="776"/>
        <w:gridCol w:w="1155"/>
        <w:gridCol w:w="759"/>
        <w:gridCol w:w="1146"/>
      </w:tblGrid>
      <w:tr w:rsidR="00BF055E" w:rsidRPr="00BF055E" w14:paraId="53A55EB9" w14:textId="77777777" w:rsidTr="003B1594">
        <w:trPr>
          <w:trHeight w:val="20"/>
          <w:tblHeader/>
        </w:trPr>
        <w:tc>
          <w:tcPr>
            <w:tcW w:w="1418"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49F1A47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w:t>
            </w:r>
          </w:p>
          <w:p w14:paraId="563F771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investīcijas) nosaukums</w:t>
            </w:r>
          </w:p>
        </w:tc>
        <w:tc>
          <w:tcPr>
            <w:tcW w:w="1985" w:type="dxa"/>
            <w:tcBorders>
              <w:top w:val="single" w:sz="4" w:space="0" w:color="auto"/>
              <w:left w:val="nil"/>
              <w:bottom w:val="single" w:sz="4" w:space="0" w:color="auto"/>
              <w:right w:val="single" w:sz="4" w:space="0" w:color="auto"/>
            </w:tcBorders>
            <w:shd w:val="clear" w:color="000000" w:fill="95B3D7"/>
            <w:vAlign w:val="center"/>
            <w:hideMark/>
          </w:tcPr>
          <w:p w14:paraId="5BC7C17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551" w:type="dxa"/>
            <w:tcBorders>
              <w:top w:val="single" w:sz="4" w:space="0" w:color="auto"/>
              <w:left w:val="nil"/>
              <w:bottom w:val="single" w:sz="4" w:space="0" w:color="auto"/>
              <w:right w:val="single" w:sz="4" w:space="0" w:color="auto"/>
            </w:tcBorders>
            <w:shd w:val="clear" w:color="000000" w:fill="95B3D7"/>
            <w:vAlign w:val="center"/>
            <w:hideMark/>
          </w:tcPr>
          <w:p w14:paraId="1955902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028707A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701" w:type="dxa"/>
            <w:tcBorders>
              <w:top w:val="single" w:sz="4" w:space="0" w:color="auto"/>
              <w:left w:val="nil"/>
              <w:bottom w:val="single" w:sz="4" w:space="0" w:color="auto"/>
              <w:right w:val="single" w:sz="4" w:space="0" w:color="auto"/>
            </w:tcBorders>
            <w:shd w:val="clear" w:color="000000" w:fill="95B3D7"/>
            <w:vAlign w:val="center"/>
            <w:hideMark/>
          </w:tcPr>
          <w:p w14:paraId="113E287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992" w:type="dxa"/>
            <w:tcBorders>
              <w:top w:val="single" w:sz="4" w:space="0" w:color="auto"/>
              <w:left w:val="nil"/>
              <w:bottom w:val="single" w:sz="4" w:space="0" w:color="auto"/>
              <w:right w:val="single" w:sz="4" w:space="0" w:color="auto"/>
            </w:tcBorders>
            <w:shd w:val="clear" w:color="000000" w:fill="95B3D7"/>
            <w:vAlign w:val="center"/>
            <w:hideMark/>
          </w:tcPr>
          <w:p w14:paraId="18A3A5B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1090" w:type="dxa"/>
            <w:tcBorders>
              <w:top w:val="single" w:sz="4" w:space="0" w:color="auto"/>
              <w:left w:val="nil"/>
              <w:bottom w:val="single" w:sz="4" w:space="0" w:color="auto"/>
              <w:right w:val="single" w:sz="4" w:space="0" w:color="auto"/>
            </w:tcBorders>
            <w:shd w:val="clear" w:color="000000" w:fill="95B3D7"/>
            <w:vAlign w:val="center"/>
            <w:hideMark/>
          </w:tcPr>
          <w:p w14:paraId="591A3733"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5DC47CD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776" w:type="dxa"/>
            <w:tcBorders>
              <w:top w:val="single" w:sz="4" w:space="0" w:color="auto"/>
              <w:left w:val="nil"/>
              <w:bottom w:val="single" w:sz="4" w:space="0" w:color="auto"/>
              <w:right w:val="single" w:sz="4" w:space="0" w:color="auto"/>
            </w:tcBorders>
            <w:shd w:val="clear" w:color="000000" w:fill="95B3D7"/>
            <w:vAlign w:val="center"/>
            <w:hideMark/>
          </w:tcPr>
          <w:p w14:paraId="55F516D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1155" w:type="dxa"/>
            <w:tcBorders>
              <w:top w:val="single" w:sz="4" w:space="0" w:color="auto"/>
              <w:left w:val="nil"/>
              <w:bottom w:val="single" w:sz="4" w:space="0" w:color="auto"/>
              <w:right w:val="single" w:sz="4" w:space="0" w:color="auto"/>
            </w:tcBorders>
            <w:shd w:val="clear" w:color="000000" w:fill="95B3D7"/>
            <w:vAlign w:val="center"/>
            <w:hideMark/>
          </w:tcPr>
          <w:p w14:paraId="367B44A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759" w:type="dxa"/>
            <w:tcBorders>
              <w:top w:val="single" w:sz="4" w:space="0" w:color="auto"/>
              <w:left w:val="nil"/>
              <w:bottom w:val="single" w:sz="4" w:space="0" w:color="auto"/>
              <w:right w:val="single" w:sz="4" w:space="0" w:color="auto"/>
            </w:tcBorders>
            <w:shd w:val="clear" w:color="000000" w:fill="95B3D7"/>
            <w:vAlign w:val="center"/>
            <w:hideMark/>
          </w:tcPr>
          <w:p w14:paraId="320573C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1146" w:type="dxa"/>
            <w:tcBorders>
              <w:top w:val="single" w:sz="4" w:space="0" w:color="auto"/>
              <w:left w:val="nil"/>
              <w:bottom w:val="single" w:sz="4" w:space="0" w:color="auto"/>
              <w:right w:val="single" w:sz="4" w:space="0" w:color="auto"/>
            </w:tcBorders>
            <w:shd w:val="clear" w:color="000000" w:fill="95B3D7"/>
            <w:vAlign w:val="center"/>
            <w:hideMark/>
          </w:tcPr>
          <w:p w14:paraId="1636E96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66533694" w14:textId="77777777" w:rsidTr="003B1594">
        <w:trPr>
          <w:trHeight w:val="20"/>
          <w:tblHeader/>
        </w:trPr>
        <w:tc>
          <w:tcPr>
            <w:tcW w:w="14707"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0A2FC989"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Investīciju veicināšana</w:t>
            </w:r>
          </w:p>
        </w:tc>
      </w:tr>
      <w:tr w:rsidR="00BF055E" w:rsidRPr="00BF055E" w14:paraId="2FCB56BB"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2161B33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Produktivitātes aizdevumi inovatīviem uzņēmumiem </w:t>
            </w:r>
          </w:p>
        </w:tc>
        <w:tc>
          <w:tcPr>
            <w:tcW w:w="1985" w:type="dxa"/>
            <w:vMerge w:val="restart"/>
            <w:tcBorders>
              <w:top w:val="nil"/>
              <w:left w:val="single" w:sz="4" w:space="0" w:color="auto"/>
              <w:bottom w:val="single" w:sz="4" w:space="0" w:color="auto"/>
              <w:right w:val="single" w:sz="4" w:space="0" w:color="auto"/>
            </w:tcBorders>
            <w:shd w:val="clear" w:color="000000" w:fill="FFFFFF"/>
            <w:hideMark/>
          </w:tcPr>
          <w:p w14:paraId="3C26257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Investīciju palielināšana inovācijās</w:t>
            </w:r>
          </w:p>
        </w:tc>
        <w:tc>
          <w:tcPr>
            <w:tcW w:w="2551" w:type="dxa"/>
            <w:tcBorders>
              <w:top w:val="nil"/>
              <w:left w:val="nil"/>
              <w:bottom w:val="single" w:sz="4" w:space="0" w:color="auto"/>
              <w:right w:val="single" w:sz="4" w:space="0" w:color="auto"/>
            </w:tcBorders>
            <w:shd w:val="clear" w:color="000000" w:fill="FFFFFF"/>
            <w:hideMark/>
          </w:tcPr>
          <w:p w14:paraId="1E774A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Izstrādāts MK noteikumu projekts, kuru plānots iesniegts MK 2024.gada septembrī</w:t>
            </w:r>
          </w:p>
        </w:tc>
        <w:tc>
          <w:tcPr>
            <w:tcW w:w="1134" w:type="dxa"/>
            <w:tcBorders>
              <w:top w:val="nil"/>
              <w:left w:val="nil"/>
              <w:bottom w:val="single" w:sz="4" w:space="0" w:color="auto"/>
              <w:right w:val="single" w:sz="4" w:space="0" w:color="auto"/>
            </w:tcBorders>
            <w:shd w:val="clear" w:color="000000" w:fill="FFFFFF"/>
            <w:hideMark/>
          </w:tcPr>
          <w:p w14:paraId="6178948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2024-2029.g.</w:t>
            </w:r>
          </w:p>
        </w:tc>
        <w:tc>
          <w:tcPr>
            <w:tcW w:w="1701" w:type="dxa"/>
            <w:tcBorders>
              <w:top w:val="nil"/>
              <w:left w:val="nil"/>
              <w:bottom w:val="single" w:sz="4" w:space="0" w:color="auto"/>
              <w:right w:val="single" w:sz="4" w:space="0" w:color="auto"/>
            </w:tcBorders>
            <w:shd w:val="clear" w:color="000000" w:fill="FFFFFF"/>
            <w:hideMark/>
          </w:tcPr>
          <w:p w14:paraId="69E6FC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68,23 milj. (ES fondi)</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5D6DAA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1090" w:type="dxa"/>
            <w:vMerge w:val="restart"/>
            <w:tcBorders>
              <w:top w:val="nil"/>
              <w:left w:val="single" w:sz="4" w:space="0" w:color="auto"/>
              <w:bottom w:val="single" w:sz="4" w:space="0" w:color="auto"/>
              <w:right w:val="single" w:sz="4" w:space="0" w:color="auto"/>
            </w:tcBorders>
            <w:shd w:val="clear" w:color="auto" w:fill="auto"/>
            <w:hideMark/>
          </w:tcPr>
          <w:p w14:paraId="5331C0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p w14:paraId="36B288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776" w:type="dxa"/>
            <w:vMerge w:val="restart"/>
            <w:tcBorders>
              <w:top w:val="nil"/>
              <w:left w:val="single" w:sz="4" w:space="0" w:color="auto"/>
              <w:bottom w:val="single" w:sz="4" w:space="0" w:color="auto"/>
              <w:right w:val="single" w:sz="4" w:space="0" w:color="auto"/>
            </w:tcBorders>
            <w:shd w:val="clear" w:color="000000" w:fill="FFFFFF"/>
            <w:hideMark/>
          </w:tcPr>
          <w:p w14:paraId="7A1D121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2022(3); 2023(3); 2024(3)</w:t>
            </w:r>
          </w:p>
        </w:tc>
        <w:tc>
          <w:tcPr>
            <w:tcW w:w="1155" w:type="dxa"/>
            <w:vMerge w:val="restart"/>
            <w:tcBorders>
              <w:top w:val="nil"/>
              <w:left w:val="single" w:sz="4" w:space="0" w:color="auto"/>
              <w:bottom w:val="single" w:sz="4" w:space="0" w:color="auto"/>
              <w:right w:val="single" w:sz="4" w:space="0" w:color="auto"/>
            </w:tcBorders>
            <w:shd w:val="clear" w:color="000000" w:fill="FFFFFF"/>
            <w:hideMark/>
          </w:tcPr>
          <w:p w14:paraId="484C97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759" w:type="dxa"/>
            <w:vMerge w:val="restart"/>
            <w:tcBorders>
              <w:top w:val="nil"/>
              <w:left w:val="single" w:sz="4" w:space="0" w:color="auto"/>
              <w:bottom w:val="single" w:sz="4" w:space="0" w:color="auto"/>
              <w:right w:val="single" w:sz="4" w:space="0" w:color="auto"/>
            </w:tcBorders>
            <w:shd w:val="clear" w:color="000000" w:fill="FFFFFF"/>
            <w:hideMark/>
          </w:tcPr>
          <w:p w14:paraId="3D6B9F8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46" w:type="dxa"/>
            <w:vMerge w:val="restart"/>
            <w:tcBorders>
              <w:top w:val="nil"/>
              <w:left w:val="single" w:sz="4" w:space="0" w:color="auto"/>
              <w:bottom w:val="single" w:sz="4" w:space="0" w:color="auto"/>
              <w:right w:val="single" w:sz="4" w:space="0" w:color="auto"/>
            </w:tcBorders>
            <w:shd w:val="clear" w:color="000000" w:fill="FFFFFF"/>
            <w:hideMark/>
          </w:tcPr>
          <w:p w14:paraId="64D3E3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1A740491" w14:textId="77777777" w:rsidTr="003B1594">
        <w:trPr>
          <w:trHeight w:val="20"/>
        </w:trPr>
        <w:tc>
          <w:tcPr>
            <w:tcW w:w="1418" w:type="dxa"/>
            <w:vMerge w:val="restart"/>
            <w:tcBorders>
              <w:top w:val="nil"/>
              <w:left w:val="single" w:sz="4" w:space="0" w:color="auto"/>
              <w:bottom w:val="single" w:sz="4" w:space="0" w:color="auto"/>
              <w:right w:val="single" w:sz="4" w:space="0" w:color="auto"/>
            </w:tcBorders>
            <w:shd w:val="clear" w:color="000000" w:fill="FFFFFF"/>
            <w:hideMark/>
          </w:tcPr>
          <w:p w14:paraId="26CB04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Atbalsts jaunu produktu un tehnoloģiju izstrādei </w:t>
            </w:r>
          </w:p>
        </w:tc>
        <w:tc>
          <w:tcPr>
            <w:tcW w:w="1985" w:type="dxa"/>
            <w:vMerge/>
            <w:tcBorders>
              <w:top w:val="nil"/>
              <w:left w:val="single" w:sz="4" w:space="0" w:color="auto"/>
              <w:bottom w:val="single" w:sz="4" w:space="0" w:color="auto"/>
              <w:right w:val="single" w:sz="4" w:space="0" w:color="auto"/>
            </w:tcBorders>
            <w:vAlign w:val="center"/>
            <w:hideMark/>
          </w:tcPr>
          <w:p w14:paraId="5573927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4DC5E26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Apstiprināti 2024. gada 9. janvāra MK noteikumi Nr.32, kā ietvaros noslēgti 8 līgumi ar finansējuma saņēmējiem</w:t>
            </w:r>
          </w:p>
        </w:tc>
        <w:tc>
          <w:tcPr>
            <w:tcW w:w="1134" w:type="dxa"/>
            <w:tcBorders>
              <w:top w:val="nil"/>
              <w:left w:val="nil"/>
              <w:bottom w:val="single" w:sz="4" w:space="0" w:color="auto"/>
              <w:right w:val="single" w:sz="4" w:space="0" w:color="auto"/>
            </w:tcBorders>
            <w:shd w:val="clear" w:color="000000" w:fill="FFFFFF"/>
            <w:hideMark/>
          </w:tcPr>
          <w:p w14:paraId="3B8B4B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2024.-2026.g. </w:t>
            </w:r>
            <w:proofErr w:type="spellStart"/>
            <w:r w:rsidRPr="00BF055E">
              <w:rPr>
                <w:rFonts w:eastAsia="Times New Roman" w:cs="Times New Roman"/>
                <w:sz w:val="18"/>
                <w:szCs w:val="18"/>
                <w:lang w:eastAsia="lv-LV"/>
              </w:rPr>
              <w:t>II.cet</w:t>
            </w:r>
            <w:proofErr w:type="spellEnd"/>
            <w:r w:rsidRPr="00BF055E">
              <w:rPr>
                <w:rFonts w:eastAsia="Times New Roman" w:cs="Times New Roman"/>
                <w:sz w:val="18"/>
                <w:szCs w:val="18"/>
                <w:lang w:eastAsia="lv-LV"/>
              </w:rPr>
              <w:t xml:space="preserve">. </w:t>
            </w:r>
          </w:p>
        </w:tc>
        <w:tc>
          <w:tcPr>
            <w:tcW w:w="1701" w:type="dxa"/>
            <w:tcBorders>
              <w:top w:val="nil"/>
              <w:left w:val="nil"/>
              <w:bottom w:val="single" w:sz="4" w:space="0" w:color="auto"/>
              <w:right w:val="single" w:sz="4" w:space="0" w:color="auto"/>
            </w:tcBorders>
            <w:shd w:val="clear" w:color="auto" w:fill="auto"/>
            <w:hideMark/>
          </w:tcPr>
          <w:p w14:paraId="69E515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47,6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(ANM finansējums)</w:t>
            </w:r>
          </w:p>
        </w:tc>
        <w:tc>
          <w:tcPr>
            <w:tcW w:w="992" w:type="dxa"/>
            <w:vMerge/>
            <w:tcBorders>
              <w:top w:val="nil"/>
              <w:left w:val="single" w:sz="4" w:space="0" w:color="auto"/>
              <w:bottom w:val="single" w:sz="4" w:space="0" w:color="auto"/>
              <w:right w:val="single" w:sz="4" w:space="0" w:color="auto"/>
            </w:tcBorders>
            <w:vAlign w:val="center"/>
            <w:hideMark/>
          </w:tcPr>
          <w:p w14:paraId="146D540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090" w:type="dxa"/>
            <w:vMerge/>
            <w:tcBorders>
              <w:top w:val="nil"/>
              <w:left w:val="single" w:sz="4" w:space="0" w:color="auto"/>
              <w:bottom w:val="single" w:sz="4" w:space="0" w:color="auto"/>
              <w:right w:val="single" w:sz="4" w:space="0" w:color="auto"/>
            </w:tcBorders>
            <w:vAlign w:val="center"/>
            <w:hideMark/>
          </w:tcPr>
          <w:p w14:paraId="413D5C3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76" w:type="dxa"/>
            <w:vMerge/>
            <w:tcBorders>
              <w:top w:val="nil"/>
              <w:left w:val="single" w:sz="4" w:space="0" w:color="auto"/>
              <w:bottom w:val="single" w:sz="4" w:space="0" w:color="auto"/>
              <w:right w:val="single" w:sz="4" w:space="0" w:color="auto"/>
            </w:tcBorders>
            <w:vAlign w:val="center"/>
            <w:hideMark/>
          </w:tcPr>
          <w:p w14:paraId="6A07BBB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45B9407C"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6EEBA930"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61C695F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656B5F39" w14:textId="77777777" w:rsidTr="003B1594">
        <w:trPr>
          <w:trHeight w:val="20"/>
        </w:trPr>
        <w:tc>
          <w:tcPr>
            <w:tcW w:w="1418" w:type="dxa"/>
            <w:vMerge/>
            <w:tcBorders>
              <w:top w:val="nil"/>
              <w:left w:val="single" w:sz="4" w:space="0" w:color="auto"/>
              <w:bottom w:val="single" w:sz="4" w:space="0" w:color="auto"/>
              <w:right w:val="single" w:sz="4" w:space="0" w:color="auto"/>
            </w:tcBorders>
            <w:vAlign w:val="center"/>
            <w:hideMark/>
          </w:tcPr>
          <w:p w14:paraId="6FDFEE5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985" w:type="dxa"/>
            <w:vMerge/>
            <w:tcBorders>
              <w:top w:val="nil"/>
              <w:left w:val="single" w:sz="4" w:space="0" w:color="auto"/>
              <w:bottom w:val="single" w:sz="4" w:space="0" w:color="auto"/>
              <w:right w:val="single" w:sz="4" w:space="0" w:color="auto"/>
            </w:tcBorders>
            <w:vAlign w:val="center"/>
            <w:hideMark/>
          </w:tcPr>
          <w:p w14:paraId="7CC84EC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2B8254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Saskaņošanas procesā  ir ERAF 1.2.1.1.pasākums "Produktivitātes aizdevumi uzņēmumu inovācijām", kā ietvaros atbalsts būs pieejams no 2025.gada sākuma. </w:t>
            </w:r>
          </w:p>
        </w:tc>
        <w:tc>
          <w:tcPr>
            <w:tcW w:w="1134" w:type="dxa"/>
            <w:tcBorders>
              <w:top w:val="nil"/>
              <w:left w:val="nil"/>
              <w:bottom w:val="single" w:sz="4" w:space="0" w:color="auto"/>
              <w:right w:val="single" w:sz="4" w:space="0" w:color="auto"/>
            </w:tcBorders>
            <w:shd w:val="clear" w:color="000000" w:fill="FFFFFF"/>
            <w:hideMark/>
          </w:tcPr>
          <w:p w14:paraId="41FA0F5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2025-2029.g.</w:t>
            </w:r>
          </w:p>
        </w:tc>
        <w:tc>
          <w:tcPr>
            <w:tcW w:w="1701" w:type="dxa"/>
            <w:tcBorders>
              <w:top w:val="nil"/>
              <w:left w:val="nil"/>
              <w:bottom w:val="single" w:sz="4" w:space="0" w:color="auto"/>
              <w:right w:val="single" w:sz="4" w:space="0" w:color="auto"/>
            </w:tcBorders>
            <w:shd w:val="clear" w:color="auto" w:fill="auto"/>
            <w:hideMark/>
          </w:tcPr>
          <w:p w14:paraId="312C0C7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32 </w:t>
            </w:r>
            <w:proofErr w:type="spellStart"/>
            <w:r w:rsidRPr="00BF055E">
              <w:rPr>
                <w:rFonts w:eastAsia="Times New Roman" w:cs="Times New Roman"/>
                <w:sz w:val="18"/>
                <w:szCs w:val="18"/>
                <w:lang w:eastAsia="lv-LV"/>
              </w:rPr>
              <w:t>milj.</w:t>
            </w:r>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(ES fondi)</w:t>
            </w:r>
          </w:p>
        </w:tc>
        <w:tc>
          <w:tcPr>
            <w:tcW w:w="992" w:type="dxa"/>
            <w:vMerge/>
            <w:tcBorders>
              <w:top w:val="nil"/>
              <w:left w:val="single" w:sz="4" w:space="0" w:color="auto"/>
              <w:bottom w:val="single" w:sz="4" w:space="0" w:color="auto"/>
              <w:right w:val="single" w:sz="4" w:space="0" w:color="auto"/>
            </w:tcBorders>
            <w:vAlign w:val="center"/>
            <w:hideMark/>
          </w:tcPr>
          <w:p w14:paraId="01E64AF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090" w:type="dxa"/>
            <w:vMerge/>
            <w:tcBorders>
              <w:top w:val="nil"/>
              <w:left w:val="single" w:sz="4" w:space="0" w:color="auto"/>
              <w:bottom w:val="single" w:sz="4" w:space="0" w:color="auto"/>
              <w:right w:val="single" w:sz="4" w:space="0" w:color="auto"/>
            </w:tcBorders>
            <w:vAlign w:val="center"/>
            <w:hideMark/>
          </w:tcPr>
          <w:p w14:paraId="7AD64EC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76" w:type="dxa"/>
            <w:vMerge/>
            <w:tcBorders>
              <w:top w:val="nil"/>
              <w:left w:val="single" w:sz="4" w:space="0" w:color="auto"/>
              <w:bottom w:val="single" w:sz="4" w:space="0" w:color="auto"/>
              <w:right w:val="single" w:sz="4" w:space="0" w:color="auto"/>
            </w:tcBorders>
            <w:vAlign w:val="center"/>
            <w:hideMark/>
          </w:tcPr>
          <w:p w14:paraId="0A99F85A"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4FD95210"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5F2E009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02D94CFE"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76AC873A"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6330FB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Atbalsts jaunu produktu un tehnoloģiju izstrādei </w:t>
            </w:r>
          </w:p>
        </w:tc>
        <w:tc>
          <w:tcPr>
            <w:tcW w:w="1985" w:type="dxa"/>
            <w:tcBorders>
              <w:top w:val="nil"/>
              <w:left w:val="nil"/>
              <w:bottom w:val="single" w:sz="4" w:space="0" w:color="auto"/>
              <w:right w:val="single" w:sz="4" w:space="0" w:color="auto"/>
            </w:tcBorders>
            <w:shd w:val="clear" w:color="000000" w:fill="FFFFFF"/>
            <w:hideMark/>
          </w:tcPr>
          <w:p w14:paraId="6926AC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zaļās pārejas veicināšanai</w:t>
            </w:r>
          </w:p>
        </w:tc>
        <w:tc>
          <w:tcPr>
            <w:tcW w:w="2551" w:type="dxa"/>
            <w:tcBorders>
              <w:top w:val="nil"/>
              <w:left w:val="nil"/>
              <w:bottom w:val="single" w:sz="4" w:space="0" w:color="auto"/>
              <w:right w:val="single" w:sz="4" w:space="0" w:color="auto"/>
            </w:tcBorders>
            <w:shd w:val="clear" w:color="000000" w:fill="FFFFFF"/>
            <w:hideMark/>
          </w:tcPr>
          <w:p w14:paraId="0BB0613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2024.gada 9.janvārī apstiprināti ANM  MK noteikumi Nr.33. Pasākuma ietvaros CFLA atklāta konkursa rezultātā noslēdza līgumu ar 9 finansējuma saņēmējiem. </w:t>
            </w:r>
          </w:p>
        </w:tc>
        <w:tc>
          <w:tcPr>
            <w:tcW w:w="1134" w:type="dxa"/>
            <w:tcBorders>
              <w:top w:val="nil"/>
              <w:left w:val="nil"/>
              <w:bottom w:val="single" w:sz="4" w:space="0" w:color="auto"/>
              <w:right w:val="single" w:sz="4" w:space="0" w:color="auto"/>
            </w:tcBorders>
            <w:shd w:val="clear" w:color="000000" w:fill="FFFFFF"/>
            <w:hideMark/>
          </w:tcPr>
          <w:p w14:paraId="088ED34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2024.-2026.g. </w:t>
            </w:r>
            <w:proofErr w:type="spellStart"/>
            <w:r w:rsidRPr="00BF055E">
              <w:rPr>
                <w:rFonts w:eastAsia="Times New Roman" w:cs="Times New Roman"/>
                <w:sz w:val="18"/>
                <w:szCs w:val="18"/>
                <w:lang w:eastAsia="lv-LV"/>
              </w:rPr>
              <w:t>II.cet</w:t>
            </w:r>
            <w:proofErr w:type="spellEnd"/>
            <w:r w:rsidRPr="00BF055E">
              <w:rPr>
                <w:rFonts w:eastAsia="Times New Roman" w:cs="Times New Roman"/>
                <w:sz w:val="18"/>
                <w:szCs w:val="18"/>
                <w:lang w:eastAsia="lv-LV"/>
              </w:rPr>
              <w:t xml:space="preserve">. </w:t>
            </w:r>
          </w:p>
        </w:tc>
        <w:tc>
          <w:tcPr>
            <w:tcW w:w="1701" w:type="dxa"/>
            <w:tcBorders>
              <w:top w:val="nil"/>
              <w:left w:val="nil"/>
              <w:bottom w:val="single" w:sz="4" w:space="0" w:color="auto"/>
              <w:right w:val="single" w:sz="4" w:space="0" w:color="auto"/>
            </w:tcBorders>
            <w:shd w:val="clear" w:color="auto" w:fill="auto"/>
            <w:hideMark/>
          </w:tcPr>
          <w:p w14:paraId="6A4CF3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40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(ANM finansējums) </w:t>
            </w:r>
          </w:p>
        </w:tc>
        <w:tc>
          <w:tcPr>
            <w:tcW w:w="992" w:type="dxa"/>
            <w:tcBorders>
              <w:top w:val="nil"/>
              <w:left w:val="nil"/>
              <w:bottom w:val="single" w:sz="4" w:space="0" w:color="auto"/>
              <w:right w:val="single" w:sz="4" w:space="0" w:color="auto"/>
            </w:tcBorders>
            <w:shd w:val="clear" w:color="000000" w:fill="FFFFFF"/>
            <w:hideMark/>
          </w:tcPr>
          <w:p w14:paraId="252C673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1090" w:type="dxa"/>
            <w:tcBorders>
              <w:top w:val="nil"/>
              <w:left w:val="nil"/>
              <w:bottom w:val="single" w:sz="4" w:space="0" w:color="auto"/>
              <w:right w:val="single" w:sz="4" w:space="0" w:color="auto"/>
            </w:tcBorders>
            <w:shd w:val="clear" w:color="auto" w:fill="auto"/>
            <w:hideMark/>
          </w:tcPr>
          <w:p w14:paraId="337FC9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776" w:type="dxa"/>
            <w:vMerge w:val="restart"/>
            <w:tcBorders>
              <w:top w:val="nil"/>
              <w:left w:val="single" w:sz="4" w:space="0" w:color="auto"/>
              <w:bottom w:val="single" w:sz="4" w:space="0" w:color="auto"/>
              <w:right w:val="single" w:sz="4" w:space="0" w:color="auto"/>
            </w:tcBorders>
            <w:shd w:val="clear" w:color="000000" w:fill="FFFFFF"/>
            <w:hideMark/>
          </w:tcPr>
          <w:p w14:paraId="4874230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2022(3); 2023(3); 2024(3); 2024(4)</w:t>
            </w:r>
          </w:p>
        </w:tc>
        <w:tc>
          <w:tcPr>
            <w:tcW w:w="1155" w:type="dxa"/>
            <w:vMerge w:val="restart"/>
            <w:tcBorders>
              <w:top w:val="nil"/>
              <w:left w:val="single" w:sz="4" w:space="0" w:color="auto"/>
              <w:bottom w:val="single" w:sz="4" w:space="0" w:color="auto"/>
              <w:right w:val="single" w:sz="4" w:space="0" w:color="auto"/>
            </w:tcBorders>
            <w:shd w:val="clear" w:color="000000" w:fill="FFFFFF"/>
            <w:hideMark/>
          </w:tcPr>
          <w:p w14:paraId="2A6FDD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759" w:type="dxa"/>
            <w:vMerge w:val="restart"/>
            <w:tcBorders>
              <w:top w:val="nil"/>
              <w:left w:val="single" w:sz="4" w:space="0" w:color="auto"/>
              <w:bottom w:val="single" w:sz="4" w:space="0" w:color="auto"/>
              <w:right w:val="single" w:sz="4" w:space="0" w:color="auto"/>
            </w:tcBorders>
            <w:shd w:val="clear" w:color="000000" w:fill="FFFFFF"/>
            <w:hideMark/>
          </w:tcPr>
          <w:p w14:paraId="2090F5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46" w:type="dxa"/>
            <w:vMerge w:val="restart"/>
            <w:tcBorders>
              <w:top w:val="nil"/>
              <w:left w:val="single" w:sz="4" w:space="0" w:color="auto"/>
              <w:bottom w:val="single" w:sz="4" w:space="0" w:color="auto"/>
              <w:right w:val="single" w:sz="4" w:space="0" w:color="auto"/>
            </w:tcBorders>
            <w:shd w:val="clear" w:color="000000" w:fill="FFFFFF"/>
            <w:hideMark/>
          </w:tcPr>
          <w:p w14:paraId="742626D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64CDAAE0" w14:textId="77777777" w:rsidTr="003B1594">
        <w:trPr>
          <w:trHeight w:val="20"/>
        </w:trPr>
        <w:tc>
          <w:tcPr>
            <w:tcW w:w="1418" w:type="dxa"/>
            <w:vMerge w:val="restart"/>
            <w:tcBorders>
              <w:top w:val="nil"/>
              <w:left w:val="single" w:sz="4" w:space="0" w:color="auto"/>
              <w:bottom w:val="single" w:sz="4" w:space="0" w:color="auto"/>
              <w:right w:val="single" w:sz="4" w:space="0" w:color="auto"/>
            </w:tcBorders>
            <w:shd w:val="clear" w:color="000000" w:fill="FFFFFF"/>
            <w:hideMark/>
          </w:tcPr>
          <w:p w14:paraId="53CCB1C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Atbalsts procesu </w:t>
            </w:r>
            <w:proofErr w:type="spellStart"/>
            <w:r w:rsidRPr="00BF055E">
              <w:rPr>
                <w:rFonts w:eastAsia="Times New Roman" w:cs="Times New Roman"/>
                <w:sz w:val="18"/>
                <w:szCs w:val="18"/>
                <w:lang w:eastAsia="lv-LV"/>
              </w:rPr>
              <w:t>digitalizācijai</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sz w:val="18"/>
                <w:szCs w:val="18"/>
                <w:lang w:eastAsia="lv-LV"/>
              </w:rPr>
              <w:t>komerdarbībā</w:t>
            </w:r>
            <w:proofErr w:type="spellEnd"/>
          </w:p>
        </w:tc>
        <w:tc>
          <w:tcPr>
            <w:tcW w:w="1985" w:type="dxa"/>
            <w:vMerge w:val="restart"/>
            <w:tcBorders>
              <w:top w:val="nil"/>
              <w:left w:val="single" w:sz="4" w:space="0" w:color="auto"/>
              <w:bottom w:val="single" w:sz="4" w:space="0" w:color="auto"/>
              <w:right w:val="single" w:sz="4" w:space="0" w:color="auto"/>
            </w:tcBorders>
            <w:shd w:val="clear" w:color="000000" w:fill="FFFFFF"/>
            <w:hideMark/>
          </w:tcPr>
          <w:p w14:paraId="6ECD2D4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digitālās pārkārtošanas veicināšanai</w:t>
            </w:r>
          </w:p>
        </w:tc>
        <w:tc>
          <w:tcPr>
            <w:tcW w:w="2551" w:type="dxa"/>
            <w:tcBorders>
              <w:top w:val="nil"/>
              <w:left w:val="nil"/>
              <w:bottom w:val="single" w:sz="4" w:space="0" w:color="auto"/>
              <w:right w:val="single" w:sz="4" w:space="0" w:color="auto"/>
            </w:tcBorders>
            <w:shd w:val="clear" w:color="000000" w:fill="FFFFFF"/>
            <w:hideMark/>
          </w:tcPr>
          <w:p w14:paraId="504F05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atbalsta programmai atbalsts komersantu procesu </w:t>
            </w:r>
            <w:proofErr w:type="spellStart"/>
            <w:r w:rsidRPr="00BF055E">
              <w:rPr>
                <w:rFonts w:eastAsia="Times New Roman" w:cs="Times New Roman"/>
                <w:sz w:val="18"/>
                <w:szCs w:val="18"/>
                <w:lang w:eastAsia="lv-LV"/>
              </w:rPr>
              <w:t>digitalizācijai</w:t>
            </w:r>
            <w:proofErr w:type="spellEnd"/>
            <w:r w:rsidRPr="00BF055E">
              <w:rPr>
                <w:rFonts w:eastAsia="Times New Roman" w:cs="Times New Roman"/>
                <w:sz w:val="18"/>
                <w:szCs w:val="18"/>
                <w:lang w:eastAsia="lv-LV"/>
              </w:rPr>
              <w:t xml:space="preserve"> 10.01.2023. apstiprināti MK noteikumi Nr. 10. Atbalsts komersantiem ir pieejams. </w:t>
            </w:r>
            <w:r w:rsidRPr="00BF055E">
              <w:rPr>
                <w:rFonts w:eastAsia="Times New Roman" w:cs="Times New Roman"/>
                <w:sz w:val="18"/>
                <w:szCs w:val="18"/>
                <w:lang w:eastAsia="lv-LV"/>
              </w:rPr>
              <w:br/>
              <w:t xml:space="preserve">2021-2027.gada plānošanas perioda  ietvaros atbalsta programma komersantu </w:t>
            </w:r>
            <w:proofErr w:type="spellStart"/>
            <w:r w:rsidRPr="00BF055E">
              <w:rPr>
                <w:rFonts w:eastAsia="Times New Roman" w:cs="Times New Roman"/>
                <w:sz w:val="18"/>
                <w:szCs w:val="18"/>
                <w:lang w:eastAsia="lv-LV"/>
              </w:rPr>
              <w:t>digitalizācijas</w:t>
            </w:r>
            <w:proofErr w:type="spellEnd"/>
            <w:r w:rsidRPr="00BF055E">
              <w:rPr>
                <w:rFonts w:eastAsia="Times New Roman" w:cs="Times New Roman"/>
                <w:sz w:val="18"/>
                <w:szCs w:val="18"/>
                <w:lang w:eastAsia="lv-LV"/>
              </w:rPr>
              <w:t xml:space="preserve"> veicināšanai ir izstrādāta un šobrīd atrodas starpinstitūciju saskaņošanā. </w:t>
            </w:r>
          </w:p>
        </w:tc>
        <w:tc>
          <w:tcPr>
            <w:tcW w:w="1134" w:type="dxa"/>
            <w:tcBorders>
              <w:top w:val="nil"/>
              <w:left w:val="nil"/>
              <w:bottom w:val="single" w:sz="4" w:space="0" w:color="auto"/>
              <w:right w:val="single" w:sz="4" w:space="0" w:color="auto"/>
            </w:tcBorders>
            <w:shd w:val="clear" w:color="000000" w:fill="FFFFFF"/>
            <w:hideMark/>
          </w:tcPr>
          <w:p w14:paraId="028026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finansējums pieejams no 2023.-2026.g. </w:t>
            </w:r>
            <w:proofErr w:type="spellStart"/>
            <w:r w:rsidRPr="00BF055E">
              <w:rPr>
                <w:rFonts w:eastAsia="Times New Roman" w:cs="Times New Roman"/>
                <w:sz w:val="18"/>
                <w:szCs w:val="18"/>
                <w:lang w:eastAsia="lv-LV"/>
              </w:rPr>
              <w:t>II.cet</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ES fondu finansējums pieejams no 2024.-2029.g.</w:t>
            </w:r>
          </w:p>
        </w:tc>
        <w:tc>
          <w:tcPr>
            <w:tcW w:w="1701" w:type="dxa"/>
            <w:tcBorders>
              <w:top w:val="nil"/>
              <w:left w:val="nil"/>
              <w:bottom w:val="single" w:sz="4" w:space="0" w:color="auto"/>
              <w:right w:val="single" w:sz="4" w:space="0" w:color="auto"/>
            </w:tcBorders>
            <w:shd w:val="clear" w:color="000000" w:fill="FFFFFF"/>
            <w:hideMark/>
          </w:tcPr>
          <w:p w14:paraId="095676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40 milj. (ANM finansējums)</w:t>
            </w:r>
            <w:r w:rsidRPr="00BF055E">
              <w:rPr>
                <w:rFonts w:eastAsia="Times New Roman" w:cs="Times New Roman"/>
                <w:sz w:val="18"/>
                <w:szCs w:val="18"/>
                <w:lang w:eastAsia="lv-LV"/>
              </w:rPr>
              <w:br/>
              <w:t>27,6 milj. (ES fondi)</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54FEBE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1090" w:type="dxa"/>
            <w:vMerge w:val="restart"/>
            <w:tcBorders>
              <w:top w:val="nil"/>
              <w:left w:val="single" w:sz="4" w:space="0" w:color="auto"/>
              <w:bottom w:val="single" w:sz="4" w:space="0" w:color="auto"/>
              <w:right w:val="single" w:sz="4" w:space="0" w:color="auto"/>
            </w:tcBorders>
            <w:shd w:val="clear" w:color="auto" w:fill="auto"/>
            <w:hideMark/>
          </w:tcPr>
          <w:p w14:paraId="4BCE2FC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776" w:type="dxa"/>
            <w:vMerge/>
            <w:tcBorders>
              <w:top w:val="nil"/>
              <w:left w:val="single" w:sz="4" w:space="0" w:color="auto"/>
              <w:bottom w:val="single" w:sz="4" w:space="0" w:color="auto"/>
              <w:right w:val="single" w:sz="4" w:space="0" w:color="auto"/>
            </w:tcBorders>
            <w:vAlign w:val="center"/>
            <w:hideMark/>
          </w:tcPr>
          <w:p w14:paraId="400B331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08B3DEB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7774A2EB"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509AFC4B"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075FFA65" w14:textId="77777777" w:rsidTr="003B1594">
        <w:trPr>
          <w:trHeight w:val="20"/>
        </w:trPr>
        <w:tc>
          <w:tcPr>
            <w:tcW w:w="1418" w:type="dxa"/>
            <w:vMerge/>
            <w:tcBorders>
              <w:top w:val="nil"/>
              <w:left w:val="single" w:sz="4" w:space="0" w:color="auto"/>
              <w:bottom w:val="single" w:sz="4" w:space="0" w:color="auto"/>
              <w:right w:val="single" w:sz="4" w:space="0" w:color="auto"/>
            </w:tcBorders>
            <w:vAlign w:val="center"/>
            <w:hideMark/>
          </w:tcPr>
          <w:p w14:paraId="4121473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985" w:type="dxa"/>
            <w:vMerge/>
            <w:tcBorders>
              <w:top w:val="nil"/>
              <w:left w:val="single" w:sz="4" w:space="0" w:color="auto"/>
              <w:bottom w:val="single" w:sz="4" w:space="0" w:color="auto"/>
              <w:right w:val="single" w:sz="4" w:space="0" w:color="auto"/>
            </w:tcBorders>
            <w:vAlign w:val="center"/>
            <w:hideMark/>
          </w:tcPr>
          <w:p w14:paraId="34B5DBC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3FBD30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atbalsta programmai aizdevumi </w:t>
            </w:r>
            <w:proofErr w:type="spellStart"/>
            <w:r w:rsidRPr="00BF055E">
              <w:rPr>
                <w:rFonts w:eastAsia="Times New Roman" w:cs="Times New Roman"/>
                <w:sz w:val="18"/>
                <w:szCs w:val="18"/>
                <w:lang w:eastAsia="lv-LV"/>
              </w:rPr>
              <w:t>digitalizācijai</w:t>
            </w:r>
            <w:proofErr w:type="spellEnd"/>
            <w:r w:rsidRPr="00BF055E">
              <w:rPr>
                <w:rFonts w:eastAsia="Times New Roman" w:cs="Times New Roman"/>
                <w:sz w:val="18"/>
                <w:szCs w:val="18"/>
                <w:lang w:eastAsia="lv-LV"/>
              </w:rPr>
              <w:t xml:space="preserve"> 05.07.2022. ir apstiprināti MK </w:t>
            </w:r>
            <w:r w:rsidRPr="00BF055E">
              <w:rPr>
                <w:rFonts w:eastAsia="Times New Roman" w:cs="Times New Roman"/>
                <w:sz w:val="18"/>
                <w:szCs w:val="18"/>
                <w:lang w:eastAsia="lv-LV"/>
              </w:rPr>
              <w:lastRenderedPageBreak/>
              <w:t xml:space="preserve">noteikumi Nr.421. Atbalsts komersantiem ir pieejams. </w:t>
            </w:r>
          </w:p>
        </w:tc>
        <w:tc>
          <w:tcPr>
            <w:tcW w:w="1134" w:type="dxa"/>
            <w:tcBorders>
              <w:top w:val="nil"/>
              <w:left w:val="nil"/>
              <w:bottom w:val="single" w:sz="4" w:space="0" w:color="auto"/>
              <w:right w:val="single" w:sz="4" w:space="0" w:color="auto"/>
            </w:tcBorders>
            <w:shd w:val="clear" w:color="000000" w:fill="FFFFFF"/>
            <w:hideMark/>
          </w:tcPr>
          <w:p w14:paraId="57EBCC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2023.-2026.g.II.cet.</w:t>
            </w:r>
          </w:p>
        </w:tc>
        <w:tc>
          <w:tcPr>
            <w:tcW w:w="1701" w:type="dxa"/>
            <w:tcBorders>
              <w:top w:val="nil"/>
              <w:left w:val="nil"/>
              <w:bottom w:val="single" w:sz="4" w:space="0" w:color="auto"/>
              <w:right w:val="single" w:sz="4" w:space="0" w:color="auto"/>
            </w:tcBorders>
            <w:shd w:val="clear" w:color="000000" w:fill="FFFFFF"/>
            <w:hideMark/>
          </w:tcPr>
          <w:p w14:paraId="0BFF46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45,14 milj. ANM finansējums</w:t>
            </w:r>
          </w:p>
        </w:tc>
        <w:tc>
          <w:tcPr>
            <w:tcW w:w="992" w:type="dxa"/>
            <w:vMerge/>
            <w:tcBorders>
              <w:top w:val="nil"/>
              <w:left w:val="single" w:sz="4" w:space="0" w:color="auto"/>
              <w:bottom w:val="single" w:sz="4" w:space="0" w:color="auto"/>
              <w:right w:val="single" w:sz="4" w:space="0" w:color="auto"/>
            </w:tcBorders>
            <w:vAlign w:val="center"/>
            <w:hideMark/>
          </w:tcPr>
          <w:p w14:paraId="5B45E57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090" w:type="dxa"/>
            <w:vMerge/>
            <w:tcBorders>
              <w:top w:val="nil"/>
              <w:left w:val="single" w:sz="4" w:space="0" w:color="auto"/>
              <w:bottom w:val="single" w:sz="4" w:space="0" w:color="auto"/>
              <w:right w:val="single" w:sz="4" w:space="0" w:color="auto"/>
            </w:tcBorders>
            <w:vAlign w:val="center"/>
            <w:hideMark/>
          </w:tcPr>
          <w:p w14:paraId="23809837"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76" w:type="dxa"/>
            <w:vMerge/>
            <w:tcBorders>
              <w:top w:val="nil"/>
              <w:left w:val="single" w:sz="4" w:space="0" w:color="auto"/>
              <w:bottom w:val="single" w:sz="4" w:space="0" w:color="auto"/>
              <w:right w:val="single" w:sz="4" w:space="0" w:color="auto"/>
            </w:tcBorders>
            <w:vAlign w:val="center"/>
            <w:hideMark/>
          </w:tcPr>
          <w:p w14:paraId="175C403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491917DC"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62B5397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5D6BB086"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5DDD83A0" w14:textId="77777777" w:rsidTr="003B1594">
        <w:trPr>
          <w:trHeight w:val="20"/>
        </w:trPr>
        <w:tc>
          <w:tcPr>
            <w:tcW w:w="1418" w:type="dxa"/>
            <w:vMerge/>
            <w:tcBorders>
              <w:top w:val="nil"/>
              <w:left w:val="single" w:sz="4" w:space="0" w:color="auto"/>
              <w:bottom w:val="single" w:sz="4" w:space="0" w:color="auto"/>
              <w:right w:val="single" w:sz="4" w:space="0" w:color="auto"/>
            </w:tcBorders>
            <w:vAlign w:val="center"/>
            <w:hideMark/>
          </w:tcPr>
          <w:p w14:paraId="0815B5E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985" w:type="dxa"/>
            <w:tcBorders>
              <w:top w:val="nil"/>
              <w:left w:val="nil"/>
              <w:bottom w:val="single" w:sz="4" w:space="0" w:color="auto"/>
              <w:right w:val="single" w:sz="4" w:space="0" w:color="auto"/>
            </w:tcBorders>
            <w:shd w:val="clear" w:color="000000" w:fill="FFFFFF"/>
            <w:hideMark/>
          </w:tcPr>
          <w:p w14:paraId="43EF53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Investīciju palielināšana inovācijās</w:t>
            </w:r>
          </w:p>
        </w:tc>
        <w:tc>
          <w:tcPr>
            <w:tcW w:w="2551" w:type="dxa"/>
            <w:tcBorders>
              <w:top w:val="nil"/>
              <w:left w:val="nil"/>
              <w:bottom w:val="single" w:sz="4" w:space="0" w:color="auto"/>
              <w:right w:val="single" w:sz="4" w:space="0" w:color="auto"/>
            </w:tcBorders>
            <w:shd w:val="clear" w:color="000000" w:fill="FFFFFF"/>
            <w:hideMark/>
          </w:tcPr>
          <w:p w14:paraId="4F6807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2024.gada 9.janvārī apstiprināti ANM MKN Nr.34. Atklātās atlases procesā CFLA ir noslēdzis līgumus ar 7 finansējuma saņēmējiem.</w:t>
            </w:r>
          </w:p>
        </w:tc>
        <w:tc>
          <w:tcPr>
            <w:tcW w:w="1134" w:type="dxa"/>
            <w:tcBorders>
              <w:top w:val="nil"/>
              <w:left w:val="nil"/>
              <w:bottom w:val="single" w:sz="4" w:space="0" w:color="auto"/>
              <w:right w:val="single" w:sz="4" w:space="0" w:color="auto"/>
            </w:tcBorders>
            <w:shd w:val="clear" w:color="000000" w:fill="FFFFFF"/>
            <w:hideMark/>
          </w:tcPr>
          <w:p w14:paraId="64F9718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2024.-2026.g. II. cet. </w:t>
            </w:r>
          </w:p>
        </w:tc>
        <w:tc>
          <w:tcPr>
            <w:tcW w:w="1701" w:type="dxa"/>
            <w:tcBorders>
              <w:top w:val="nil"/>
              <w:left w:val="nil"/>
              <w:bottom w:val="single" w:sz="4" w:space="0" w:color="auto"/>
              <w:right w:val="single" w:sz="4" w:space="0" w:color="auto"/>
            </w:tcBorders>
            <w:shd w:val="clear" w:color="auto" w:fill="auto"/>
            <w:hideMark/>
          </w:tcPr>
          <w:p w14:paraId="5085DB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24.3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(ANM finansējums)</w:t>
            </w:r>
          </w:p>
        </w:tc>
        <w:tc>
          <w:tcPr>
            <w:tcW w:w="992" w:type="dxa"/>
            <w:vMerge/>
            <w:tcBorders>
              <w:top w:val="nil"/>
              <w:left w:val="single" w:sz="4" w:space="0" w:color="auto"/>
              <w:bottom w:val="single" w:sz="4" w:space="0" w:color="auto"/>
              <w:right w:val="single" w:sz="4" w:space="0" w:color="auto"/>
            </w:tcBorders>
            <w:vAlign w:val="center"/>
            <w:hideMark/>
          </w:tcPr>
          <w:p w14:paraId="3A3C0CB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090" w:type="dxa"/>
            <w:tcBorders>
              <w:top w:val="nil"/>
              <w:left w:val="nil"/>
              <w:bottom w:val="single" w:sz="4" w:space="0" w:color="auto"/>
              <w:right w:val="single" w:sz="4" w:space="0" w:color="auto"/>
            </w:tcBorders>
            <w:shd w:val="clear" w:color="auto" w:fill="auto"/>
            <w:hideMark/>
          </w:tcPr>
          <w:p w14:paraId="2CBFC0B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776" w:type="dxa"/>
            <w:vMerge/>
            <w:tcBorders>
              <w:top w:val="nil"/>
              <w:left w:val="single" w:sz="4" w:space="0" w:color="auto"/>
              <w:bottom w:val="single" w:sz="4" w:space="0" w:color="auto"/>
              <w:right w:val="single" w:sz="4" w:space="0" w:color="auto"/>
            </w:tcBorders>
            <w:vAlign w:val="center"/>
            <w:hideMark/>
          </w:tcPr>
          <w:p w14:paraId="5350DADC"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5FE9147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0BC324A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5862B59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A4204D" w:rsidRPr="00BF055E" w14:paraId="13612B7A" w14:textId="77777777" w:rsidTr="005555CA">
        <w:trPr>
          <w:trHeight w:val="20"/>
        </w:trPr>
        <w:tc>
          <w:tcPr>
            <w:tcW w:w="1418" w:type="dxa"/>
            <w:vMerge w:val="restart"/>
            <w:tcBorders>
              <w:top w:val="nil"/>
              <w:left w:val="single" w:sz="4" w:space="0" w:color="auto"/>
              <w:bottom w:val="single" w:sz="4" w:space="0" w:color="auto"/>
              <w:right w:val="single" w:sz="4" w:space="0" w:color="auto"/>
            </w:tcBorders>
            <w:shd w:val="clear" w:color="000000" w:fill="FFFFFF"/>
            <w:hideMark/>
          </w:tcPr>
          <w:p w14:paraId="160F7130"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Aizdevumi (starta un produktivitātes aizdevumi, kā arī lielo investīciju aizdevumi)</w:t>
            </w:r>
          </w:p>
        </w:tc>
        <w:tc>
          <w:tcPr>
            <w:tcW w:w="1985" w:type="dxa"/>
            <w:vMerge w:val="restart"/>
            <w:tcBorders>
              <w:top w:val="nil"/>
              <w:left w:val="single" w:sz="4" w:space="0" w:color="auto"/>
              <w:bottom w:val="single" w:sz="4" w:space="0" w:color="auto"/>
              <w:right w:val="single" w:sz="4" w:space="0" w:color="auto"/>
            </w:tcBorders>
            <w:shd w:val="clear" w:color="000000" w:fill="FFFFFF"/>
            <w:hideMark/>
          </w:tcPr>
          <w:p w14:paraId="6975ECAB"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Veicināt MVU piekļuvi finansējumam</w:t>
            </w:r>
          </w:p>
        </w:tc>
        <w:tc>
          <w:tcPr>
            <w:tcW w:w="2551" w:type="dxa"/>
            <w:tcBorders>
              <w:top w:val="nil"/>
              <w:left w:val="nil"/>
              <w:bottom w:val="single" w:sz="4" w:space="0" w:color="auto"/>
              <w:right w:val="single" w:sz="4" w:space="0" w:color="auto"/>
            </w:tcBorders>
            <w:shd w:val="clear" w:color="000000" w:fill="FFFFFF"/>
            <w:hideMark/>
          </w:tcPr>
          <w:p w14:paraId="6C0538BB"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2021-2027.gada plānošanas perioda ietvaros atbalsta programmai starta aizdevumi 19.09.2023. apstiprināti MK noteikumi Nr. 532. Atbalsts komersantiem ir pieejams.</w:t>
            </w:r>
            <w:r w:rsidRPr="00BF055E">
              <w:rPr>
                <w:rFonts w:eastAsia="Times New Roman" w:cs="Times New Roman"/>
                <w:sz w:val="18"/>
                <w:szCs w:val="18"/>
                <w:lang w:eastAsia="lv-LV"/>
              </w:rPr>
              <w:br/>
              <w:t xml:space="preserve"> 2021-2027.gada plānošanas perioda ietvaros atbalsta programmai produktivitātes aizdevumi 09.01.2024. apstiprināti MK noteikumi Nr.28. Atbalsts komersantiem ir pieejams.</w:t>
            </w:r>
          </w:p>
        </w:tc>
        <w:tc>
          <w:tcPr>
            <w:tcW w:w="1134" w:type="dxa"/>
            <w:vMerge w:val="restart"/>
            <w:tcBorders>
              <w:top w:val="nil"/>
              <w:left w:val="nil"/>
              <w:right w:val="single" w:sz="4" w:space="0" w:color="auto"/>
            </w:tcBorders>
            <w:shd w:val="clear" w:color="000000" w:fill="FFFFFF"/>
            <w:hideMark/>
          </w:tcPr>
          <w:p w14:paraId="1F5E4B42"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2024.-2029.g. </w:t>
            </w:r>
          </w:p>
        </w:tc>
        <w:tc>
          <w:tcPr>
            <w:tcW w:w="1701" w:type="dxa"/>
            <w:vMerge w:val="restart"/>
            <w:tcBorders>
              <w:top w:val="nil"/>
              <w:left w:val="nil"/>
              <w:right w:val="single" w:sz="4" w:space="0" w:color="auto"/>
            </w:tcBorders>
            <w:shd w:val="clear" w:color="000000" w:fill="FFFFFF"/>
            <w:hideMark/>
          </w:tcPr>
          <w:p w14:paraId="7F79D70C"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Startam - 15,66 milj. (ES fondi)</w:t>
            </w:r>
            <w:r w:rsidRPr="00BF055E">
              <w:rPr>
                <w:rFonts w:eastAsia="Times New Roman" w:cs="Times New Roman"/>
                <w:sz w:val="18"/>
                <w:szCs w:val="18"/>
                <w:lang w:eastAsia="lv-LV"/>
              </w:rPr>
              <w:br/>
              <w:t>Produktivitātei - 28,06 milj. (ES fondi)</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003BF0C8"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1090" w:type="dxa"/>
            <w:vMerge w:val="restart"/>
            <w:tcBorders>
              <w:top w:val="nil"/>
              <w:left w:val="single" w:sz="4" w:space="0" w:color="auto"/>
              <w:bottom w:val="single" w:sz="4" w:space="0" w:color="auto"/>
              <w:right w:val="single" w:sz="4" w:space="0" w:color="auto"/>
            </w:tcBorders>
            <w:shd w:val="clear" w:color="000000" w:fill="FFFFFF"/>
            <w:hideMark/>
          </w:tcPr>
          <w:p w14:paraId="1690E13B"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776" w:type="dxa"/>
            <w:vMerge w:val="restart"/>
            <w:tcBorders>
              <w:top w:val="nil"/>
              <w:left w:val="single" w:sz="4" w:space="0" w:color="auto"/>
              <w:bottom w:val="single" w:sz="4" w:space="0" w:color="auto"/>
              <w:right w:val="single" w:sz="4" w:space="0" w:color="auto"/>
            </w:tcBorders>
            <w:shd w:val="clear" w:color="000000" w:fill="FFFFFF"/>
            <w:hideMark/>
          </w:tcPr>
          <w:p w14:paraId="4F1D4D3B"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2022(3); 2023(3); 2024(3)</w:t>
            </w:r>
          </w:p>
        </w:tc>
        <w:tc>
          <w:tcPr>
            <w:tcW w:w="1155" w:type="dxa"/>
            <w:vMerge w:val="restart"/>
            <w:tcBorders>
              <w:top w:val="nil"/>
              <w:left w:val="single" w:sz="4" w:space="0" w:color="auto"/>
              <w:bottom w:val="single" w:sz="4" w:space="0" w:color="auto"/>
              <w:right w:val="single" w:sz="4" w:space="0" w:color="auto"/>
            </w:tcBorders>
            <w:shd w:val="clear" w:color="000000" w:fill="FFFFFF"/>
            <w:hideMark/>
          </w:tcPr>
          <w:p w14:paraId="3228AC81"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759" w:type="dxa"/>
            <w:vMerge w:val="restart"/>
            <w:tcBorders>
              <w:top w:val="nil"/>
              <w:left w:val="single" w:sz="4" w:space="0" w:color="auto"/>
              <w:bottom w:val="single" w:sz="4" w:space="0" w:color="auto"/>
              <w:right w:val="single" w:sz="4" w:space="0" w:color="auto"/>
            </w:tcBorders>
            <w:shd w:val="clear" w:color="000000" w:fill="FFFFFF"/>
            <w:hideMark/>
          </w:tcPr>
          <w:p w14:paraId="5D6E9545"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46" w:type="dxa"/>
            <w:vMerge w:val="restart"/>
            <w:tcBorders>
              <w:top w:val="nil"/>
              <w:left w:val="single" w:sz="4" w:space="0" w:color="auto"/>
              <w:bottom w:val="single" w:sz="4" w:space="0" w:color="auto"/>
              <w:right w:val="single" w:sz="4" w:space="0" w:color="auto"/>
            </w:tcBorders>
            <w:shd w:val="clear" w:color="000000" w:fill="FFFFFF"/>
            <w:hideMark/>
          </w:tcPr>
          <w:p w14:paraId="7661720C" w14:textId="77777777" w:rsidR="00A4204D" w:rsidRPr="00BF055E" w:rsidRDefault="00A4204D"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A4204D" w:rsidRPr="00BF055E" w14:paraId="7B4F579A" w14:textId="77777777" w:rsidTr="005555CA">
        <w:trPr>
          <w:trHeight w:val="20"/>
        </w:trPr>
        <w:tc>
          <w:tcPr>
            <w:tcW w:w="1418" w:type="dxa"/>
            <w:vMerge/>
            <w:tcBorders>
              <w:top w:val="nil"/>
              <w:left w:val="single" w:sz="4" w:space="0" w:color="auto"/>
              <w:bottom w:val="single" w:sz="4" w:space="0" w:color="auto"/>
              <w:right w:val="single" w:sz="4" w:space="0" w:color="auto"/>
            </w:tcBorders>
            <w:vAlign w:val="center"/>
            <w:hideMark/>
          </w:tcPr>
          <w:p w14:paraId="11CD9734"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1985" w:type="dxa"/>
            <w:vMerge/>
            <w:tcBorders>
              <w:top w:val="nil"/>
              <w:left w:val="single" w:sz="4" w:space="0" w:color="auto"/>
              <w:bottom w:val="single" w:sz="4" w:space="0" w:color="auto"/>
              <w:right w:val="single" w:sz="4" w:space="0" w:color="auto"/>
            </w:tcBorders>
            <w:vAlign w:val="center"/>
            <w:hideMark/>
          </w:tcPr>
          <w:p w14:paraId="172E5BFE"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auto" w:fill="auto"/>
            <w:hideMark/>
          </w:tcPr>
          <w:p w14:paraId="688BD84B" w14:textId="77991260"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1134" w:type="dxa"/>
            <w:vMerge/>
            <w:tcBorders>
              <w:left w:val="nil"/>
              <w:bottom w:val="single" w:sz="4" w:space="0" w:color="auto"/>
              <w:right w:val="single" w:sz="4" w:space="0" w:color="auto"/>
            </w:tcBorders>
            <w:shd w:val="clear" w:color="auto" w:fill="auto"/>
            <w:hideMark/>
          </w:tcPr>
          <w:p w14:paraId="57F597DA" w14:textId="035B1F83"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1701" w:type="dxa"/>
            <w:vMerge/>
            <w:tcBorders>
              <w:left w:val="nil"/>
              <w:bottom w:val="single" w:sz="4" w:space="0" w:color="auto"/>
              <w:right w:val="single" w:sz="4" w:space="0" w:color="auto"/>
            </w:tcBorders>
            <w:shd w:val="clear" w:color="auto" w:fill="auto"/>
            <w:hideMark/>
          </w:tcPr>
          <w:p w14:paraId="03CF6189" w14:textId="59D49BE3"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992" w:type="dxa"/>
            <w:vMerge/>
            <w:tcBorders>
              <w:top w:val="nil"/>
              <w:left w:val="single" w:sz="4" w:space="0" w:color="auto"/>
              <w:bottom w:val="single" w:sz="4" w:space="0" w:color="auto"/>
              <w:right w:val="single" w:sz="4" w:space="0" w:color="auto"/>
            </w:tcBorders>
            <w:vAlign w:val="center"/>
            <w:hideMark/>
          </w:tcPr>
          <w:p w14:paraId="45DD885B"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1090" w:type="dxa"/>
            <w:vMerge/>
            <w:tcBorders>
              <w:top w:val="nil"/>
              <w:left w:val="single" w:sz="4" w:space="0" w:color="auto"/>
              <w:bottom w:val="single" w:sz="4" w:space="0" w:color="auto"/>
              <w:right w:val="single" w:sz="4" w:space="0" w:color="auto"/>
            </w:tcBorders>
            <w:vAlign w:val="center"/>
            <w:hideMark/>
          </w:tcPr>
          <w:p w14:paraId="5EC4DEC0"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776" w:type="dxa"/>
            <w:vMerge/>
            <w:tcBorders>
              <w:top w:val="nil"/>
              <w:left w:val="single" w:sz="4" w:space="0" w:color="auto"/>
              <w:bottom w:val="single" w:sz="4" w:space="0" w:color="auto"/>
              <w:right w:val="single" w:sz="4" w:space="0" w:color="auto"/>
            </w:tcBorders>
            <w:vAlign w:val="center"/>
            <w:hideMark/>
          </w:tcPr>
          <w:p w14:paraId="41A267D5"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0E76286E"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65F9B377"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3766BC37" w14:textId="77777777" w:rsidR="00A4204D" w:rsidRPr="00BF055E" w:rsidRDefault="00A4204D" w:rsidP="006357B3">
            <w:pPr>
              <w:spacing w:after="0" w:line="240" w:lineRule="auto"/>
              <w:ind w:firstLine="0"/>
              <w:jc w:val="left"/>
              <w:rPr>
                <w:rFonts w:eastAsia="Times New Roman" w:cs="Times New Roman"/>
                <w:sz w:val="18"/>
                <w:szCs w:val="18"/>
                <w:lang w:eastAsia="lv-LV"/>
              </w:rPr>
            </w:pPr>
          </w:p>
        </w:tc>
      </w:tr>
      <w:tr w:rsidR="00BF055E" w:rsidRPr="00BF055E" w14:paraId="398D783E" w14:textId="77777777" w:rsidTr="003B1594">
        <w:trPr>
          <w:trHeight w:val="20"/>
        </w:trPr>
        <w:tc>
          <w:tcPr>
            <w:tcW w:w="1418" w:type="dxa"/>
            <w:vMerge w:val="restart"/>
            <w:tcBorders>
              <w:top w:val="nil"/>
              <w:left w:val="single" w:sz="4" w:space="0" w:color="auto"/>
              <w:bottom w:val="single" w:sz="4" w:space="0" w:color="auto"/>
              <w:right w:val="single" w:sz="4" w:space="0" w:color="auto"/>
            </w:tcBorders>
            <w:shd w:val="clear" w:color="000000" w:fill="FFFFFF"/>
            <w:hideMark/>
          </w:tcPr>
          <w:p w14:paraId="2DE0B60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Garantijas (saimnieciskās darbības veicējiem konkurētspējas uzlabošanai, </w:t>
            </w:r>
            <w:proofErr w:type="spellStart"/>
            <w:r w:rsidRPr="00BF055E">
              <w:rPr>
                <w:rFonts w:eastAsia="Times New Roman" w:cs="Times New Roman"/>
                <w:sz w:val="18"/>
                <w:szCs w:val="18"/>
                <w:lang w:eastAsia="lv-LV"/>
              </w:rPr>
              <w:t>portfeļgarantijas</w:t>
            </w:r>
            <w:proofErr w:type="spellEnd"/>
            <w:r w:rsidRPr="00BF055E">
              <w:rPr>
                <w:rFonts w:eastAsia="Times New Roman" w:cs="Times New Roman"/>
                <w:sz w:val="18"/>
                <w:szCs w:val="18"/>
                <w:lang w:eastAsia="lv-LV"/>
              </w:rPr>
              <w:t xml:space="preserve">, īstermiņa eksporta kredīta garantijas) </w:t>
            </w:r>
          </w:p>
        </w:tc>
        <w:tc>
          <w:tcPr>
            <w:tcW w:w="1985" w:type="dxa"/>
            <w:vMerge w:val="restart"/>
            <w:tcBorders>
              <w:top w:val="nil"/>
              <w:left w:val="single" w:sz="4" w:space="0" w:color="auto"/>
              <w:bottom w:val="single" w:sz="4" w:space="0" w:color="auto"/>
              <w:right w:val="single" w:sz="4" w:space="0" w:color="auto"/>
            </w:tcBorders>
            <w:shd w:val="clear" w:color="000000" w:fill="FFFFFF"/>
            <w:hideMark/>
          </w:tcPr>
          <w:p w14:paraId="20B48A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Veicināt MVU piekļuvi finansējumam</w:t>
            </w:r>
          </w:p>
        </w:tc>
        <w:tc>
          <w:tcPr>
            <w:tcW w:w="2551" w:type="dxa"/>
            <w:tcBorders>
              <w:top w:val="nil"/>
              <w:left w:val="nil"/>
              <w:bottom w:val="single" w:sz="4" w:space="0" w:color="auto"/>
              <w:right w:val="single" w:sz="4" w:space="0" w:color="auto"/>
            </w:tcBorders>
            <w:shd w:val="clear" w:color="000000" w:fill="FFFFFF"/>
            <w:hideMark/>
          </w:tcPr>
          <w:p w14:paraId="49380D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2021-2027.gada plānošanas perioda ietvaros </w:t>
            </w:r>
            <w:proofErr w:type="spellStart"/>
            <w:r w:rsidRPr="00BF055E">
              <w:rPr>
                <w:rFonts w:eastAsia="Times New Roman" w:cs="Times New Roman"/>
                <w:sz w:val="18"/>
                <w:szCs w:val="18"/>
                <w:lang w:eastAsia="lv-LV"/>
              </w:rPr>
              <w:t>portfeļgrantijas</w:t>
            </w:r>
            <w:proofErr w:type="spellEnd"/>
            <w:r w:rsidRPr="00BF055E">
              <w:rPr>
                <w:rFonts w:eastAsia="Times New Roman" w:cs="Times New Roman"/>
                <w:sz w:val="18"/>
                <w:szCs w:val="18"/>
                <w:lang w:eastAsia="lv-LV"/>
              </w:rPr>
              <w:t xml:space="preserve"> atbalsta programmai 2023.gada 5.septembrī apstiprināti noteikumi Nr.498. Tiek nodrošināts garantijas atbalsts komersantiem. </w:t>
            </w:r>
          </w:p>
        </w:tc>
        <w:tc>
          <w:tcPr>
            <w:tcW w:w="1134" w:type="dxa"/>
            <w:tcBorders>
              <w:top w:val="nil"/>
              <w:left w:val="nil"/>
              <w:bottom w:val="single" w:sz="4" w:space="0" w:color="auto"/>
              <w:right w:val="single" w:sz="4" w:space="0" w:color="auto"/>
            </w:tcBorders>
            <w:shd w:val="clear" w:color="000000" w:fill="FFFFFF"/>
            <w:hideMark/>
          </w:tcPr>
          <w:p w14:paraId="066B93E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2024.-2029.g. </w:t>
            </w:r>
          </w:p>
        </w:tc>
        <w:tc>
          <w:tcPr>
            <w:tcW w:w="1701" w:type="dxa"/>
            <w:tcBorders>
              <w:top w:val="nil"/>
              <w:left w:val="nil"/>
              <w:bottom w:val="single" w:sz="4" w:space="0" w:color="auto"/>
              <w:right w:val="single" w:sz="4" w:space="0" w:color="auto"/>
            </w:tcBorders>
            <w:shd w:val="clear" w:color="000000" w:fill="FFFFFF"/>
            <w:hideMark/>
          </w:tcPr>
          <w:p w14:paraId="68154C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9,8  milj. (ES fondi)</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1432E5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1090" w:type="dxa"/>
            <w:vMerge w:val="restart"/>
            <w:tcBorders>
              <w:top w:val="nil"/>
              <w:left w:val="single" w:sz="4" w:space="0" w:color="auto"/>
              <w:bottom w:val="single" w:sz="4" w:space="0" w:color="auto"/>
              <w:right w:val="single" w:sz="4" w:space="0" w:color="auto"/>
            </w:tcBorders>
            <w:shd w:val="clear" w:color="000000" w:fill="FFFFFF"/>
            <w:hideMark/>
          </w:tcPr>
          <w:p w14:paraId="7FAC541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776" w:type="dxa"/>
            <w:vMerge w:val="restart"/>
            <w:tcBorders>
              <w:top w:val="nil"/>
              <w:left w:val="single" w:sz="4" w:space="0" w:color="auto"/>
              <w:bottom w:val="single" w:sz="4" w:space="0" w:color="auto"/>
              <w:right w:val="single" w:sz="4" w:space="0" w:color="auto"/>
            </w:tcBorders>
            <w:shd w:val="clear" w:color="000000" w:fill="FFFFFF"/>
            <w:hideMark/>
          </w:tcPr>
          <w:p w14:paraId="11222A9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2022(3); 2023(3); 2024(3)</w:t>
            </w:r>
          </w:p>
        </w:tc>
        <w:tc>
          <w:tcPr>
            <w:tcW w:w="1155" w:type="dxa"/>
            <w:vMerge w:val="restart"/>
            <w:tcBorders>
              <w:top w:val="nil"/>
              <w:left w:val="single" w:sz="4" w:space="0" w:color="auto"/>
              <w:bottom w:val="single" w:sz="4" w:space="0" w:color="auto"/>
              <w:right w:val="single" w:sz="4" w:space="0" w:color="auto"/>
            </w:tcBorders>
            <w:shd w:val="clear" w:color="000000" w:fill="FFFFFF"/>
            <w:hideMark/>
          </w:tcPr>
          <w:p w14:paraId="66C93D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759" w:type="dxa"/>
            <w:vMerge w:val="restart"/>
            <w:tcBorders>
              <w:top w:val="nil"/>
              <w:left w:val="single" w:sz="4" w:space="0" w:color="auto"/>
              <w:bottom w:val="single" w:sz="4" w:space="0" w:color="auto"/>
              <w:right w:val="single" w:sz="4" w:space="0" w:color="auto"/>
            </w:tcBorders>
            <w:shd w:val="clear" w:color="000000" w:fill="FFFFFF"/>
            <w:hideMark/>
          </w:tcPr>
          <w:p w14:paraId="5151AB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46" w:type="dxa"/>
            <w:vMerge w:val="restart"/>
            <w:tcBorders>
              <w:top w:val="nil"/>
              <w:left w:val="single" w:sz="4" w:space="0" w:color="auto"/>
              <w:bottom w:val="single" w:sz="4" w:space="0" w:color="auto"/>
              <w:right w:val="single" w:sz="4" w:space="0" w:color="auto"/>
            </w:tcBorders>
            <w:shd w:val="clear" w:color="000000" w:fill="FFFFFF"/>
            <w:hideMark/>
          </w:tcPr>
          <w:p w14:paraId="453266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5939BB39" w14:textId="77777777" w:rsidTr="003B1594">
        <w:trPr>
          <w:trHeight w:val="20"/>
        </w:trPr>
        <w:tc>
          <w:tcPr>
            <w:tcW w:w="1418" w:type="dxa"/>
            <w:vMerge/>
            <w:tcBorders>
              <w:top w:val="nil"/>
              <w:left w:val="single" w:sz="4" w:space="0" w:color="auto"/>
              <w:bottom w:val="single" w:sz="4" w:space="0" w:color="auto"/>
              <w:right w:val="single" w:sz="4" w:space="0" w:color="auto"/>
            </w:tcBorders>
            <w:vAlign w:val="center"/>
            <w:hideMark/>
          </w:tcPr>
          <w:p w14:paraId="034AAB6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985" w:type="dxa"/>
            <w:vMerge/>
            <w:tcBorders>
              <w:top w:val="nil"/>
              <w:left w:val="single" w:sz="4" w:space="0" w:color="auto"/>
              <w:bottom w:val="single" w:sz="4" w:space="0" w:color="auto"/>
              <w:right w:val="single" w:sz="4" w:space="0" w:color="auto"/>
            </w:tcBorders>
            <w:vAlign w:val="center"/>
            <w:hideMark/>
          </w:tcPr>
          <w:p w14:paraId="629F6AA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18CC9F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2021-2027.gada plānošanas perioda ietvaros atbalsta programmai garantijas saimnieciskās darbības veicējiem konkurētspējas uzlabošanai 05.09.2023. apstiprināti MK noteikumi Nr.500. Tiek nodrošināts garantiju atbalsts komersantiem. </w:t>
            </w:r>
          </w:p>
        </w:tc>
        <w:tc>
          <w:tcPr>
            <w:tcW w:w="1134" w:type="dxa"/>
            <w:tcBorders>
              <w:top w:val="nil"/>
              <w:left w:val="nil"/>
              <w:bottom w:val="single" w:sz="4" w:space="0" w:color="auto"/>
              <w:right w:val="single" w:sz="4" w:space="0" w:color="auto"/>
            </w:tcBorders>
            <w:shd w:val="clear" w:color="000000" w:fill="FFFFFF"/>
            <w:hideMark/>
          </w:tcPr>
          <w:p w14:paraId="7D13DA9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2024.-2029.g. </w:t>
            </w:r>
          </w:p>
        </w:tc>
        <w:tc>
          <w:tcPr>
            <w:tcW w:w="1701" w:type="dxa"/>
            <w:tcBorders>
              <w:top w:val="nil"/>
              <w:left w:val="nil"/>
              <w:bottom w:val="single" w:sz="4" w:space="0" w:color="auto"/>
              <w:right w:val="single" w:sz="4" w:space="0" w:color="auto"/>
            </w:tcBorders>
            <w:shd w:val="clear" w:color="000000" w:fill="FFFFFF"/>
            <w:hideMark/>
          </w:tcPr>
          <w:p w14:paraId="7DB5D8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29,6 milj. (ES fondi)</w:t>
            </w:r>
          </w:p>
        </w:tc>
        <w:tc>
          <w:tcPr>
            <w:tcW w:w="992" w:type="dxa"/>
            <w:vMerge/>
            <w:tcBorders>
              <w:top w:val="nil"/>
              <w:left w:val="single" w:sz="4" w:space="0" w:color="auto"/>
              <w:bottom w:val="single" w:sz="4" w:space="0" w:color="auto"/>
              <w:right w:val="single" w:sz="4" w:space="0" w:color="auto"/>
            </w:tcBorders>
            <w:vAlign w:val="center"/>
            <w:hideMark/>
          </w:tcPr>
          <w:p w14:paraId="44408EAE"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090" w:type="dxa"/>
            <w:vMerge/>
            <w:tcBorders>
              <w:top w:val="nil"/>
              <w:left w:val="single" w:sz="4" w:space="0" w:color="auto"/>
              <w:bottom w:val="single" w:sz="4" w:space="0" w:color="auto"/>
              <w:right w:val="single" w:sz="4" w:space="0" w:color="auto"/>
            </w:tcBorders>
            <w:vAlign w:val="center"/>
            <w:hideMark/>
          </w:tcPr>
          <w:p w14:paraId="7BAE88BE"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76" w:type="dxa"/>
            <w:vMerge/>
            <w:tcBorders>
              <w:top w:val="nil"/>
              <w:left w:val="single" w:sz="4" w:space="0" w:color="auto"/>
              <w:bottom w:val="single" w:sz="4" w:space="0" w:color="auto"/>
              <w:right w:val="single" w:sz="4" w:space="0" w:color="auto"/>
            </w:tcBorders>
            <w:vAlign w:val="center"/>
            <w:hideMark/>
          </w:tcPr>
          <w:p w14:paraId="71C0D190"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0D347AED"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315C821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44F72B0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3FAE4390" w14:textId="77777777" w:rsidTr="003B1594">
        <w:trPr>
          <w:trHeight w:val="20"/>
        </w:trPr>
        <w:tc>
          <w:tcPr>
            <w:tcW w:w="1418" w:type="dxa"/>
            <w:vMerge/>
            <w:tcBorders>
              <w:top w:val="nil"/>
              <w:left w:val="single" w:sz="4" w:space="0" w:color="auto"/>
              <w:bottom w:val="single" w:sz="4" w:space="0" w:color="auto"/>
              <w:right w:val="single" w:sz="4" w:space="0" w:color="auto"/>
            </w:tcBorders>
            <w:vAlign w:val="center"/>
            <w:hideMark/>
          </w:tcPr>
          <w:p w14:paraId="16D06F33"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985" w:type="dxa"/>
            <w:vMerge/>
            <w:tcBorders>
              <w:top w:val="nil"/>
              <w:left w:val="single" w:sz="4" w:space="0" w:color="auto"/>
              <w:bottom w:val="single" w:sz="4" w:space="0" w:color="auto"/>
              <w:right w:val="single" w:sz="4" w:space="0" w:color="auto"/>
            </w:tcBorders>
            <w:vAlign w:val="center"/>
            <w:hideMark/>
          </w:tcPr>
          <w:p w14:paraId="5546A3C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2551" w:type="dxa"/>
            <w:tcBorders>
              <w:top w:val="nil"/>
              <w:left w:val="nil"/>
              <w:bottom w:val="single" w:sz="4" w:space="0" w:color="auto"/>
              <w:right w:val="single" w:sz="4" w:space="0" w:color="auto"/>
            </w:tcBorders>
            <w:shd w:val="clear" w:color="000000" w:fill="FFFFFF"/>
            <w:hideMark/>
          </w:tcPr>
          <w:p w14:paraId="12072374" w14:textId="0245D559"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20.12.2016. MK noteikumi Nr. 866, kas paredz iespēju uzņēmumiem saņemt īstermiņa eksporta k</w:t>
            </w:r>
            <w:r w:rsidR="0058560C">
              <w:rPr>
                <w:rFonts w:eastAsia="Times New Roman" w:cs="Times New Roman"/>
                <w:sz w:val="18"/>
                <w:szCs w:val="18"/>
                <w:lang w:eastAsia="lv-LV"/>
              </w:rPr>
              <w:t>r</w:t>
            </w:r>
            <w:r w:rsidRPr="00BF055E">
              <w:rPr>
                <w:rFonts w:eastAsia="Times New Roman" w:cs="Times New Roman"/>
                <w:sz w:val="18"/>
                <w:szCs w:val="18"/>
                <w:lang w:eastAsia="lv-LV"/>
              </w:rPr>
              <w:t xml:space="preserve">edīta garantijas. Tiek nodrošināts garantiju atbalsts komersantiem. </w:t>
            </w:r>
          </w:p>
        </w:tc>
        <w:tc>
          <w:tcPr>
            <w:tcW w:w="1134" w:type="dxa"/>
            <w:tcBorders>
              <w:top w:val="nil"/>
              <w:left w:val="nil"/>
              <w:bottom w:val="single" w:sz="4" w:space="0" w:color="auto"/>
              <w:right w:val="single" w:sz="4" w:space="0" w:color="auto"/>
            </w:tcBorders>
            <w:shd w:val="clear" w:color="000000" w:fill="FFFFFF"/>
            <w:hideMark/>
          </w:tcPr>
          <w:p w14:paraId="36E7D8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 -2028.g.</w:t>
            </w:r>
          </w:p>
        </w:tc>
        <w:tc>
          <w:tcPr>
            <w:tcW w:w="1701" w:type="dxa"/>
            <w:tcBorders>
              <w:top w:val="nil"/>
              <w:left w:val="nil"/>
              <w:bottom w:val="single" w:sz="4" w:space="0" w:color="auto"/>
              <w:right w:val="single" w:sz="4" w:space="0" w:color="auto"/>
            </w:tcBorders>
            <w:shd w:val="clear" w:color="000000" w:fill="FFFFFF"/>
            <w:hideMark/>
          </w:tcPr>
          <w:p w14:paraId="775C47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5,69 milj. (VB un atmaksas ) </w:t>
            </w:r>
          </w:p>
        </w:tc>
        <w:tc>
          <w:tcPr>
            <w:tcW w:w="992" w:type="dxa"/>
            <w:vMerge/>
            <w:tcBorders>
              <w:top w:val="nil"/>
              <w:left w:val="single" w:sz="4" w:space="0" w:color="auto"/>
              <w:bottom w:val="single" w:sz="4" w:space="0" w:color="auto"/>
              <w:right w:val="single" w:sz="4" w:space="0" w:color="auto"/>
            </w:tcBorders>
            <w:vAlign w:val="center"/>
            <w:hideMark/>
          </w:tcPr>
          <w:p w14:paraId="2A228E1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090" w:type="dxa"/>
            <w:vMerge/>
            <w:tcBorders>
              <w:top w:val="nil"/>
              <w:left w:val="single" w:sz="4" w:space="0" w:color="auto"/>
              <w:bottom w:val="single" w:sz="4" w:space="0" w:color="auto"/>
              <w:right w:val="single" w:sz="4" w:space="0" w:color="auto"/>
            </w:tcBorders>
            <w:vAlign w:val="center"/>
            <w:hideMark/>
          </w:tcPr>
          <w:p w14:paraId="0AB1E9FE"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76" w:type="dxa"/>
            <w:vMerge/>
            <w:tcBorders>
              <w:top w:val="nil"/>
              <w:left w:val="single" w:sz="4" w:space="0" w:color="auto"/>
              <w:bottom w:val="single" w:sz="4" w:space="0" w:color="auto"/>
              <w:right w:val="single" w:sz="4" w:space="0" w:color="auto"/>
            </w:tcBorders>
            <w:vAlign w:val="center"/>
            <w:hideMark/>
          </w:tcPr>
          <w:p w14:paraId="666A5C62"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196714C3"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22944BAB"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2E2795E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5828EE81"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1B62CF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uzņēmējdarbības publiskajā infrastruktūrā industriālo parku un teritoriju attīstīšanai reģionos</w:t>
            </w:r>
          </w:p>
        </w:tc>
        <w:tc>
          <w:tcPr>
            <w:tcW w:w="1985" w:type="dxa"/>
            <w:tcBorders>
              <w:top w:val="nil"/>
              <w:left w:val="nil"/>
              <w:bottom w:val="single" w:sz="4" w:space="0" w:color="auto"/>
              <w:right w:val="single" w:sz="4" w:space="0" w:color="auto"/>
            </w:tcBorders>
            <w:shd w:val="clear" w:color="auto" w:fill="auto"/>
            <w:hideMark/>
          </w:tcPr>
          <w:p w14:paraId="38B369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nevienlīdzības mazināšanā, lai attīstītu nacionālas nozīmes industriālo parku un teritoriju infrastruktūru un piesaistītu investorus Latvijas reģioniem ārpus Rīgas plānošanas reģiona, sekmējot darba vietu ar augstu pievienoto vērtību un uz eksportu orientētu darba vietu radīšanu, kā arī mazinot reģionālās attīstības atšķirības starp Rīgas reģionu un pārējo Latvijas teritoriju.</w:t>
            </w:r>
            <w:r w:rsidRPr="00BF055E">
              <w:rPr>
                <w:rFonts w:eastAsia="Times New Roman" w:cs="Times New Roman"/>
                <w:sz w:val="18"/>
                <w:szCs w:val="18"/>
                <w:lang w:eastAsia="lv-LV"/>
              </w:rPr>
              <w:br/>
              <w:t>Sasniedzamie mērķi un atskaites punkti:</w:t>
            </w:r>
            <w:r w:rsidRPr="00BF055E">
              <w:rPr>
                <w:rFonts w:eastAsia="Times New Roman" w:cs="Times New Roman"/>
                <w:sz w:val="18"/>
                <w:szCs w:val="18"/>
                <w:lang w:eastAsia="lv-LV"/>
              </w:rPr>
              <w:br/>
              <w:t>1) līdz 31.12.2022. ir pieņemta atbalsta programma industriālo parku un teritoriju attīstīšanai reģionos;</w:t>
            </w:r>
            <w:r w:rsidRPr="00BF055E">
              <w:rPr>
                <w:rFonts w:eastAsia="Times New Roman" w:cs="Times New Roman"/>
                <w:sz w:val="18"/>
                <w:szCs w:val="18"/>
                <w:lang w:eastAsia="lv-LV"/>
              </w:rPr>
              <w:br/>
              <w:t xml:space="preserve">2) līdz 31.12.2023. nosūtīti lēmumi projektu iesniedzējiem par līgumu slēgšanas tiesību piešķiršana </w:t>
            </w:r>
            <w:r w:rsidRPr="00BF055E">
              <w:rPr>
                <w:rFonts w:eastAsia="Times New Roman" w:cs="Times New Roman"/>
                <w:sz w:val="18"/>
                <w:szCs w:val="18"/>
                <w:lang w:eastAsia="lv-LV"/>
              </w:rPr>
              <w:lastRenderedPageBreak/>
              <w:t>industriālo parku attīstīšanai reģionos;</w:t>
            </w:r>
            <w:r w:rsidRPr="00BF055E">
              <w:rPr>
                <w:rFonts w:eastAsia="Times New Roman" w:cs="Times New Roman"/>
                <w:sz w:val="18"/>
                <w:szCs w:val="18"/>
                <w:lang w:eastAsia="lv-LV"/>
              </w:rPr>
              <w:br/>
              <w:t xml:space="preserve">3) līdz 31.12.2025. parakstīti vismaz četri nodomu protokoli vai līgumi ar starptautiski atzītiem industriālo parku operatoriem vai potenciālajiem investoriem, radot </w:t>
            </w:r>
            <w:proofErr w:type="spellStart"/>
            <w:r w:rsidRPr="00BF055E">
              <w:rPr>
                <w:rFonts w:eastAsia="Times New Roman" w:cs="Times New Roman"/>
                <w:sz w:val="18"/>
                <w:szCs w:val="18"/>
                <w:lang w:eastAsia="lv-LV"/>
              </w:rPr>
              <w:t>nefinanšu</w:t>
            </w:r>
            <w:proofErr w:type="spellEnd"/>
            <w:r w:rsidRPr="00BF055E">
              <w:rPr>
                <w:rFonts w:eastAsia="Times New Roman" w:cs="Times New Roman"/>
                <w:sz w:val="18"/>
                <w:szCs w:val="18"/>
                <w:lang w:eastAsia="lv-LV"/>
              </w:rPr>
              <w:t xml:space="preserve"> investīcijas vismaz 85 741 349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apmērā;</w:t>
            </w:r>
            <w:r w:rsidRPr="00BF055E">
              <w:rPr>
                <w:rFonts w:eastAsia="Times New Roman" w:cs="Times New Roman"/>
                <w:sz w:val="18"/>
                <w:szCs w:val="18"/>
                <w:lang w:eastAsia="lv-LV"/>
              </w:rPr>
              <w:br/>
              <w:t>4) līdz 31.12.2025. pabeigta vismaz četru nacionālas nozīmes industriālo parku un teritoriju būvniecība reģionos;</w:t>
            </w:r>
            <w:r w:rsidRPr="00BF055E">
              <w:rPr>
                <w:rFonts w:eastAsia="Times New Roman" w:cs="Times New Roman"/>
                <w:sz w:val="18"/>
                <w:szCs w:val="18"/>
                <w:lang w:eastAsia="lv-LV"/>
              </w:rPr>
              <w:br/>
              <w:t>5) līdz  31.07.2026. radītas vismaz 328 darbavietas industriālajos parkos viedās specializācijas jomās ar algu, kas pārsniedz attiecīgā plānošanas reģiona vidējo darba samaksu attiecīgajā tautsaimniecības nozarē.</w:t>
            </w:r>
          </w:p>
        </w:tc>
        <w:tc>
          <w:tcPr>
            <w:tcW w:w="2551" w:type="dxa"/>
            <w:tcBorders>
              <w:top w:val="nil"/>
              <w:left w:val="nil"/>
              <w:bottom w:val="single" w:sz="4" w:space="0" w:color="auto"/>
              <w:right w:val="single" w:sz="4" w:space="0" w:color="auto"/>
            </w:tcBorders>
            <w:shd w:val="clear" w:color="000000" w:fill="FFFFFF"/>
            <w:hideMark/>
          </w:tcPr>
          <w:p w14:paraId="55E390D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(30.08.2022.);</w:t>
            </w:r>
            <w:r w:rsidRPr="00BF055E">
              <w:rPr>
                <w:rFonts w:eastAsia="Times New Roman" w:cs="Times New Roman"/>
                <w:sz w:val="18"/>
                <w:szCs w:val="18"/>
                <w:lang w:eastAsia="lv-LV"/>
              </w:rPr>
              <w:br/>
              <w:t>2) atklātas atlases (19.10.2022.-28.04.2023.) īstenošana;</w:t>
            </w:r>
            <w:r w:rsidRPr="00BF055E">
              <w:rPr>
                <w:rFonts w:eastAsia="Times New Roman" w:cs="Times New Roman"/>
                <w:sz w:val="18"/>
                <w:szCs w:val="18"/>
                <w:lang w:eastAsia="lv-LV"/>
              </w:rPr>
              <w:br/>
              <w:t>3) līgumu slēgšana un projektu īstenošana.</w:t>
            </w:r>
          </w:p>
        </w:tc>
        <w:tc>
          <w:tcPr>
            <w:tcW w:w="1134" w:type="dxa"/>
            <w:tcBorders>
              <w:top w:val="nil"/>
              <w:left w:val="nil"/>
              <w:bottom w:val="single" w:sz="4" w:space="0" w:color="auto"/>
              <w:right w:val="single" w:sz="4" w:space="0" w:color="auto"/>
            </w:tcBorders>
            <w:shd w:val="clear" w:color="000000" w:fill="FFFFFF"/>
            <w:hideMark/>
          </w:tcPr>
          <w:p w14:paraId="163888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01.02.2020.-31.08.2026.</w:t>
            </w:r>
          </w:p>
        </w:tc>
        <w:tc>
          <w:tcPr>
            <w:tcW w:w="1701" w:type="dxa"/>
            <w:tcBorders>
              <w:top w:val="nil"/>
              <w:left w:val="nil"/>
              <w:bottom w:val="single" w:sz="4" w:space="0" w:color="auto"/>
              <w:right w:val="single" w:sz="4" w:space="0" w:color="auto"/>
            </w:tcBorders>
            <w:shd w:val="clear" w:color="000000" w:fill="FFFFFF"/>
            <w:hideMark/>
          </w:tcPr>
          <w:p w14:paraId="11DAAFFC" w14:textId="7990BA40"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80 milj. </w:t>
            </w:r>
            <w:r w:rsidR="00BF53B6">
              <w:rPr>
                <w:rFonts w:eastAsia="Times New Roman" w:cs="Times New Roman"/>
                <w:sz w:val="18"/>
                <w:szCs w:val="18"/>
                <w:lang w:eastAsia="lv-LV"/>
              </w:rPr>
              <w:t>ANM</w:t>
            </w:r>
          </w:p>
        </w:tc>
        <w:tc>
          <w:tcPr>
            <w:tcW w:w="992" w:type="dxa"/>
            <w:tcBorders>
              <w:top w:val="nil"/>
              <w:left w:val="nil"/>
              <w:bottom w:val="single" w:sz="4" w:space="0" w:color="auto"/>
              <w:right w:val="single" w:sz="4" w:space="0" w:color="auto"/>
            </w:tcBorders>
            <w:shd w:val="clear" w:color="000000" w:fill="FFFFFF"/>
            <w:hideMark/>
          </w:tcPr>
          <w:p w14:paraId="0D9E23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1090" w:type="dxa"/>
            <w:tcBorders>
              <w:top w:val="nil"/>
              <w:left w:val="nil"/>
              <w:bottom w:val="single" w:sz="4" w:space="0" w:color="auto"/>
              <w:right w:val="single" w:sz="4" w:space="0" w:color="auto"/>
            </w:tcBorders>
            <w:shd w:val="clear" w:color="auto" w:fill="auto"/>
            <w:hideMark/>
          </w:tcPr>
          <w:p w14:paraId="06C78DC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r w:rsidRPr="00BF055E">
              <w:rPr>
                <w:rFonts w:eastAsia="Times New Roman" w:cs="Times New Roman"/>
                <w:sz w:val="18"/>
                <w:szCs w:val="18"/>
                <w:lang w:eastAsia="lv-LV"/>
              </w:rPr>
              <w:br/>
              <w:t>(CID pielikumā - investīcija 3.1.1.3.i zem "KOMPONENTS NR. 3 NEVIENLĪDZĪBAS MAZINĀŠANA")</w:t>
            </w:r>
          </w:p>
        </w:tc>
        <w:tc>
          <w:tcPr>
            <w:tcW w:w="776" w:type="dxa"/>
            <w:vMerge w:val="restart"/>
            <w:tcBorders>
              <w:top w:val="nil"/>
              <w:left w:val="single" w:sz="4" w:space="0" w:color="auto"/>
              <w:bottom w:val="single" w:sz="4" w:space="0" w:color="auto"/>
              <w:right w:val="single" w:sz="4" w:space="0" w:color="auto"/>
            </w:tcBorders>
            <w:shd w:val="clear" w:color="000000" w:fill="FFFFFF"/>
            <w:hideMark/>
          </w:tcPr>
          <w:p w14:paraId="3095E64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2022(3); 2023(3); 2024(3)</w:t>
            </w:r>
          </w:p>
        </w:tc>
        <w:tc>
          <w:tcPr>
            <w:tcW w:w="1155" w:type="dxa"/>
            <w:vMerge w:val="restart"/>
            <w:tcBorders>
              <w:top w:val="nil"/>
              <w:left w:val="single" w:sz="4" w:space="0" w:color="auto"/>
              <w:bottom w:val="single" w:sz="4" w:space="0" w:color="auto"/>
              <w:right w:val="single" w:sz="4" w:space="0" w:color="auto"/>
            </w:tcBorders>
            <w:shd w:val="clear" w:color="000000" w:fill="FFFFFF"/>
            <w:hideMark/>
          </w:tcPr>
          <w:p w14:paraId="01B0F2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759" w:type="dxa"/>
            <w:vMerge w:val="restart"/>
            <w:tcBorders>
              <w:top w:val="nil"/>
              <w:left w:val="single" w:sz="4" w:space="0" w:color="auto"/>
              <w:bottom w:val="single" w:sz="4" w:space="0" w:color="auto"/>
              <w:right w:val="single" w:sz="4" w:space="0" w:color="auto"/>
            </w:tcBorders>
            <w:shd w:val="clear" w:color="000000" w:fill="FFFFFF"/>
            <w:hideMark/>
          </w:tcPr>
          <w:p w14:paraId="7C61C86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46" w:type="dxa"/>
            <w:vMerge w:val="restart"/>
            <w:tcBorders>
              <w:top w:val="nil"/>
              <w:left w:val="single" w:sz="4" w:space="0" w:color="auto"/>
              <w:bottom w:val="single" w:sz="4" w:space="0" w:color="auto"/>
              <w:right w:val="single" w:sz="4" w:space="0" w:color="auto"/>
            </w:tcBorders>
            <w:shd w:val="clear" w:color="000000" w:fill="FFFFFF"/>
            <w:hideMark/>
          </w:tcPr>
          <w:p w14:paraId="4E52C3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w:t>
            </w:r>
          </w:p>
        </w:tc>
      </w:tr>
      <w:tr w:rsidR="00BF055E" w:rsidRPr="00BF055E" w14:paraId="1A2468BB"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3552A8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Infrastruktūra uzņēmējdarbības atbalstam (Programma</w:t>
            </w:r>
            <w:r w:rsidRPr="00BF055E">
              <w:rPr>
                <w:rFonts w:eastAsia="Times New Roman" w:cs="Times New Roman"/>
                <w:sz w:val="18"/>
                <w:szCs w:val="18"/>
                <w:lang w:eastAsia="lv-LV"/>
              </w:rPr>
              <w:br/>
              <w:t xml:space="preserve">5.1.1.1. (tikai 1., 2.k., bez </w:t>
            </w:r>
            <w:r w:rsidRPr="00BF055E">
              <w:rPr>
                <w:rFonts w:eastAsia="Times New Roman" w:cs="Times New Roman"/>
                <w:sz w:val="18"/>
                <w:szCs w:val="18"/>
                <w:lang w:eastAsia="lv-LV"/>
              </w:rPr>
              <w:lastRenderedPageBreak/>
              <w:t>3.kārtas elastības finansējuma; norādīti tikai 1. un 2.kārtas rādītāji, bez 3.kārtas elastības rādītājiem. Rādītāji norādīti pret MK noteikumiem, nevis pret DP.)</w:t>
            </w:r>
          </w:p>
        </w:tc>
        <w:tc>
          <w:tcPr>
            <w:tcW w:w="1985" w:type="dxa"/>
            <w:tcBorders>
              <w:top w:val="nil"/>
              <w:left w:val="nil"/>
              <w:bottom w:val="single" w:sz="4" w:space="0" w:color="auto"/>
              <w:right w:val="single" w:sz="4" w:space="0" w:color="auto"/>
            </w:tcBorders>
            <w:shd w:val="clear" w:color="auto" w:fill="auto"/>
            <w:hideMark/>
          </w:tcPr>
          <w:p w14:paraId="3F2937B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Investīcijas uzņēmējdarbības publiskās infrastruktūras attīstības veicināšanai,  palielinot privāto investīciju </w:t>
            </w:r>
            <w:r w:rsidRPr="00BF055E">
              <w:rPr>
                <w:rFonts w:eastAsia="Times New Roman" w:cs="Times New Roman"/>
                <w:sz w:val="18"/>
                <w:szCs w:val="18"/>
                <w:lang w:eastAsia="lv-LV"/>
              </w:rPr>
              <w:lastRenderedPageBreak/>
              <w:t>apjomu pilsētu funkcionālajās teritorijās, veicot ieguldījumus uzņēmējdarbības attīstībai atbilstoši pašvaldību attīstības programmām.</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vismaz 35 komersanti, kas gūst labumu no attīstītās publiskās infrastruktūras;</w:t>
            </w:r>
            <w:r w:rsidRPr="00BF055E">
              <w:rPr>
                <w:rFonts w:eastAsia="Times New Roman" w:cs="Times New Roman"/>
                <w:sz w:val="18"/>
                <w:szCs w:val="18"/>
                <w:lang w:eastAsia="lv-LV"/>
              </w:rPr>
              <w:br/>
              <w:t xml:space="preserve">2) vismaz 51 400 781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darba algu fonda pieaugums privātajos komersantos;</w:t>
            </w:r>
            <w:r w:rsidRPr="00BF055E">
              <w:rPr>
                <w:rFonts w:eastAsia="Times New Roman" w:cs="Times New Roman"/>
                <w:sz w:val="18"/>
                <w:szCs w:val="18"/>
                <w:lang w:eastAsia="lv-LV"/>
              </w:rPr>
              <w:br/>
              <w:t xml:space="preserve">3) vismaz 68 534 375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privātās </w:t>
            </w:r>
            <w:proofErr w:type="spellStart"/>
            <w:r w:rsidRPr="00BF055E">
              <w:rPr>
                <w:rFonts w:eastAsia="Times New Roman" w:cs="Times New Roman"/>
                <w:sz w:val="18"/>
                <w:szCs w:val="18"/>
                <w:lang w:eastAsia="lv-LV"/>
              </w:rPr>
              <w:t>nefinanšu</w:t>
            </w:r>
            <w:proofErr w:type="spellEnd"/>
            <w:r w:rsidRPr="00BF055E">
              <w:rPr>
                <w:rFonts w:eastAsia="Times New Roman" w:cs="Times New Roman"/>
                <w:sz w:val="18"/>
                <w:szCs w:val="18"/>
                <w:lang w:eastAsia="lv-LV"/>
              </w:rPr>
              <w:t xml:space="preserve"> investīcijas nemateriālajos ieguldījumos un pamatlīdzekļos.</w:t>
            </w:r>
          </w:p>
        </w:tc>
        <w:tc>
          <w:tcPr>
            <w:tcW w:w="2551" w:type="dxa"/>
            <w:tcBorders>
              <w:top w:val="nil"/>
              <w:left w:val="nil"/>
              <w:bottom w:val="single" w:sz="4" w:space="0" w:color="auto"/>
              <w:right w:val="single" w:sz="4" w:space="0" w:color="auto"/>
            </w:tcBorders>
            <w:shd w:val="clear" w:color="000000" w:fill="FFFFFF"/>
            <w:hideMark/>
          </w:tcPr>
          <w:p w14:paraId="2B4A55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(16.01.2024.; grozījumi 07.05.2024. un 04.06.2024.);</w:t>
            </w:r>
            <w:r w:rsidRPr="00BF055E">
              <w:rPr>
                <w:rFonts w:eastAsia="Times New Roman" w:cs="Times New Roman"/>
                <w:sz w:val="18"/>
                <w:szCs w:val="18"/>
                <w:lang w:eastAsia="lv-LV"/>
              </w:rPr>
              <w:br/>
              <w:t xml:space="preserve">2) projektu iesniegumu vērtēšanas kritēriju </w:t>
            </w:r>
            <w:r w:rsidRPr="00BF055E">
              <w:rPr>
                <w:rFonts w:eastAsia="Times New Roman" w:cs="Times New Roman"/>
                <w:sz w:val="18"/>
                <w:szCs w:val="18"/>
                <w:lang w:eastAsia="lv-LV"/>
              </w:rPr>
              <w:lastRenderedPageBreak/>
              <w:t>apstiprināšana ES fondu Uzraudzības komitejā (02.08.2023.);</w:t>
            </w:r>
            <w:r w:rsidRPr="00BF055E">
              <w:rPr>
                <w:rFonts w:eastAsia="Times New Roman" w:cs="Times New Roman"/>
                <w:sz w:val="18"/>
                <w:szCs w:val="18"/>
                <w:lang w:eastAsia="lv-LV"/>
              </w:rPr>
              <w:br/>
              <w:t>3) atlases uzsākšana (1.kārtai - ierobežota atlase 09.05.2024.; 2.kārtai - atklāta atlase 21.02.2024.);</w:t>
            </w:r>
            <w:r w:rsidRPr="00BF055E">
              <w:rPr>
                <w:rFonts w:eastAsia="Times New Roman" w:cs="Times New Roman"/>
                <w:sz w:val="18"/>
                <w:szCs w:val="18"/>
                <w:lang w:eastAsia="lv-LV"/>
              </w:rPr>
              <w:br/>
              <w:t>4) līgumu slēgšana un projektu īstenošana.</w:t>
            </w:r>
          </w:p>
        </w:tc>
        <w:tc>
          <w:tcPr>
            <w:tcW w:w="1134" w:type="dxa"/>
            <w:tcBorders>
              <w:top w:val="nil"/>
              <w:left w:val="nil"/>
              <w:bottom w:val="single" w:sz="4" w:space="0" w:color="auto"/>
              <w:right w:val="single" w:sz="4" w:space="0" w:color="auto"/>
            </w:tcBorders>
            <w:shd w:val="clear" w:color="000000" w:fill="FFFFFF"/>
            <w:hideMark/>
          </w:tcPr>
          <w:p w14:paraId="5DD0EE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01.01.2021. -31.12.2029.</w:t>
            </w:r>
          </w:p>
        </w:tc>
        <w:tc>
          <w:tcPr>
            <w:tcW w:w="1701" w:type="dxa"/>
            <w:tcBorders>
              <w:top w:val="nil"/>
              <w:left w:val="nil"/>
              <w:bottom w:val="single" w:sz="4" w:space="0" w:color="auto"/>
              <w:right w:val="single" w:sz="4" w:space="0" w:color="auto"/>
            </w:tcBorders>
            <w:shd w:val="clear" w:color="000000" w:fill="FFFFFF"/>
            <w:hideMark/>
          </w:tcPr>
          <w:p w14:paraId="336125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w:t>
            </w:r>
            <w:r w:rsidRPr="00BF055E">
              <w:rPr>
                <w:rFonts w:eastAsia="Times New Roman" w:cs="Times New Roman"/>
                <w:sz w:val="18"/>
                <w:szCs w:val="18"/>
                <w:lang w:eastAsia="lv-LV"/>
              </w:rPr>
              <w:br/>
              <w:t>39,9 milj. ERAF;</w:t>
            </w:r>
            <w:r w:rsidRPr="00BF055E">
              <w:rPr>
                <w:rFonts w:eastAsia="Times New Roman" w:cs="Times New Roman"/>
                <w:sz w:val="18"/>
                <w:szCs w:val="18"/>
                <w:lang w:eastAsia="lv-LV"/>
              </w:rPr>
              <w:br/>
              <w:t>7 milj. nacionālais finansējums</w:t>
            </w:r>
            <w:r w:rsidRPr="00BF055E">
              <w:rPr>
                <w:rFonts w:eastAsia="Times New Roman" w:cs="Times New Roman"/>
                <w:sz w:val="18"/>
                <w:szCs w:val="18"/>
                <w:lang w:eastAsia="lv-LV"/>
              </w:rPr>
              <w:br/>
              <w:t xml:space="preserve">(pašvaldību līdzfinansējums vai </w:t>
            </w:r>
            <w:r w:rsidRPr="00BF055E">
              <w:rPr>
                <w:rFonts w:eastAsia="Times New Roman" w:cs="Times New Roman"/>
                <w:sz w:val="18"/>
                <w:szCs w:val="18"/>
                <w:lang w:eastAsia="lv-LV"/>
              </w:rPr>
              <w:lastRenderedPageBreak/>
              <w:t>privātais līdzfinansējums)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2.kārta:</w:t>
            </w:r>
            <w:r w:rsidRPr="00BF055E">
              <w:rPr>
                <w:rFonts w:eastAsia="Times New Roman" w:cs="Times New Roman"/>
                <w:sz w:val="18"/>
                <w:szCs w:val="18"/>
                <w:lang w:eastAsia="lv-LV"/>
              </w:rPr>
              <w:br/>
              <w:t>62,9 milj. ERAF;</w:t>
            </w:r>
            <w:r w:rsidRPr="00BF055E">
              <w:rPr>
                <w:rFonts w:eastAsia="Times New Roman" w:cs="Times New Roman"/>
                <w:sz w:val="18"/>
                <w:szCs w:val="18"/>
                <w:lang w:eastAsia="lv-LV"/>
              </w:rPr>
              <w:br/>
              <w:t>11,1 milj. nacionālais finansējums (pašvaldību līdzfinansējums vai privātais līdzfinansējums)</w:t>
            </w:r>
          </w:p>
        </w:tc>
        <w:tc>
          <w:tcPr>
            <w:tcW w:w="992" w:type="dxa"/>
            <w:tcBorders>
              <w:top w:val="nil"/>
              <w:left w:val="nil"/>
              <w:bottom w:val="single" w:sz="4" w:space="0" w:color="auto"/>
              <w:right w:val="single" w:sz="4" w:space="0" w:color="auto"/>
            </w:tcBorders>
            <w:shd w:val="clear" w:color="000000" w:fill="FFFFFF"/>
            <w:hideMark/>
          </w:tcPr>
          <w:p w14:paraId="30EF855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VARAM/CFLA/pašvaldības</w:t>
            </w:r>
          </w:p>
        </w:tc>
        <w:tc>
          <w:tcPr>
            <w:tcW w:w="1090" w:type="dxa"/>
            <w:tcBorders>
              <w:top w:val="nil"/>
              <w:left w:val="nil"/>
              <w:bottom w:val="single" w:sz="4" w:space="0" w:color="auto"/>
              <w:right w:val="single" w:sz="4" w:space="0" w:color="auto"/>
            </w:tcBorders>
            <w:shd w:val="clear" w:color="000000" w:fill="FFFFFF"/>
            <w:hideMark/>
          </w:tcPr>
          <w:p w14:paraId="6FDA26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776" w:type="dxa"/>
            <w:vMerge/>
            <w:tcBorders>
              <w:top w:val="nil"/>
              <w:left w:val="single" w:sz="4" w:space="0" w:color="auto"/>
              <w:bottom w:val="single" w:sz="4" w:space="0" w:color="auto"/>
              <w:right w:val="single" w:sz="4" w:space="0" w:color="auto"/>
            </w:tcBorders>
            <w:vAlign w:val="center"/>
            <w:hideMark/>
          </w:tcPr>
          <w:p w14:paraId="1F08BCCA"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2D3F642E"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73F3078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4D74EFE8"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44E5B01B"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01D2926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Pašvaldību un plānošanas reģionu kapacitātes uzlabošana (Programma</w:t>
            </w:r>
            <w:r w:rsidRPr="00BF055E">
              <w:rPr>
                <w:rFonts w:eastAsia="Times New Roman" w:cs="Times New Roman"/>
                <w:sz w:val="18"/>
                <w:szCs w:val="18"/>
                <w:lang w:eastAsia="lv-LV"/>
              </w:rPr>
              <w:br/>
              <w:t>5.1.1.2. (elastības finansējums nav plānots))</w:t>
            </w:r>
          </w:p>
        </w:tc>
        <w:tc>
          <w:tcPr>
            <w:tcW w:w="1985" w:type="dxa"/>
            <w:tcBorders>
              <w:top w:val="nil"/>
              <w:left w:val="nil"/>
              <w:bottom w:val="single" w:sz="4" w:space="0" w:color="auto"/>
              <w:right w:val="single" w:sz="4" w:space="0" w:color="auto"/>
            </w:tcBorders>
            <w:shd w:val="clear" w:color="000000" w:fill="FFFFFF"/>
            <w:hideMark/>
          </w:tcPr>
          <w:p w14:paraId="0647ED7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plānošanas reģionu un pašvaldību administratīvās kapacitātes uzlabošanai teritoriālās attīstības plānošanas un īstenošanas jautājumos, sekmējot kvalitatīvu projektu pieteikumu sagatavošanu ES strukturālo un investīciju fondu atbalsta piesaistei </w:t>
            </w:r>
            <w:r w:rsidRPr="00BF055E">
              <w:rPr>
                <w:rFonts w:eastAsia="Times New Roman" w:cs="Times New Roman"/>
                <w:sz w:val="18"/>
                <w:szCs w:val="18"/>
                <w:lang w:eastAsia="lv-LV"/>
              </w:rPr>
              <w:lastRenderedPageBreak/>
              <w:t xml:space="preserve">teritoriju attīstībai, tai skaitā ievērojot labas pārvaldības principus, lai stiprinātu pašvaldību konkurētspēju un nodrošinātu teritoriju </w:t>
            </w:r>
            <w:proofErr w:type="spellStart"/>
            <w:r w:rsidRPr="00BF055E">
              <w:rPr>
                <w:rFonts w:eastAsia="Times New Roman" w:cs="Times New Roman"/>
                <w:sz w:val="18"/>
                <w:szCs w:val="18"/>
                <w:lang w:eastAsia="lv-LV"/>
              </w:rPr>
              <w:t>apdzīvojuma</w:t>
            </w:r>
            <w:proofErr w:type="spellEnd"/>
            <w:r w:rsidRPr="00BF055E">
              <w:rPr>
                <w:rFonts w:eastAsia="Times New Roman" w:cs="Times New Roman"/>
                <w:sz w:val="18"/>
                <w:szCs w:val="18"/>
                <w:lang w:eastAsia="lv-LV"/>
              </w:rPr>
              <w:t xml:space="preserve"> un dzīves vides ilgtspējīgu attīstību.</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vismaz 29 pašvaldībās un vismaz 3 plānošanas reģionos nodrošināta administratīvās kapacitātes uzlabošana;</w:t>
            </w:r>
            <w:r w:rsidRPr="00BF055E">
              <w:rPr>
                <w:rFonts w:eastAsia="Times New Roman" w:cs="Times New Roman"/>
                <w:sz w:val="18"/>
                <w:szCs w:val="18"/>
                <w:lang w:eastAsia="lv-LV"/>
              </w:rPr>
              <w:br/>
              <w:t>2) organizēti vismaz 5 plānošanas reģionu un pašvaldību attīstības plānošanas un projektu speciālistu kapacitāti stiprinošie pasākumi (semināri, kampaņas, pieredzes apmaiņas vai citi pasākumi).</w:t>
            </w:r>
          </w:p>
        </w:tc>
        <w:tc>
          <w:tcPr>
            <w:tcW w:w="2551" w:type="dxa"/>
            <w:tcBorders>
              <w:top w:val="nil"/>
              <w:left w:val="nil"/>
              <w:bottom w:val="single" w:sz="4" w:space="0" w:color="auto"/>
              <w:right w:val="single" w:sz="4" w:space="0" w:color="auto"/>
            </w:tcBorders>
            <w:shd w:val="clear" w:color="000000" w:fill="FFFFFF"/>
            <w:hideMark/>
          </w:tcPr>
          <w:p w14:paraId="106D92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(31.01.2023.);</w:t>
            </w:r>
            <w:r w:rsidRPr="00BF055E">
              <w:rPr>
                <w:rFonts w:eastAsia="Times New Roman" w:cs="Times New Roman"/>
                <w:sz w:val="18"/>
                <w:szCs w:val="18"/>
                <w:lang w:eastAsia="lv-LV"/>
              </w:rPr>
              <w:br/>
              <w:t>2) projektu iesniegumu vērtēšanas kritēriju apstiprināšana ES fondu Uzraudzības komitejā (26.01.2023.);</w:t>
            </w:r>
            <w:r w:rsidRPr="00BF055E">
              <w:rPr>
                <w:rFonts w:eastAsia="Times New Roman" w:cs="Times New Roman"/>
                <w:sz w:val="18"/>
                <w:szCs w:val="18"/>
                <w:lang w:eastAsia="lv-LV"/>
              </w:rPr>
              <w:br/>
              <w:t>3) ierobežotas atlases uzsākšana (06.03.2023.);</w:t>
            </w:r>
            <w:r w:rsidRPr="00BF055E">
              <w:rPr>
                <w:rFonts w:eastAsia="Times New Roman" w:cs="Times New Roman"/>
                <w:sz w:val="18"/>
                <w:szCs w:val="18"/>
                <w:lang w:eastAsia="lv-LV"/>
              </w:rPr>
              <w:br/>
              <w:t>4) līguma slēgšana (09.08.2023.) un projekta īstenošana.</w:t>
            </w:r>
          </w:p>
        </w:tc>
        <w:tc>
          <w:tcPr>
            <w:tcW w:w="1134" w:type="dxa"/>
            <w:tcBorders>
              <w:top w:val="nil"/>
              <w:left w:val="nil"/>
              <w:bottom w:val="single" w:sz="4" w:space="0" w:color="auto"/>
              <w:right w:val="single" w:sz="4" w:space="0" w:color="auto"/>
            </w:tcBorders>
            <w:shd w:val="clear" w:color="000000" w:fill="FFFFFF"/>
            <w:hideMark/>
          </w:tcPr>
          <w:p w14:paraId="5699FF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01.01.2023.-31.12.2029.</w:t>
            </w:r>
          </w:p>
        </w:tc>
        <w:tc>
          <w:tcPr>
            <w:tcW w:w="1701" w:type="dxa"/>
            <w:tcBorders>
              <w:top w:val="nil"/>
              <w:left w:val="nil"/>
              <w:bottom w:val="single" w:sz="4" w:space="0" w:color="auto"/>
              <w:right w:val="single" w:sz="4" w:space="0" w:color="auto"/>
            </w:tcBorders>
            <w:shd w:val="clear" w:color="000000" w:fill="FFFFFF"/>
            <w:hideMark/>
          </w:tcPr>
          <w:p w14:paraId="6CF249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0,4 milj. ERAF; </w:t>
            </w:r>
            <w:r w:rsidRPr="00BF055E">
              <w:rPr>
                <w:rFonts w:eastAsia="Times New Roman" w:cs="Times New Roman"/>
                <w:sz w:val="18"/>
                <w:szCs w:val="18"/>
                <w:lang w:eastAsia="lv-LV"/>
              </w:rPr>
              <w:br/>
              <w:t>0,07 milj. nacionālais finansējums (valsts budžets)</w:t>
            </w:r>
          </w:p>
        </w:tc>
        <w:tc>
          <w:tcPr>
            <w:tcW w:w="992" w:type="dxa"/>
            <w:tcBorders>
              <w:top w:val="nil"/>
              <w:left w:val="nil"/>
              <w:bottom w:val="single" w:sz="4" w:space="0" w:color="auto"/>
              <w:right w:val="single" w:sz="4" w:space="0" w:color="auto"/>
            </w:tcBorders>
            <w:shd w:val="clear" w:color="000000" w:fill="FFFFFF"/>
            <w:hideMark/>
          </w:tcPr>
          <w:p w14:paraId="25FABE1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1090" w:type="dxa"/>
            <w:tcBorders>
              <w:top w:val="nil"/>
              <w:left w:val="nil"/>
              <w:bottom w:val="single" w:sz="4" w:space="0" w:color="auto"/>
              <w:right w:val="single" w:sz="4" w:space="0" w:color="auto"/>
            </w:tcBorders>
            <w:shd w:val="clear" w:color="000000" w:fill="FFFFFF"/>
            <w:hideMark/>
          </w:tcPr>
          <w:p w14:paraId="1F5C60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776" w:type="dxa"/>
            <w:vMerge/>
            <w:tcBorders>
              <w:top w:val="nil"/>
              <w:left w:val="single" w:sz="4" w:space="0" w:color="auto"/>
              <w:bottom w:val="single" w:sz="4" w:space="0" w:color="auto"/>
              <w:right w:val="single" w:sz="4" w:space="0" w:color="auto"/>
            </w:tcBorders>
            <w:vAlign w:val="center"/>
            <w:hideMark/>
          </w:tcPr>
          <w:p w14:paraId="35E4C7BF"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55" w:type="dxa"/>
            <w:vMerge/>
            <w:tcBorders>
              <w:top w:val="nil"/>
              <w:left w:val="single" w:sz="4" w:space="0" w:color="auto"/>
              <w:bottom w:val="single" w:sz="4" w:space="0" w:color="auto"/>
              <w:right w:val="single" w:sz="4" w:space="0" w:color="auto"/>
            </w:tcBorders>
            <w:vAlign w:val="center"/>
            <w:hideMark/>
          </w:tcPr>
          <w:p w14:paraId="24CFBE15"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759" w:type="dxa"/>
            <w:vMerge/>
            <w:tcBorders>
              <w:top w:val="nil"/>
              <w:left w:val="single" w:sz="4" w:space="0" w:color="auto"/>
              <w:bottom w:val="single" w:sz="4" w:space="0" w:color="auto"/>
              <w:right w:val="single" w:sz="4" w:space="0" w:color="auto"/>
            </w:tcBorders>
            <w:vAlign w:val="center"/>
            <w:hideMark/>
          </w:tcPr>
          <w:p w14:paraId="50BC0159"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c>
          <w:tcPr>
            <w:tcW w:w="1146" w:type="dxa"/>
            <w:vMerge/>
            <w:tcBorders>
              <w:top w:val="nil"/>
              <w:left w:val="single" w:sz="4" w:space="0" w:color="auto"/>
              <w:bottom w:val="single" w:sz="4" w:space="0" w:color="auto"/>
              <w:right w:val="single" w:sz="4" w:space="0" w:color="auto"/>
            </w:tcBorders>
            <w:vAlign w:val="center"/>
            <w:hideMark/>
          </w:tcPr>
          <w:p w14:paraId="578C8561" w14:textId="77777777" w:rsidR="00BF055E" w:rsidRPr="00BF055E" w:rsidRDefault="00BF055E" w:rsidP="006357B3">
            <w:pPr>
              <w:spacing w:after="0" w:line="240" w:lineRule="auto"/>
              <w:ind w:firstLine="0"/>
              <w:jc w:val="left"/>
              <w:rPr>
                <w:rFonts w:eastAsia="Times New Roman" w:cs="Times New Roman"/>
                <w:sz w:val="18"/>
                <w:szCs w:val="18"/>
                <w:lang w:eastAsia="lv-LV"/>
              </w:rPr>
            </w:pPr>
          </w:p>
        </w:tc>
      </w:tr>
      <w:tr w:rsidR="00BF055E" w:rsidRPr="00BF055E" w14:paraId="67211828"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3AA1DBC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Konkurētspējas veicināšana lauksaimniecībā</w:t>
            </w:r>
          </w:p>
        </w:tc>
        <w:tc>
          <w:tcPr>
            <w:tcW w:w="1985" w:type="dxa"/>
            <w:tcBorders>
              <w:top w:val="nil"/>
              <w:left w:val="nil"/>
              <w:bottom w:val="single" w:sz="4" w:space="0" w:color="auto"/>
              <w:right w:val="single" w:sz="4" w:space="0" w:color="auto"/>
            </w:tcBorders>
            <w:shd w:val="clear" w:color="000000" w:fill="FFFFFF"/>
            <w:hideMark/>
          </w:tcPr>
          <w:p w14:paraId="6E79C8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Atbalstīt 2500</w:t>
            </w:r>
            <w:r w:rsidRPr="00BF055E">
              <w:rPr>
                <w:rFonts w:eastAsia="Times New Roman" w:cs="Times New Roman"/>
                <w:b/>
                <w:bCs/>
                <w:sz w:val="18"/>
                <w:szCs w:val="18"/>
                <w:lang w:eastAsia="lv-LV"/>
              </w:rPr>
              <w:t xml:space="preserve"> </w:t>
            </w:r>
            <w:r w:rsidRPr="00BF055E">
              <w:rPr>
                <w:rFonts w:eastAsia="Times New Roman" w:cs="Times New Roman"/>
                <w:sz w:val="18"/>
                <w:szCs w:val="18"/>
                <w:lang w:eastAsia="lv-LV"/>
              </w:rPr>
              <w:t>lauku saimniecības, lai uzlabotu to saimnieciskās darbības rādītājus un konkurētspēju, kā arī veicinātu kooperācijas attīstību un piekļuvi finansējumam</w:t>
            </w:r>
          </w:p>
        </w:tc>
        <w:tc>
          <w:tcPr>
            <w:tcW w:w="2551" w:type="dxa"/>
            <w:tcBorders>
              <w:top w:val="nil"/>
              <w:left w:val="nil"/>
              <w:bottom w:val="single" w:sz="4" w:space="0" w:color="auto"/>
              <w:right w:val="single" w:sz="4" w:space="0" w:color="auto"/>
            </w:tcBorders>
            <w:shd w:val="clear" w:color="000000" w:fill="FFFFFF"/>
            <w:hideMark/>
          </w:tcPr>
          <w:p w14:paraId="5108C53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Normatīvo aktu izstrāde un apstiprināšana pārejas periodam - 2020.-2021.g.</w:t>
            </w:r>
            <w:r w:rsidRPr="00BF055E">
              <w:rPr>
                <w:rFonts w:eastAsia="Times New Roman" w:cs="Times New Roman"/>
                <w:sz w:val="18"/>
                <w:szCs w:val="18"/>
                <w:lang w:eastAsia="lv-LV"/>
              </w:rPr>
              <w:br/>
              <w:t>2) KLP SP 2023-2027 izstrāde un saskaņošana ar EK</w:t>
            </w:r>
            <w:r w:rsidRPr="00BF055E">
              <w:rPr>
                <w:rFonts w:eastAsia="Times New Roman" w:cs="Times New Roman"/>
                <w:sz w:val="18"/>
                <w:szCs w:val="18"/>
                <w:lang w:eastAsia="lv-LV"/>
              </w:rPr>
              <w:br/>
              <w:t>2)Normatīvo aktu izstrāde un apstiprināšana  (2023.g. – 2024.g.)</w:t>
            </w:r>
            <w:r w:rsidRPr="00BF055E">
              <w:rPr>
                <w:rFonts w:eastAsia="Times New Roman" w:cs="Times New Roman"/>
                <w:sz w:val="18"/>
                <w:szCs w:val="18"/>
                <w:lang w:eastAsia="lv-LV"/>
              </w:rPr>
              <w:br/>
              <w:t>3) Atbalsta pasākumu īstenošana no 2023.-2029.gadam</w:t>
            </w:r>
          </w:p>
        </w:tc>
        <w:tc>
          <w:tcPr>
            <w:tcW w:w="1134" w:type="dxa"/>
            <w:tcBorders>
              <w:top w:val="nil"/>
              <w:left w:val="nil"/>
              <w:bottom w:val="single" w:sz="4" w:space="0" w:color="auto"/>
              <w:right w:val="single" w:sz="4" w:space="0" w:color="auto"/>
            </w:tcBorders>
            <w:shd w:val="clear" w:color="000000" w:fill="FFFFFF"/>
            <w:hideMark/>
          </w:tcPr>
          <w:p w14:paraId="5883C88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2023. - 2029. </w:t>
            </w:r>
          </w:p>
        </w:tc>
        <w:tc>
          <w:tcPr>
            <w:tcW w:w="1701" w:type="dxa"/>
            <w:tcBorders>
              <w:top w:val="nil"/>
              <w:left w:val="nil"/>
              <w:bottom w:val="single" w:sz="4" w:space="0" w:color="auto"/>
              <w:right w:val="single" w:sz="4" w:space="0" w:color="auto"/>
            </w:tcBorders>
            <w:shd w:val="clear" w:color="auto" w:fill="auto"/>
            <w:hideMark/>
          </w:tcPr>
          <w:p w14:paraId="52B16159" w14:textId="4C16748C"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335,9 milj.</w:t>
            </w:r>
            <w:r w:rsidR="0058560C">
              <w:rPr>
                <w:rFonts w:eastAsia="Times New Roman" w:cs="Times New Roman"/>
                <w:sz w:val="18"/>
                <w:szCs w:val="18"/>
                <w:lang w:eastAsia="lv-LV"/>
              </w:rPr>
              <w:t xml:space="preserve">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(ES fondi - ELFLA), kur ES finansējums - 250,7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LV līdzfinansējums - 85,2 milj. </w:t>
            </w:r>
            <w:proofErr w:type="spellStart"/>
            <w:r w:rsidRPr="00BF055E">
              <w:rPr>
                <w:rFonts w:eastAsia="Times New Roman" w:cs="Times New Roman"/>
                <w:i/>
                <w:sz w:val="18"/>
                <w:szCs w:val="18"/>
                <w:lang w:eastAsia="lv-LV"/>
              </w:rPr>
              <w:t>euro</w:t>
            </w:r>
            <w:proofErr w:type="spellEnd"/>
          </w:p>
        </w:tc>
        <w:tc>
          <w:tcPr>
            <w:tcW w:w="992" w:type="dxa"/>
            <w:tcBorders>
              <w:top w:val="nil"/>
              <w:left w:val="nil"/>
              <w:bottom w:val="single" w:sz="4" w:space="0" w:color="auto"/>
              <w:right w:val="single" w:sz="4" w:space="0" w:color="auto"/>
            </w:tcBorders>
            <w:shd w:val="clear" w:color="000000" w:fill="FFFFFF"/>
            <w:hideMark/>
          </w:tcPr>
          <w:p w14:paraId="79F07FE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ZM/LAD; ALTUM</w:t>
            </w:r>
          </w:p>
        </w:tc>
        <w:tc>
          <w:tcPr>
            <w:tcW w:w="1090" w:type="dxa"/>
            <w:tcBorders>
              <w:top w:val="nil"/>
              <w:left w:val="nil"/>
              <w:bottom w:val="single" w:sz="4" w:space="0" w:color="auto"/>
              <w:right w:val="single" w:sz="4" w:space="0" w:color="auto"/>
            </w:tcBorders>
            <w:shd w:val="clear" w:color="000000" w:fill="FFFFFF"/>
            <w:hideMark/>
          </w:tcPr>
          <w:p w14:paraId="1A67A2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776" w:type="dxa"/>
            <w:tcBorders>
              <w:top w:val="nil"/>
              <w:left w:val="nil"/>
              <w:bottom w:val="single" w:sz="4" w:space="0" w:color="auto"/>
              <w:right w:val="single" w:sz="4" w:space="0" w:color="auto"/>
            </w:tcBorders>
            <w:shd w:val="clear" w:color="000000" w:fill="FFFFFF"/>
            <w:hideMark/>
          </w:tcPr>
          <w:p w14:paraId="14CB29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2022(3); 2023(3); 2024(3)</w:t>
            </w:r>
          </w:p>
        </w:tc>
        <w:tc>
          <w:tcPr>
            <w:tcW w:w="1155" w:type="dxa"/>
            <w:tcBorders>
              <w:top w:val="nil"/>
              <w:left w:val="nil"/>
              <w:bottom w:val="single" w:sz="4" w:space="0" w:color="auto"/>
              <w:right w:val="single" w:sz="4" w:space="0" w:color="auto"/>
            </w:tcBorders>
            <w:shd w:val="clear" w:color="000000" w:fill="FFFFFF"/>
            <w:hideMark/>
          </w:tcPr>
          <w:p w14:paraId="50F410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759" w:type="dxa"/>
            <w:tcBorders>
              <w:top w:val="nil"/>
              <w:left w:val="nil"/>
              <w:bottom w:val="single" w:sz="4" w:space="0" w:color="auto"/>
              <w:right w:val="single" w:sz="4" w:space="0" w:color="auto"/>
            </w:tcBorders>
            <w:shd w:val="clear" w:color="000000" w:fill="FFFFFF"/>
            <w:hideMark/>
          </w:tcPr>
          <w:p w14:paraId="3E1C75D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46" w:type="dxa"/>
            <w:tcBorders>
              <w:top w:val="nil"/>
              <w:left w:val="nil"/>
              <w:bottom w:val="single" w:sz="4" w:space="0" w:color="auto"/>
              <w:right w:val="single" w:sz="4" w:space="0" w:color="auto"/>
            </w:tcBorders>
            <w:shd w:val="clear" w:color="000000" w:fill="FFFFFF"/>
            <w:hideMark/>
          </w:tcPr>
          <w:p w14:paraId="64E2AD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1E9607FB"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7BA894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Investīcijas zaļās pārejas veicināšanai</w:t>
            </w:r>
          </w:p>
        </w:tc>
        <w:tc>
          <w:tcPr>
            <w:tcW w:w="1985" w:type="dxa"/>
            <w:tcBorders>
              <w:top w:val="nil"/>
              <w:left w:val="nil"/>
              <w:bottom w:val="single" w:sz="4" w:space="0" w:color="auto"/>
              <w:right w:val="single" w:sz="4" w:space="0" w:color="auto"/>
            </w:tcBorders>
            <w:shd w:val="clear" w:color="000000" w:fill="FFFFFF"/>
            <w:hideMark/>
          </w:tcPr>
          <w:p w14:paraId="0D60F68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zaļās pārejas veicināšanai</w:t>
            </w:r>
          </w:p>
        </w:tc>
        <w:tc>
          <w:tcPr>
            <w:tcW w:w="2551" w:type="dxa"/>
            <w:tcBorders>
              <w:top w:val="nil"/>
              <w:left w:val="nil"/>
              <w:bottom w:val="single" w:sz="4" w:space="0" w:color="auto"/>
              <w:right w:val="single" w:sz="4" w:space="0" w:color="auto"/>
            </w:tcBorders>
            <w:shd w:val="clear" w:color="000000" w:fill="FFFFFF"/>
            <w:hideMark/>
          </w:tcPr>
          <w:p w14:paraId="5BDF72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Nacionālā enerģētikas un klimata plāna apstiprināšana;</w:t>
            </w:r>
            <w:r w:rsidRPr="00BF055E">
              <w:rPr>
                <w:rFonts w:eastAsia="Times New Roman" w:cs="Times New Roman"/>
                <w:sz w:val="18"/>
                <w:szCs w:val="18"/>
                <w:lang w:eastAsia="lv-LV"/>
              </w:rPr>
              <w:br/>
              <w:t xml:space="preserve">2.) MK noteikumu "Emisijas kvotu izsolīšanas instrumenta finansēto projektu atklāta konkursa "Sabiedrības izpratnes veicināšana par </w:t>
            </w:r>
            <w:proofErr w:type="spellStart"/>
            <w:r w:rsidRPr="00BF055E">
              <w:rPr>
                <w:rFonts w:eastAsia="Times New Roman" w:cs="Times New Roman"/>
                <w:sz w:val="18"/>
                <w:szCs w:val="18"/>
                <w:lang w:eastAsia="lv-LV"/>
              </w:rPr>
              <w:t>klimatneitralitātes</w:t>
            </w:r>
            <w:proofErr w:type="spellEnd"/>
            <w:r w:rsidRPr="00BF055E">
              <w:rPr>
                <w:rFonts w:eastAsia="Times New Roman" w:cs="Times New Roman"/>
                <w:sz w:val="18"/>
                <w:szCs w:val="18"/>
                <w:lang w:eastAsia="lv-LV"/>
              </w:rPr>
              <w:t xml:space="preserve"> un </w:t>
            </w:r>
            <w:proofErr w:type="spellStart"/>
            <w:r w:rsidRPr="00BF055E">
              <w:rPr>
                <w:rFonts w:eastAsia="Times New Roman" w:cs="Times New Roman"/>
                <w:sz w:val="18"/>
                <w:szCs w:val="18"/>
                <w:lang w:eastAsia="lv-LV"/>
              </w:rPr>
              <w:t>klimatnoturības</w:t>
            </w:r>
            <w:proofErr w:type="spellEnd"/>
            <w:r w:rsidRPr="00BF055E">
              <w:rPr>
                <w:rFonts w:eastAsia="Times New Roman" w:cs="Times New Roman"/>
                <w:sz w:val="18"/>
                <w:szCs w:val="18"/>
                <w:lang w:eastAsia="lv-LV"/>
              </w:rPr>
              <w:t xml:space="preserve"> nozīmi un iespējām" nolikums" sagatavošana, MK noteikumu apstiprināšana - 2024. gada 3. ceturksnis, projektu iesniegumu atlases izsludināšana - 2024. gada 4. ceturksnis, konkursa ietvaros apstiprināto projektu īstenošanas termiņš - atbilstoši katrā noslēgtajā projekta līgumā noteiktajam;</w:t>
            </w:r>
            <w:r w:rsidRPr="00BF055E">
              <w:rPr>
                <w:rFonts w:eastAsia="Times New Roman" w:cs="Times New Roman"/>
                <w:sz w:val="18"/>
                <w:szCs w:val="18"/>
                <w:lang w:eastAsia="lv-LV"/>
              </w:rPr>
              <w:br/>
              <w:t>3.) MK noteikumu sagatavošana - Emisijas kvotu izsolīšanas instrumenta finansēto projektu atklātu konkursu nolikumi laika periodā līdz 2028. gadam - atbilstoši Emisijas kvotu izsolīšanas instrumenta darbības stratēģijā (izstrādes stadijā) noteiktajiem finansējuma izmantošanas virzieniem un Nacionālajā enerģētikas un klimata plānā noteiktajām prioritātēm;2.) atbilstoši 43. rindā norādītajām investīcijām - 1.) un 2.), 44. rindā norādītajām investīcijām - 2.) un 3.)</w:t>
            </w:r>
            <w:r w:rsidRPr="00BF055E">
              <w:rPr>
                <w:rFonts w:eastAsia="Times New Roman" w:cs="Times New Roman"/>
                <w:sz w:val="18"/>
                <w:szCs w:val="18"/>
                <w:lang w:eastAsia="lv-LV"/>
              </w:rPr>
              <w:br/>
              <w:t xml:space="preserve">4.) MK noteikumu par ES </w:t>
            </w:r>
            <w:r w:rsidRPr="00BF055E">
              <w:rPr>
                <w:rFonts w:eastAsia="Times New Roman" w:cs="Times New Roman"/>
                <w:sz w:val="18"/>
                <w:szCs w:val="18"/>
                <w:lang w:eastAsia="lv-LV"/>
              </w:rPr>
              <w:lastRenderedPageBreak/>
              <w:t xml:space="preserve">kohēzijas politikas programmas 2021. - 2027. gadam 2.2.2.3. specifiskā atbalsta mērķa pasākuma "Notekūdeņu dūņu pārstrāde" sagatavošana (2025.g.), MK noteikumu apstiprināšana (2025.g.), programmas īstenošana (2026.-2028.g.); </w:t>
            </w:r>
            <w:r w:rsidRPr="00BF055E">
              <w:rPr>
                <w:rFonts w:eastAsia="Times New Roman" w:cs="Times New Roman"/>
                <w:sz w:val="18"/>
                <w:szCs w:val="18"/>
                <w:lang w:eastAsia="lv-LV"/>
              </w:rPr>
              <w:br/>
              <w:t>5.) atbilstoši 43. rindā norādītajām investīcijām 1) un 2), 44. rindā norādītajam investīcijām 2.) un 3.)  un 45.rindā norādītajām investīcijām 4)-17).</w:t>
            </w:r>
          </w:p>
        </w:tc>
        <w:tc>
          <w:tcPr>
            <w:tcW w:w="1134" w:type="dxa"/>
            <w:tcBorders>
              <w:top w:val="nil"/>
              <w:left w:val="nil"/>
              <w:bottom w:val="single" w:sz="4" w:space="0" w:color="auto"/>
              <w:right w:val="single" w:sz="4" w:space="0" w:color="auto"/>
            </w:tcBorders>
            <w:shd w:val="clear" w:color="000000" w:fill="FFFFFF"/>
            <w:hideMark/>
          </w:tcPr>
          <w:p w14:paraId="2628A14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ES fondu pasākumiem (2025. - 2029.g.), </w:t>
            </w:r>
            <w:proofErr w:type="spellStart"/>
            <w:r w:rsidRPr="00BF055E">
              <w:rPr>
                <w:rFonts w:eastAsia="Times New Roman" w:cs="Times New Roman"/>
                <w:i/>
                <w:iCs/>
                <w:sz w:val="18"/>
                <w:szCs w:val="18"/>
                <w:lang w:eastAsia="lv-LV"/>
              </w:rPr>
              <w:t>REPowerEU</w:t>
            </w:r>
            <w:proofErr w:type="spellEnd"/>
            <w:r w:rsidRPr="00BF055E">
              <w:rPr>
                <w:rFonts w:eastAsia="Times New Roman" w:cs="Times New Roman"/>
                <w:sz w:val="18"/>
                <w:szCs w:val="18"/>
                <w:lang w:eastAsia="lv-LV"/>
              </w:rPr>
              <w:t xml:space="preserve"> (2024. - 2026.g.), Sociālais klimata fonds (2026. - 2032.g.), Emisijas kvotu izsolīšanas instruments - atbilstoši katrā projektu atklātā konkursā noteiktajam īstenošanas termiņam un katrā noslēgtajā projekta līgumā noteiktajam projekta īstenošanas termiņam, Modernizācijas fonds - atbilstoši katrā projektu konkursā </w:t>
            </w:r>
            <w:r w:rsidRPr="00BF055E">
              <w:rPr>
                <w:rFonts w:eastAsia="Times New Roman" w:cs="Times New Roman"/>
                <w:sz w:val="18"/>
                <w:szCs w:val="18"/>
                <w:lang w:eastAsia="lv-LV"/>
              </w:rPr>
              <w:lastRenderedPageBreak/>
              <w:t>noteiktajam īstenošanas termiņam un katrā noslēgtajā projekta līgumā noteiktajam projekta īstenošanas termiņam.</w:t>
            </w:r>
          </w:p>
        </w:tc>
        <w:tc>
          <w:tcPr>
            <w:tcW w:w="1701" w:type="dxa"/>
            <w:tcBorders>
              <w:top w:val="nil"/>
              <w:left w:val="nil"/>
              <w:bottom w:val="single" w:sz="4" w:space="0" w:color="auto"/>
              <w:right w:val="single" w:sz="4" w:space="0" w:color="auto"/>
            </w:tcBorders>
            <w:shd w:val="clear" w:color="auto" w:fill="auto"/>
            <w:hideMark/>
          </w:tcPr>
          <w:p w14:paraId="7FC071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2.) 2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3.) finansējums katra projektu atklāta konkursa īstenošanai tiks noteikts, izstrādājot projektu konkursu nolikumus;</w:t>
            </w:r>
            <w:r w:rsidRPr="00BF055E">
              <w:rPr>
                <w:rFonts w:eastAsia="Times New Roman" w:cs="Times New Roman"/>
                <w:sz w:val="18"/>
                <w:szCs w:val="18"/>
                <w:lang w:eastAsia="lv-LV"/>
              </w:rPr>
              <w:br/>
              <w:t>4.) 2.2.2.3. investīcijai 27 233 743</w:t>
            </w:r>
          </w:p>
        </w:tc>
        <w:tc>
          <w:tcPr>
            <w:tcW w:w="992" w:type="dxa"/>
            <w:tcBorders>
              <w:top w:val="nil"/>
              <w:left w:val="nil"/>
              <w:bottom w:val="single" w:sz="4" w:space="0" w:color="auto"/>
              <w:right w:val="single" w:sz="4" w:space="0" w:color="auto"/>
            </w:tcBorders>
            <w:shd w:val="clear" w:color="000000" w:fill="FFFFFF"/>
            <w:hideMark/>
          </w:tcPr>
          <w:p w14:paraId="14DF1C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KEM, VARAM, EM UAD</w:t>
            </w:r>
          </w:p>
        </w:tc>
        <w:tc>
          <w:tcPr>
            <w:tcW w:w="1090" w:type="dxa"/>
            <w:tcBorders>
              <w:top w:val="nil"/>
              <w:left w:val="nil"/>
              <w:bottom w:val="single" w:sz="4" w:space="0" w:color="auto"/>
              <w:right w:val="single" w:sz="4" w:space="0" w:color="auto"/>
            </w:tcBorders>
            <w:shd w:val="clear" w:color="auto" w:fill="auto"/>
            <w:hideMark/>
          </w:tcPr>
          <w:p w14:paraId="4E5A72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ANM+MFF</w:t>
            </w:r>
          </w:p>
        </w:tc>
        <w:tc>
          <w:tcPr>
            <w:tcW w:w="776" w:type="dxa"/>
            <w:tcBorders>
              <w:top w:val="nil"/>
              <w:left w:val="nil"/>
              <w:bottom w:val="single" w:sz="4" w:space="0" w:color="auto"/>
              <w:right w:val="single" w:sz="4" w:space="0" w:color="auto"/>
            </w:tcBorders>
            <w:shd w:val="clear" w:color="000000" w:fill="FFFFFF"/>
            <w:hideMark/>
          </w:tcPr>
          <w:p w14:paraId="7EDA33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2022(3); 2023(3); 2024(3)</w:t>
            </w:r>
          </w:p>
        </w:tc>
        <w:tc>
          <w:tcPr>
            <w:tcW w:w="1155" w:type="dxa"/>
            <w:tcBorders>
              <w:top w:val="nil"/>
              <w:left w:val="nil"/>
              <w:bottom w:val="single" w:sz="4" w:space="0" w:color="auto"/>
              <w:right w:val="single" w:sz="4" w:space="0" w:color="auto"/>
            </w:tcBorders>
            <w:shd w:val="clear" w:color="000000" w:fill="FFFFFF"/>
            <w:hideMark/>
          </w:tcPr>
          <w:p w14:paraId="13EF422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759" w:type="dxa"/>
            <w:tcBorders>
              <w:top w:val="nil"/>
              <w:left w:val="nil"/>
              <w:bottom w:val="single" w:sz="4" w:space="0" w:color="auto"/>
              <w:right w:val="single" w:sz="4" w:space="0" w:color="auto"/>
            </w:tcBorders>
            <w:shd w:val="clear" w:color="000000" w:fill="FFFFFF"/>
            <w:hideMark/>
          </w:tcPr>
          <w:p w14:paraId="5CCAA88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46" w:type="dxa"/>
            <w:tcBorders>
              <w:top w:val="nil"/>
              <w:left w:val="nil"/>
              <w:bottom w:val="single" w:sz="4" w:space="0" w:color="auto"/>
              <w:right w:val="single" w:sz="4" w:space="0" w:color="auto"/>
            </w:tcBorders>
            <w:shd w:val="clear" w:color="000000" w:fill="FFFFFF"/>
            <w:hideMark/>
          </w:tcPr>
          <w:p w14:paraId="65AFA6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6. Tīrs ūdens un sanitārija; 13. Rīcība klimata jomā</w:t>
            </w:r>
          </w:p>
        </w:tc>
      </w:tr>
    </w:tbl>
    <w:p w14:paraId="7CBCF2F5" w14:textId="77777777" w:rsidR="00BF055E" w:rsidRPr="00BF055E" w:rsidRDefault="00BF055E" w:rsidP="006357B3">
      <w:pPr>
        <w:spacing w:after="0" w:line="240" w:lineRule="auto"/>
        <w:ind w:firstLine="0"/>
        <w:rPr>
          <w:rFonts w:eastAsia="Calibri" w:cs="Times New Roman"/>
          <w:kern w:val="2"/>
          <w:szCs w:val="24"/>
          <w14:ligatures w14:val="standardContextual"/>
        </w:rPr>
      </w:pPr>
    </w:p>
    <w:p w14:paraId="77C1ABD8" w14:textId="2D8EB0CE" w:rsidR="00BF055E" w:rsidRPr="00BF055E" w:rsidRDefault="00D16FDC" w:rsidP="006357B3">
      <w:pPr>
        <w:spacing w:before="120"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.1.8. Enerģētika un energoefektivitāte</w:t>
      </w:r>
    </w:p>
    <w:p w14:paraId="5BEA6DA3"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Šajā politikas virzienā iekļautie pasākumi ir arī cieši saistīti ar ES kopīgu prioritāti par enerģētikas drošību. Iekļauto pasākumu ietvaros plānots veicināt energoapgādes drošību, nodrošinot sinhronizāciju ar Centrāleiropas energosistēmu, </w:t>
      </w:r>
      <w:proofErr w:type="spellStart"/>
      <w:r w:rsidRPr="00BF055E">
        <w:rPr>
          <w:rFonts w:eastAsia="Calibri" w:cs="Times New Roman"/>
          <w:kern w:val="2"/>
          <w:szCs w:val="24"/>
          <w14:ligatures w14:val="standardContextual"/>
        </w:rPr>
        <w:t>atjaunīgo</w:t>
      </w:r>
      <w:proofErr w:type="spellEnd"/>
      <w:r w:rsidRPr="00BF055E">
        <w:rPr>
          <w:rFonts w:eastAsia="Calibri" w:cs="Times New Roman"/>
          <w:kern w:val="2"/>
          <w:szCs w:val="24"/>
          <w14:ligatures w14:val="standardContextual"/>
        </w:rPr>
        <w:t xml:space="preserve"> energoresursu īpatsvara paaugstināšanu enerģijas </w:t>
      </w:r>
      <w:proofErr w:type="spellStart"/>
      <w:r w:rsidRPr="00BF055E">
        <w:rPr>
          <w:rFonts w:eastAsia="Calibri" w:cs="Times New Roman"/>
          <w:kern w:val="2"/>
          <w:szCs w:val="24"/>
          <w14:ligatures w14:val="standardContextual"/>
        </w:rPr>
        <w:t>galapatēriņā</w:t>
      </w:r>
      <w:proofErr w:type="spellEnd"/>
      <w:r w:rsidRPr="00BF055E">
        <w:rPr>
          <w:rFonts w:eastAsia="Calibri" w:cs="Times New Roman"/>
          <w:kern w:val="2"/>
          <w:szCs w:val="24"/>
          <w14:ligatures w14:val="standardContextual"/>
        </w:rPr>
        <w:t>, mazinot atkarību no fosilās degvielas.</w:t>
      </w:r>
    </w:p>
    <w:p w14:paraId="4B7CDCE8"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Tāpat Latvijas FSP iekļautie pasākumi tiek īstenoti ar mērķi veicināt energoefektivitāti, t.sk. daudzdzīvokļu māju energoefektivitātes uzlabošana un pāreja uz atjaunojamo energoresursu tehnoloģiju izmantošanu, energoefektivitātes paaugstināšana dzīvojamās ēkās, t.sk. attīstot ESKO tirgu (daudzdzīvokļu, privātās un neliela dzīvokļu skaita ēku kompleksos), energoefektivitātes paaugstināšana valsts ēkās un vēsturiskajās ēkās. Paredzēti pasākumi arī energoefektivitātes veicināšanai kultūras infrastruktūrā, uzņēmējdarbībā, ietverot pāreju uz atjaunojamo energoresursu tehnoloģiju izmantošanu siltumapgādē.</w:t>
      </w:r>
    </w:p>
    <w:p w14:paraId="10339031"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Plānots arī veikt elektroenerģijas pārvades un sadales tīklu modernizāciju, veicināt atjaunojamās enerģijas izmantošanu un energoefektivitātes paaugstināšanu rūpniecībā un komersantos, kā arī īstenot uzņēmējdarbības “</w:t>
      </w:r>
      <w:proofErr w:type="spellStart"/>
      <w:r w:rsidRPr="00BF055E">
        <w:rPr>
          <w:rFonts w:eastAsia="Calibri" w:cs="Times New Roman"/>
          <w:kern w:val="2"/>
          <w:szCs w:val="24"/>
          <w14:ligatures w14:val="standardContextual"/>
        </w:rPr>
        <w:t>zaļināšanas</w:t>
      </w:r>
      <w:proofErr w:type="spellEnd"/>
      <w:r w:rsidRPr="00BF055E">
        <w:rPr>
          <w:rFonts w:eastAsia="Calibri" w:cs="Times New Roman"/>
          <w:kern w:val="2"/>
          <w:szCs w:val="24"/>
          <w14:ligatures w14:val="standardContextual"/>
        </w:rPr>
        <w:t>” un produktu attīstības pasākumus, veicinot energoefektivitātes paaugstināšanu un energoefektīvu tehnoloģiju ieviešanu uzņēmumos, uzlabot pašvaldību ēkas un infrastruktūru, veicinot pāreju uz atjaunojamo energoresursu tehnoloģiju izmantošanu un uzlabojot energoefektivitāti.</w:t>
      </w:r>
    </w:p>
    <w:p w14:paraId="252F6E76"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lastRenderedPageBreak/>
        <w:t xml:space="preserve">Liepājas un Ventspils ostās plānots izveidot krasta </w:t>
      </w:r>
      <w:proofErr w:type="spellStart"/>
      <w:r w:rsidRPr="00BF055E">
        <w:rPr>
          <w:rFonts w:eastAsia="Calibri" w:cs="Times New Roman"/>
          <w:kern w:val="2"/>
          <w:szCs w:val="24"/>
          <w14:ligatures w14:val="standardContextual"/>
        </w:rPr>
        <w:t>elektropieslēgumu</w:t>
      </w:r>
      <w:proofErr w:type="spellEnd"/>
      <w:r w:rsidRPr="00BF055E">
        <w:rPr>
          <w:rFonts w:eastAsia="Calibri" w:cs="Times New Roman"/>
          <w:kern w:val="2"/>
          <w:szCs w:val="24"/>
          <w14:ligatures w14:val="standardContextual"/>
        </w:rPr>
        <w:t xml:space="preserve"> Ro-Ro pasažieru kuģu apkalpošanai ar mērķi mazināt atkarību no fosilās degvielas.</w:t>
      </w:r>
    </w:p>
    <w:p w14:paraId="27AD635C" w14:textId="77777777" w:rsidR="00BF055E" w:rsidRPr="00BF055E" w:rsidRDefault="00BF055E" w:rsidP="0058560C">
      <w:pPr>
        <w:spacing w:before="120" w:after="24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Lielākā daļa augstākminēto pasākumu tiek īstenota ES fondu atbalsta programmu un Latvijas ANM plāna ietvaros.</w:t>
      </w:r>
    </w:p>
    <w:p w14:paraId="41C986A1" w14:textId="294D1A2C"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Enerģētika un energoefektivitāte</w:t>
      </w:r>
    </w:p>
    <w:tbl>
      <w:tblPr>
        <w:tblW w:w="15168" w:type="dxa"/>
        <w:tblInd w:w="-289" w:type="dxa"/>
        <w:tblLayout w:type="fixed"/>
        <w:tblLook w:val="04A0" w:firstRow="1" w:lastRow="0" w:firstColumn="1" w:lastColumn="0" w:noHBand="0" w:noVBand="1"/>
      </w:tblPr>
      <w:tblGrid>
        <w:gridCol w:w="1418"/>
        <w:gridCol w:w="1418"/>
        <w:gridCol w:w="3402"/>
        <w:gridCol w:w="1134"/>
        <w:gridCol w:w="1843"/>
        <w:gridCol w:w="992"/>
        <w:gridCol w:w="945"/>
        <w:gridCol w:w="898"/>
        <w:gridCol w:w="1134"/>
        <w:gridCol w:w="850"/>
        <w:gridCol w:w="1134"/>
      </w:tblGrid>
      <w:tr w:rsidR="00BF055E" w:rsidRPr="00BF055E" w14:paraId="26E46675" w14:textId="77777777" w:rsidTr="003B1594">
        <w:trPr>
          <w:trHeight w:val="20"/>
          <w:tblHeader/>
        </w:trPr>
        <w:tc>
          <w:tcPr>
            <w:tcW w:w="1418"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6B3EAFE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w:t>
            </w:r>
          </w:p>
          <w:p w14:paraId="5EEEC32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investīcijas) </w:t>
            </w:r>
          </w:p>
          <w:p w14:paraId="08C081D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nosaukums</w:t>
            </w:r>
          </w:p>
        </w:tc>
        <w:tc>
          <w:tcPr>
            <w:tcW w:w="1418" w:type="dxa"/>
            <w:tcBorders>
              <w:top w:val="single" w:sz="4" w:space="0" w:color="auto"/>
              <w:left w:val="nil"/>
              <w:bottom w:val="single" w:sz="4" w:space="0" w:color="auto"/>
              <w:right w:val="single" w:sz="4" w:space="0" w:color="auto"/>
            </w:tcBorders>
            <w:shd w:val="clear" w:color="000000" w:fill="95B3D7"/>
            <w:vAlign w:val="center"/>
            <w:hideMark/>
          </w:tcPr>
          <w:p w14:paraId="5C42A997"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3402" w:type="dxa"/>
            <w:tcBorders>
              <w:top w:val="single" w:sz="4" w:space="0" w:color="auto"/>
              <w:left w:val="nil"/>
              <w:bottom w:val="single" w:sz="4" w:space="0" w:color="auto"/>
              <w:right w:val="single" w:sz="4" w:space="0" w:color="auto"/>
            </w:tcBorders>
            <w:shd w:val="clear" w:color="000000" w:fill="95B3D7"/>
            <w:vAlign w:val="center"/>
            <w:hideMark/>
          </w:tcPr>
          <w:p w14:paraId="0470E97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7AB8308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843" w:type="dxa"/>
            <w:tcBorders>
              <w:top w:val="single" w:sz="4" w:space="0" w:color="auto"/>
              <w:left w:val="nil"/>
              <w:bottom w:val="single" w:sz="4" w:space="0" w:color="auto"/>
              <w:right w:val="single" w:sz="4" w:space="0" w:color="auto"/>
            </w:tcBorders>
            <w:shd w:val="clear" w:color="000000" w:fill="95B3D7"/>
            <w:vAlign w:val="center"/>
            <w:hideMark/>
          </w:tcPr>
          <w:p w14:paraId="072A5F6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992" w:type="dxa"/>
            <w:tcBorders>
              <w:top w:val="single" w:sz="4" w:space="0" w:color="auto"/>
              <w:left w:val="nil"/>
              <w:bottom w:val="single" w:sz="4" w:space="0" w:color="auto"/>
              <w:right w:val="single" w:sz="4" w:space="0" w:color="auto"/>
            </w:tcBorders>
            <w:shd w:val="clear" w:color="000000" w:fill="95B3D7"/>
            <w:vAlign w:val="center"/>
            <w:hideMark/>
          </w:tcPr>
          <w:p w14:paraId="7F9B648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945" w:type="dxa"/>
            <w:tcBorders>
              <w:top w:val="single" w:sz="4" w:space="0" w:color="auto"/>
              <w:left w:val="nil"/>
              <w:bottom w:val="single" w:sz="4" w:space="0" w:color="auto"/>
              <w:right w:val="single" w:sz="4" w:space="0" w:color="auto"/>
            </w:tcBorders>
            <w:shd w:val="clear" w:color="000000" w:fill="95B3D7"/>
            <w:vAlign w:val="center"/>
            <w:hideMark/>
          </w:tcPr>
          <w:p w14:paraId="076BCAD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4D5228A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898" w:type="dxa"/>
            <w:tcBorders>
              <w:top w:val="single" w:sz="4" w:space="0" w:color="auto"/>
              <w:left w:val="nil"/>
              <w:bottom w:val="single" w:sz="4" w:space="0" w:color="auto"/>
              <w:right w:val="single" w:sz="4" w:space="0" w:color="auto"/>
            </w:tcBorders>
            <w:shd w:val="clear" w:color="000000" w:fill="95B3D7"/>
            <w:vAlign w:val="center"/>
            <w:hideMark/>
          </w:tcPr>
          <w:p w14:paraId="63EF24A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685DF029"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76D3386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2027834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355E0AAD" w14:textId="77777777" w:rsidTr="003B1594">
        <w:trPr>
          <w:trHeight w:val="20"/>
          <w:tblHeader/>
        </w:trPr>
        <w:tc>
          <w:tcPr>
            <w:tcW w:w="15168"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233B4F4D"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Enerģētika un energoefektivitāte</w:t>
            </w:r>
          </w:p>
        </w:tc>
      </w:tr>
      <w:tr w:rsidR="00BF055E" w:rsidRPr="00BF055E" w14:paraId="0D8630D1"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73CC50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Sinhronizācija ar Centrāleiropas energosistēmu</w:t>
            </w:r>
          </w:p>
        </w:tc>
        <w:tc>
          <w:tcPr>
            <w:tcW w:w="1418" w:type="dxa"/>
            <w:tcBorders>
              <w:top w:val="nil"/>
              <w:left w:val="nil"/>
              <w:bottom w:val="single" w:sz="4" w:space="0" w:color="auto"/>
              <w:right w:val="single" w:sz="4" w:space="0" w:color="auto"/>
            </w:tcBorders>
            <w:shd w:val="clear" w:color="000000" w:fill="FFFFFF"/>
            <w:hideMark/>
          </w:tcPr>
          <w:p w14:paraId="002D03E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Energoapgādes drošības veicināšana</w:t>
            </w:r>
          </w:p>
        </w:tc>
        <w:tc>
          <w:tcPr>
            <w:tcW w:w="3402" w:type="dxa"/>
            <w:tcBorders>
              <w:top w:val="nil"/>
              <w:left w:val="nil"/>
              <w:bottom w:val="single" w:sz="4" w:space="0" w:color="auto"/>
              <w:right w:val="single" w:sz="4" w:space="0" w:color="auto"/>
            </w:tcBorders>
            <w:shd w:val="clear" w:color="000000" w:fill="FFFFFF"/>
            <w:hideMark/>
          </w:tcPr>
          <w:p w14:paraId="59FB6CE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2024.g. 5. jūlijā apstiprināti MK noteikumi Nr. 432 ES ANM plāna 7.1.1. reformas "Enerģijas sektora transformācija" 7.1.1.1.i. investīcijas “Elektroenerģijas pārvades sistēmas sinhronizācija”;</w:t>
            </w:r>
            <w:r w:rsidRPr="00BF055E">
              <w:rPr>
                <w:rFonts w:eastAsia="Times New Roman" w:cs="Times New Roman"/>
                <w:sz w:val="18"/>
                <w:szCs w:val="18"/>
                <w:lang w:eastAsia="lv-LV"/>
              </w:rPr>
              <w:br/>
              <w:t>2.) Elektroenerģijas pārvades sistēmas sinhronizācijas projektu īstenošana CEF finansējuma ietvaros.</w:t>
            </w:r>
          </w:p>
        </w:tc>
        <w:tc>
          <w:tcPr>
            <w:tcW w:w="1134" w:type="dxa"/>
            <w:tcBorders>
              <w:top w:val="nil"/>
              <w:left w:val="nil"/>
              <w:bottom w:val="single" w:sz="4" w:space="0" w:color="auto"/>
              <w:right w:val="single" w:sz="4" w:space="0" w:color="auto"/>
            </w:tcBorders>
            <w:shd w:val="clear" w:color="000000" w:fill="FFFFFF"/>
            <w:hideMark/>
          </w:tcPr>
          <w:p w14:paraId="1D8D34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2024.-2025.</w:t>
            </w:r>
          </w:p>
        </w:tc>
        <w:tc>
          <w:tcPr>
            <w:tcW w:w="1843" w:type="dxa"/>
            <w:tcBorders>
              <w:top w:val="nil"/>
              <w:left w:val="nil"/>
              <w:bottom w:val="single" w:sz="4" w:space="0" w:color="auto"/>
              <w:right w:val="single" w:sz="4" w:space="0" w:color="auto"/>
            </w:tcBorders>
            <w:shd w:val="clear" w:color="auto" w:fill="auto"/>
            <w:hideMark/>
          </w:tcPr>
          <w:p w14:paraId="4D27F50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60,34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ANM</w:t>
            </w:r>
            <w:r w:rsidRPr="00BF055E">
              <w:rPr>
                <w:rFonts w:eastAsia="Times New Roman" w:cs="Times New Roman"/>
                <w:sz w:val="18"/>
                <w:szCs w:val="18"/>
                <w:lang w:eastAsia="lv-LV"/>
              </w:rPr>
              <w:br/>
              <w:t>2) 107,8</w:t>
            </w:r>
            <w:r w:rsidRPr="00BF055E">
              <w:t xml:space="preserve"> </w:t>
            </w:r>
            <w:r w:rsidRPr="00BF055E">
              <w:rPr>
                <w:rFonts w:eastAsia="Times New Roman" w:cs="Times New Roman"/>
                <w:sz w:val="18"/>
                <w:szCs w:val="18"/>
                <w:lang w:eastAsia="lv-LV"/>
              </w:rPr>
              <w:t xml:space="preserve">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MFF (CEF)</w:t>
            </w:r>
          </w:p>
        </w:tc>
        <w:tc>
          <w:tcPr>
            <w:tcW w:w="992" w:type="dxa"/>
            <w:tcBorders>
              <w:top w:val="nil"/>
              <w:left w:val="nil"/>
              <w:bottom w:val="single" w:sz="4" w:space="0" w:color="auto"/>
              <w:right w:val="single" w:sz="4" w:space="0" w:color="auto"/>
            </w:tcBorders>
            <w:shd w:val="clear" w:color="000000" w:fill="FFFFFF"/>
            <w:hideMark/>
          </w:tcPr>
          <w:p w14:paraId="10EEE0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KEM</w:t>
            </w:r>
          </w:p>
        </w:tc>
        <w:tc>
          <w:tcPr>
            <w:tcW w:w="945" w:type="dxa"/>
            <w:tcBorders>
              <w:top w:val="nil"/>
              <w:left w:val="nil"/>
              <w:bottom w:val="single" w:sz="4" w:space="0" w:color="auto"/>
              <w:right w:val="single" w:sz="4" w:space="0" w:color="auto"/>
            </w:tcBorders>
            <w:shd w:val="clear" w:color="auto" w:fill="auto"/>
            <w:hideMark/>
          </w:tcPr>
          <w:p w14:paraId="373711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p w14:paraId="569F9B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4429DA3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14A59E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30AF9D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5C38E3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w:t>
            </w:r>
          </w:p>
        </w:tc>
      </w:tr>
      <w:tr w:rsidR="00BF055E" w:rsidRPr="00BF055E" w14:paraId="0809709E"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700B8343" w14:textId="77777777" w:rsidR="00BF055E" w:rsidRPr="00BF055E" w:rsidRDefault="00BF055E" w:rsidP="006357B3">
            <w:pPr>
              <w:spacing w:after="0" w:line="240" w:lineRule="auto"/>
              <w:ind w:firstLine="0"/>
              <w:jc w:val="left"/>
              <w:rPr>
                <w:rFonts w:eastAsia="Times New Roman" w:cs="Times New Roman"/>
                <w:sz w:val="18"/>
                <w:szCs w:val="18"/>
                <w:lang w:eastAsia="lv-LV"/>
              </w:rPr>
            </w:pPr>
            <w:proofErr w:type="spellStart"/>
            <w:r w:rsidRPr="00BF055E">
              <w:rPr>
                <w:rFonts w:eastAsia="Times New Roman" w:cs="Times New Roman"/>
                <w:sz w:val="18"/>
                <w:szCs w:val="18"/>
                <w:lang w:eastAsia="lv-LV"/>
              </w:rPr>
              <w:t>Atjaunīgo</w:t>
            </w:r>
            <w:proofErr w:type="spellEnd"/>
            <w:r w:rsidRPr="00BF055E">
              <w:rPr>
                <w:rFonts w:eastAsia="Times New Roman" w:cs="Times New Roman"/>
                <w:sz w:val="18"/>
                <w:szCs w:val="18"/>
                <w:lang w:eastAsia="lv-LV"/>
              </w:rPr>
              <w:t xml:space="preserve"> energoresursu īpatsvara paaugstināšana enerģijas </w:t>
            </w:r>
            <w:proofErr w:type="spellStart"/>
            <w:r w:rsidRPr="00BF055E">
              <w:rPr>
                <w:rFonts w:eastAsia="Times New Roman" w:cs="Times New Roman"/>
                <w:sz w:val="18"/>
                <w:szCs w:val="18"/>
                <w:lang w:eastAsia="lv-LV"/>
              </w:rPr>
              <w:t>galapatēriņā</w:t>
            </w:r>
            <w:proofErr w:type="spellEnd"/>
          </w:p>
        </w:tc>
        <w:tc>
          <w:tcPr>
            <w:tcW w:w="1418" w:type="dxa"/>
            <w:tcBorders>
              <w:top w:val="nil"/>
              <w:left w:val="nil"/>
              <w:bottom w:val="single" w:sz="4" w:space="0" w:color="auto"/>
              <w:right w:val="single" w:sz="4" w:space="0" w:color="auto"/>
            </w:tcBorders>
            <w:shd w:val="clear" w:color="000000" w:fill="FFFFFF"/>
            <w:hideMark/>
          </w:tcPr>
          <w:p w14:paraId="04B78A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Atkarības mazināšana no fosilās degvielas</w:t>
            </w:r>
          </w:p>
        </w:tc>
        <w:tc>
          <w:tcPr>
            <w:tcW w:w="3402" w:type="dxa"/>
            <w:tcBorders>
              <w:top w:val="nil"/>
              <w:left w:val="nil"/>
              <w:bottom w:val="single" w:sz="4" w:space="0" w:color="auto"/>
              <w:right w:val="single" w:sz="4" w:space="0" w:color="auto"/>
            </w:tcBorders>
            <w:shd w:val="clear" w:color="000000" w:fill="FFFFFF"/>
            <w:hideMark/>
          </w:tcPr>
          <w:p w14:paraId="103C4B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Nacionālā enerģētikas un klimata plāna apstiprināšana;</w:t>
            </w:r>
            <w:r w:rsidRPr="00BF055E">
              <w:rPr>
                <w:rFonts w:eastAsia="Times New Roman" w:cs="Times New Roman"/>
                <w:sz w:val="18"/>
                <w:szCs w:val="18"/>
                <w:lang w:eastAsia="lv-LV"/>
              </w:rPr>
              <w:br/>
              <w:t xml:space="preserve">2.) Normatīvā regulējama pilnveidošana un izstrāde atļauju izsniegšanas procedūru vienkāršošana </w:t>
            </w:r>
            <w:proofErr w:type="spellStart"/>
            <w:r w:rsidRPr="00BF055E">
              <w:rPr>
                <w:rFonts w:eastAsia="Times New Roman" w:cs="Times New Roman"/>
                <w:sz w:val="18"/>
                <w:szCs w:val="18"/>
                <w:lang w:eastAsia="lv-LV"/>
              </w:rPr>
              <w:t>atjaunīgās</w:t>
            </w:r>
            <w:proofErr w:type="spellEnd"/>
            <w:r w:rsidRPr="00BF055E">
              <w:rPr>
                <w:rFonts w:eastAsia="Times New Roman" w:cs="Times New Roman"/>
                <w:sz w:val="18"/>
                <w:szCs w:val="18"/>
                <w:lang w:eastAsia="lv-LV"/>
              </w:rPr>
              <w:t xml:space="preserve"> enerģijas projektiem (2024.-2025.g.);</w:t>
            </w:r>
            <w:r w:rsidRPr="00BF055E">
              <w:rPr>
                <w:rFonts w:eastAsia="Times New Roman" w:cs="Times New Roman"/>
                <w:sz w:val="18"/>
                <w:szCs w:val="18"/>
                <w:lang w:eastAsia="lv-LV"/>
              </w:rPr>
              <w:br/>
              <w:t xml:space="preserve">3.) </w:t>
            </w:r>
            <w:proofErr w:type="spellStart"/>
            <w:r w:rsidRPr="00BF055E">
              <w:rPr>
                <w:rFonts w:eastAsia="Times New Roman" w:cs="Times New Roman"/>
                <w:sz w:val="18"/>
                <w:szCs w:val="18"/>
                <w:lang w:eastAsia="lv-LV"/>
              </w:rPr>
              <w:t>Atjaunīgo</w:t>
            </w:r>
            <w:proofErr w:type="spellEnd"/>
            <w:r w:rsidRPr="00BF055E">
              <w:rPr>
                <w:rFonts w:eastAsia="Times New Roman" w:cs="Times New Roman"/>
                <w:sz w:val="18"/>
                <w:szCs w:val="18"/>
                <w:lang w:eastAsia="lv-LV"/>
              </w:rPr>
              <w:t xml:space="preserve"> energoresursu teritoriju kartēšana (</w:t>
            </w:r>
            <w:proofErr w:type="spellStart"/>
            <w:r w:rsidRPr="00BF055E">
              <w:rPr>
                <w:rFonts w:eastAsia="Times New Roman" w:cs="Times New Roman"/>
                <w:i/>
                <w:iCs/>
                <w:sz w:val="18"/>
                <w:szCs w:val="18"/>
                <w:lang w:eastAsia="lv-LV"/>
              </w:rPr>
              <w:t>Renewables</w:t>
            </w:r>
            <w:proofErr w:type="spellEnd"/>
            <w:r w:rsidRPr="00BF055E">
              <w:rPr>
                <w:rFonts w:eastAsia="Times New Roman" w:cs="Times New Roman"/>
                <w:i/>
                <w:iCs/>
                <w:sz w:val="18"/>
                <w:szCs w:val="18"/>
                <w:lang w:eastAsia="lv-LV"/>
              </w:rPr>
              <w:t xml:space="preserve"> </w:t>
            </w:r>
            <w:proofErr w:type="spellStart"/>
            <w:r w:rsidRPr="00BF055E">
              <w:rPr>
                <w:rFonts w:eastAsia="Times New Roman" w:cs="Times New Roman"/>
                <w:i/>
                <w:iCs/>
                <w:sz w:val="18"/>
                <w:szCs w:val="18"/>
                <w:lang w:eastAsia="lv-LV"/>
              </w:rPr>
              <w:t>go</w:t>
            </w:r>
            <w:proofErr w:type="spellEnd"/>
            <w:r w:rsidRPr="00BF055E">
              <w:rPr>
                <w:rFonts w:eastAsia="Times New Roman" w:cs="Times New Roman"/>
                <w:i/>
                <w:iCs/>
                <w:sz w:val="18"/>
                <w:szCs w:val="18"/>
                <w:lang w:eastAsia="lv-LV"/>
              </w:rPr>
              <w:t xml:space="preserve">-to </w:t>
            </w:r>
            <w:proofErr w:type="spellStart"/>
            <w:r w:rsidRPr="00BF055E">
              <w:rPr>
                <w:rFonts w:eastAsia="Times New Roman" w:cs="Times New Roman"/>
                <w:i/>
                <w:iCs/>
                <w:sz w:val="18"/>
                <w:szCs w:val="18"/>
                <w:lang w:eastAsia="lv-LV"/>
              </w:rPr>
              <w:t>territories</w:t>
            </w:r>
            <w:proofErr w:type="spellEnd"/>
            <w:r w:rsidRPr="00BF055E">
              <w:rPr>
                <w:rFonts w:eastAsia="Times New Roman" w:cs="Times New Roman"/>
                <w:sz w:val="18"/>
                <w:szCs w:val="18"/>
                <w:lang w:eastAsia="lv-LV"/>
              </w:rPr>
              <w:t>) (2024.-2025.g.);</w:t>
            </w:r>
            <w:r w:rsidRPr="00BF055E">
              <w:rPr>
                <w:rFonts w:eastAsia="Times New Roman" w:cs="Times New Roman"/>
                <w:sz w:val="18"/>
                <w:szCs w:val="18"/>
                <w:lang w:eastAsia="lv-LV"/>
              </w:rPr>
              <w:br/>
              <w:t xml:space="preserve">4.) MK noteikumu par ES kohēzijas politikas programmas 2021. - 2027. gadam 2.1.2. specifiskā atbalsta mērķa "Atjaunojamo energoresursu enerģijas veicināšana - </w:t>
            </w:r>
            <w:proofErr w:type="spellStart"/>
            <w:r w:rsidRPr="00BF055E">
              <w:rPr>
                <w:rFonts w:eastAsia="Times New Roman" w:cs="Times New Roman"/>
                <w:sz w:val="18"/>
                <w:szCs w:val="18"/>
                <w:lang w:eastAsia="lv-LV"/>
              </w:rPr>
              <w:t>biometāns</w:t>
            </w:r>
            <w:proofErr w:type="spellEnd"/>
            <w:r w:rsidRPr="00BF055E">
              <w:rPr>
                <w:rFonts w:eastAsia="Times New Roman" w:cs="Times New Roman"/>
                <w:sz w:val="18"/>
                <w:szCs w:val="18"/>
                <w:lang w:eastAsia="lv-LV"/>
              </w:rPr>
              <w:t xml:space="preserve">" sagatavošana (2024.g. 3.ceturksnis), MK noteikumu apstiprināšana (2024.g. 4.cetursknis), programmas īstenošana (2025.-2027.g.); </w:t>
            </w:r>
            <w:r w:rsidRPr="00BF055E">
              <w:rPr>
                <w:rFonts w:eastAsia="Times New Roman" w:cs="Times New Roman"/>
                <w:sz w:val="18"/>
                <w:szCs w:val="18"/>
                <w:lang w:eastAsia="lv-LV"/>
              </w:rPr>
              <w:br/>
              <w:t xml:space="preserve">5.) MK noteikumu par ES kohēzijas politikas programmas 2021. - 2027. gadam 2.1.1.3. specifiskā atbalsta mērķa pasākuma "AER izmantošana un energoefektivitātes paaugstināšana centralizētajā un individuālajā siltumapgādē un </w:t>
            </w:r>
            <w:proofErr w:type="spellStart"/>
            <w:r w:rsidRPr="00BF055E">
              <w:rPr>
                <w:rFonts w:eastAsia="Times New Roman" w:cs="Times New Roman"/>
                <w:sz w:val="18"/>
                <w:szCs w:val="18"/>
                <w:lang w:eastAsia="lv-LV"/>
              </w:rPr>
              <w:lastRenderedPageBreak/>
              <w:t>aukstumapgādē</w:t>
            </w:r>
            <w:proofErr w:type="spellEnd"/>
            <w:r w:rsidRPr="00BF055E">
              <w:rPr>
                <w:rFonts w:eastAsia="Times New Roman" w:cs="Times New Roman"/>
                <w:sz w:val="18"/>
                <w:szCs w:val="18"/>
                <w:lang w:eastAsia="lv-LV"/>
              </w:rPr>
              <w:t xml:space="preserve">" sagatavošana (2024.g. 3. ceturksnis), MK noteikumu apstiprināšana (2024.g. 4. ceturksnis), programmas īstenošana (2025. - 2027.g.); </w:t>
            </w:r>
            <w:r w:rsidRPr="00BF055E">
              <w:rPr>
                <w:rFonts w:eastAsia="Times New Roman" w:cs="Times New Roman"/>
                <w:sz w:val="18"/>
                <w:szCs w:val="18"/>
                <w:lang w:eastAsia="lv-LV"/>
              </w:rPr>
              <w:br/>
              <w:t xml:space="preserve">6.) 2024.g. 5. jūlijā apstiprināti MK noteikumi Nr. 432 ES ANM plāna 7.1.1. reformas "Enerģijas sektora transformācija" 7.1.1.2.i. investīcijas “Elektroenerģijas pārvades un sadales tīklu modernizācija”; </w:t>
            </w:r>
            <w:r w:rsidRPr="00BF055E">
              <w:rPr>
                <w:rFonts w:eastAsia="Times New Roman" w:cs="Times New Roman"/>
                <w:sz w:val="18"/>
                <w:szCs w:val="18"/>
                <w:lang w:eastAsia="lv-LV"/>
              </w:rPr>
              <w:br/>
              <w:t>7.) 2024.g. 5. jūlijā apstiprināti MK noteikumi Nr. 432 ES ANM plāna 7.1.1. reformas "Enerģijas sektora transformācija" 7.1.1.3.i. investīcijas “</w:t>
            </w:r>
            <w:proofErr w:type="spellStart"/>
            <w:r w:rsidRPr="00BF055E">
              <w:rPr>
                <w:rFonts w:eastAsia="Times New Roman" w:cs="Times New Roman"/>
                <w:sz w:val="18"/>
                <w:szCs w:val="18"/>
                <w:lang w:eastAsia="lv-LV"/>
              </w:rPr>
              <w:t>Biometāna</w:t>
            </w:r>
            <w:proofErr w:type="spellEnd"/>
            <w:r w:rsidRPr="00BF055E">
              <w:rPr>
                <w:rFonts w:eastAsia="Times New Roman" w:cs="Times New Roman"/>
                <w:sz w:val="18"/>
                <w:szCs w:val="18"/>
                <w:lang w:eastAsia="lv-LV"/>
              </w:rPr>
              <w:t xml:space="preserve"> īpatsvara </w:t>
            </w:r>
            <w:proofErr w:type="spellStart"/>
            <w:r w:rsidRPr="00BF055E">
              <w:rPr>
                <w:rFonts w:eastAsia="Times New Roman" w:cs="Times New Roman"/>
                <w:sz w:val="18"/>
                <w:szCs w:val="18"/>
                <w:lang w:eastAsia="lv-LV"/>
              </w:rPr>
              <w:t>galapatēriņā</w:t>
            </w:r>
            <w:proofErr w:type="spellEnd"/>
            <w:r w:rsidRPr="00BF055E">
              <w:rPr>
                <w:rFonts w:eastAsia="Times New Roman" w:cs="Times New Roman"/>
                <w:sz w:val="18"/>
                <w:szCs w:val="18"/>
                <w:lang w:eastAsia="lv-LV"/>
              </w:rPr>
              <w:t xml:space="preserve"> palielināšana”; ;</w:t>
            </w:r>
            <w:r w:rsidRPr="00BF055E">
              <w:rPr>
                <w:rFonts w:eastAsia="Times New Roman" w:cs="Times New Roman"/>
                <w:sz w:val="18"/>
                <w:szCs w:val="18"/>
                <w:lang w:eastAsia="lv-LV"/>
              </w:rPr>
              <w:br/>
              <w:t>8.) Sociālā klimata fonda normatīvā satvara izstrāde (2025.g.), Sociālā klimata plāna izstrāde (2025.g.), investīciju ieviešana (2026. - 2032.g.);</w:t>
            </w:r>
            <w:r w:rsidRPr="00BF055E">
              <w:rPr>
                <w:rFonts w:eastAsia="Times New Roman" w:cs="Times New Roman"/>
                <w:sz w:val="18"/>
                <w:szCs w:val="18"/>
                <w:lang w:eastAsia="lv-LV"/>
              </w:rPr>
              <w:br/>
              <w:t>9.) MK 2016. gada 12. janvāra noteikumi Nr. 35 "Emisijas kvotu izsolīšanas instrumenta finansēto projektu atklāta konkursa "Siltumnīcefekta gāzu emisiju samazināšana valsts nozīmes arhitektūras pieminekļos" nolikums" - turpinās projektu īstenošana projektu iesniegumu atlases otrās kārtas ietvaros, kas izsludināta 2022. gadā;</w:t>
            </w:r>
            <w:r w:rsidRPr="00BF055E">
              <w:rPr>
                <w:rFonts w:eastAsia="Times New Roman" w:cs="Times New Roman"/>
                <w:sz w:val="18"/>
                <w:szCs w:val="18"/>
                <w:lang w:eastAsia="lv-LV"/>
              </w:rPr>
              <w:br/>
              <w:t>10.) MK 2018. gada 12. jūnija noteikumi Nr. 333 "Emisijas kvotu izsolīšanas instrumenta finansēto projektu atklāta konkursa "Siltumnīcefekta gāzu emisiju samazināšana ar viedajām pilsētvides tehnoloģijām" nolikums" - projektu iesniegumu atlases otrās kārtas izsludināšana 2024. gada augustā;</w:t>
            </w:r>
          </w:p>
          <w:p w14:paraId="742CD3F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11.) MK 2022. gada 1. marta noteikumi Nr. 150 "Emisijas kvotu izsolīšanas instrumenta finansēto projektu atklāta konkursa "Siltumnīcefekta gāzu emisiju samazināšana mājsaimniecībās – atbalsts </w:t>
            </w:r>
            <w:r w:rsidRPr="00BF055E">
              <w:rPr>
                <w:rFonts w:eastAsia="Times New Roman" w:cs="Times New Roman"/>
                <w:sz w:val="18"/>
                <w:szCs w:val="18"/>
                <w:lang w:eastAsia="lv-LV"/>
              </w:rPr>
              <w:lastRenderedPageBreak/>
              <w:t>atjaunojamo energoresursu izmantošanai" nolikums" - konkursa ietvaros atbalstāmo aktivitāšu īstenošana līdz 2024. g. 31. decembrim vai kamēr ir pieejams konkursa ietvaros noteiktais finansējums;</w:t>
            </w:r>
            <w:r w:rsidRPr="00BF055E">
              <w:rPr>
                <w:rFonts w:eastAsia="Times New Roman" w:cs="Times New Roman"/>
                <w:sz w:val="18"/>
                <w:szCs w:val="18"/>
                <w:lang w:eastAsia="lv-LV"/>
              </w:rPr>
              <w:br/>
              <w:t>12.) MK 2022. g. 14. jūlija noteikumi Nr. 454 "Emisijas kvotu izsolīšanas instrumenta finansēto projektu atklāta konkursa "Siltumnīcefekta gāzu emisiju samazināšana pašvaldību publisko teritoriju apgaismojuma infrastruktūrā" nolikums" - turpinās projektu īstenošana projektu iesniegumu atlases ietvaros, kas izsludināta 2022. g.;</w:t>
            </w:r>
            <w:r w:rsidRPr="00BF055E">
              <w:rPr>
                <w:rFonts w:eastAsia="Times New Roman" w:cs="Times New Roman"/>
                <w:sz w:val="18"/>
                <w:szCs w:val="18"/>
                <w:lang w:eastAsia="lv-LV"/>
              </w:rPr>
              <w:br/>
              <w:t xml:space="preserve">13.) MK noteikumu "Emisijas kvotu izsolīšanas instrumenta finansēto projektu atklāta konkursa "Sabiedrības izpratnes veicināšana par </w:t>
            </w:r>
            <w:proofErr w:type="spellStart"/>
            <w:r w:rsidRPr="00BF055E">
              <w:rPr>
                <w:rFonts w:eastAsia="Times New Roman" w:cs="Times New Roman"/>
                <w:sz w:val="18"/>
                <w:szCs w:val="18"/>
                <w:lang w:eastAsia="lv-LV"/>
              </w:rPr>
              <w:t>klimatneitralitātes</w:t>
            </w:r>
            <w:proofErr w:type="spellEnd"/>
            <w:r w:rsidRPr="00BF055E">
              <w:rPr>
                <w:rFonts w:eastAsia="Times New Roman" w:cs="Times New Roman"/>
                <w:sz w:val="18"/>
                <w:szCs w:val="18"/>
                <w:lang w:eastAsia="lv-LV"/>
              </w:rPr>
              <w:t xml:space="preserve"> un </w:t>
            </w:r>
            <w:proofErr w:type="spellStart"/>
            <w:r w:rsidRPr="00BF055E">
              <w:rPr>
                <w:rFonts w:eastAsia="Times New Roman" w:cs="Times New Roman"/>
                <w:sz w:val="18"/>
                <w:szCs w:val="18"/>
                <w:lang w:eastAsia="lv-LV"/>
              </w:rPr>
              <w:t>klimatnoturības</w:t>
            </w:r>
            <w:proofErr w:type="spellEnd"/>
            <w:r w:rsidRPr="00BF055E">
              <w:rPr>
                <w:rFonts w:eastAsia="Times New Roman" w:cs="Times New Roman"/>
                <w:sz w:val="18"/>
                <w:szCs w:val="18"/>
                <w:lang w:eastAsia="lv-LV"/>
              </w:rPr>
              <w:t xml:space="preserve"> nozīmi un iespējām" nolikums" sagatavošana, MK noteikumu apstiprināšana - 2024. g. 3. ceturksnis, projektu iesniegumu atlases izsludināšana - 2024. g. 4. ceturksnis;</w:t>
            </w:r>
            <w:r w:rsidRPr="00BF055E">
              <w:rPr>
                <w:rFonts w:eastAsia="Times New Roman" w:cs="Times New Roman"/>
                <w:sz w:val="18"/>
                <w:szCs w:val="18"/>
                <w:lang w:eastAsia="lv-LV"/>
              </w:rPr>
              <w:br/>
              <w:t xml:space="preserve">14.) MK noteikumu "Emisijas kvotu izsolīšanas instrumenta finansēto projektu atklāta konkursa "Siltumnīcefekta gāzu emisiju samazināšana </w:t>
            </w:r>
            <w:proofErr w:type="spellStart"/>
            <w:r w:rsidRPr="00BF055E">
              <w:rPr>
                <w:rFonts w:eastAsia="Times New Roman" w:cs="Times New Roman"/>
                <w:sz w:val="18"/>
                <w:szCs w:val="18"/>
                <w:lang w:eastAsia="lv-LV"/>
              </w:rPr>
              <w:t>Iekšlietu</w:t>
            </w:r>
            <w:proofErr w:type="spellEnd"/>
            <w:r w:rsidRPr="00BF055E">
              <w:rPr>
                <w:rFonts w:eastAsia="Times New Roman" w:cs="Times New Roman"/>
                <w:sz w:val="18"/>
                <w:szCs w:val="18"/>
                <w:lang w:eastAsia="lv-LV"/>
              </w:rPr>
              <w:t xml:space="preserve"> ministrijas sistēmas iestāžu un pašvaldību policijas institūciju ēkās" nolikums" sagatavošana, MK noteikumu apstiprināšana - 2024. g. 3./4. ceturksnis, projektu iesniegumu atlases izsludināšana - 2024. gada 4. ceturksnis;</w:t>
            </w:r>
            <w:r w:rsidRPr="00BF055E">
              <w:rPr>
                <w:rFonts w:eastAsia="Times New Roman" w:cs="Times New Roman"/>
                <w:sz w:val="18"/>
                <w:szCs w:val="18"/>
                <w:lang w:eastAsia="lv-LV"/>
              </w:rPr>
              <w:br/>
              <w:t>15.) MK noteikumu sagatavošana - Emisijas kvotu izsolīšanas instrumenta finansēto projektu atklātu konkursu nolikumi laika periodā līdz 2028. gadam;</w:t>
            </w:r>
            <w:r w:rsidRPr="00BF055E">
              <w:rPr>
                <w:rFonts w:eastAsia="Times New Roman" w:cs="Times New Roman"/>
                <w:sz w:val="18"/>
                <w:szCs w:val="18"/>
                <w:lang w:eastAsia="lv-LV"/>
              </w:rPr>
              <w:br/>
              <w:t>16.) MK noteikumu "Modernizācijas fonda finansēto projektu atklāta konkursa "</w:t>
            </w:r>
            <w:proofErr w:type="spellStart"/>
            <w:r w:rsidRPr="00BF055E">
              <w:rPr>
                <w:rFonts w:eastAsia="Times New Roman" w:cs="Times New Roman"/>
                <w:sz w:val="18"/>
                <w:szCs w:val="18"/>
                <w:lang w:eastAsia="lv-LV"/>
              </w:rPr>
              <w:t>Atjaunīgo</w:t>
            </w:r>
            <w:proofErr w:type="spellEnd"/>
            <w:r w:rsidRPr="00BF055E">
              <w:rPr>
                <w:rFonts w:eastAsia="Times New Roman" w:cs="Times New Roman"/>
                <w:sz w:val="18"/>
                <w:szCs w:val="18"/>
                <w:lang w:eastAsia="lv-LV"/>
              </w:rPr>
              <w:t xml:space="preserve"> energoresursu izmantošanas veicināšana daudzdzīvokļu ēkās, valsts un </w:t>
            </w:r>
            <w:r w:rsidRPr="00BF055E">
              <w:rPr>
                <w:rFonts w:eastAsia="Times New Roman" w:cs="Times New Roman"/>
                <w:sz w:val="18"/>
                <w:szCs w:val="18"/>
                <w:lang w:eastAsia="lv-LV"/>
              </w:rPr>
              <w:lastRenderedPageBreak/>
              <w:t>pašvaldības ēkās, tajā skaitā atbalsts ar to darbību saistītās infrastruktūras izveidē" nolikums" sagatavošana, MK noteikumu apstiprināšana - 2024. g. 4. ceturksnis/2025. g. 1. ceturksnis, projektu iesniegumu atlases izsludināšana - 2025. g. 1./2. ceturksnis;</w:t>
            </w:r>
            <w:r w:rsidRPr="00BF055E">
              <w:rPr>
                <w:rFonts w:eastAsia="Times New Roman" w:cs="Times New Roman"/>
                <w:sz w:val="18"/>
                <w:szCs w:val="18"/>
                <w:lang w:eastAsia="lv-LV"/>
              </w:rPr>
              <w:br/>
              <w:t xml:space="preserve">17.) MK noteikumu "Modernizācijas fonda finansēto projektu konkursa "Energoefektivitātes uzlabošana un </w:t>
            </w:r>
            <w:proofErr w:type="spellStart"/>
            <w:r w:rsidRPr="00BF055E">
              <w:rPr>
                <w:rFonts w:eastAsia="Times New Roman" w:cs="Times New Roman"/>
                <w:sz w:val="18"/>
                <w:szCs w:val="18"/>
                <w:lang w:eastAsia="lv-LV"/>
              </w:rPr>
              <w:t>atjaunīgo</w:t>
            </w:r>
            <w:proofErr w:type="spellEnd"/>
            <w:r w:rsidRPr="00BF055E">
              <w:rPr>
                <w:rFonts w:eastAsia="Times New Roman" w:cs="Times New Roman"/>
                <w:sz w:val="18"/>
                <w:szCs w:val="18"/>
                <w:lang w:eastAsia="lv-LV"/>
              </w:rPr>
              <w:t xml:space="preserve"> energoresursu izmantošanas veicināšana komersantiem enerģijas sadales, pārvades un ražošanas procesos" nolikums" (MK noteikumu nosaukums izstrādes procesā var tikt precizēts) sagatavošana, MK noteikumu apstiprināšana - 2025. g., projektu iesniegumu atlases izsludināšana - 2025. g.;</w:t>
            </w:r>
            <w:r w:rsidRPr="00BF055E">
              <w:rPr>
                <w:rFonts w:eastAsia="Times New Roman" w:cs="Times New Roman"/>
                <w:sz w:val="18"/>
                <w:szCs w:val="18"/>
                <w:lang w:eastAsia="lv-LV"/>
              </w:rPr>
              <w:br/>
              <w:t xml:space="preserve">18.) atbilstoši: MK 2021. g. 21. decembra noteikumi Nr. 896 "Emisijas kvotu izsolīšanas instrumenta finansēto projektu atklāta konkursa "Siltumnīcefekta gāzu emisijas samazināšana transporta sektorā – atbalsts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un </w:t>
            </w:r>
            <w:proofErr w:type="spellStart"/>
            <w:r w:rsidRPr="00BF055E">
              <w:rPr>
                <w:rFonts w:eastAsia="Times New Roman" w:cs="Times New Roman"/>
                <w:sz w:val="18"/>
                <w:szCs w:val="18"/>
                <w:lang w:eastAsia="lv-LV"/>
              </w:rPr>
              <w:t>mazemisiju</w:t>
            </w:r>
            <w:proofErr w:type="spellEnd"/>
            <w:r w:rsidRPr="00BF055E">
              <w:rPr>
                <w:rFonts w:eastAsia="Times New Roman" w:cs="Times New Roman"/>
                <w:sz w:val="18"/>
                <w:szCs w:val="18"/>
                <w:lang w:eastAsia="lv-LV"/>
              </w:rPr>
              <w:t xml:space="preserve"> transportlīdzekļu iegādei" nolikums" - konkursa ietvaros atbalstāmo aktivitāšu īstenošana līdz 2024. g. 31. decembrim vai kamēr ir pieejams konkursa ietvaros noteiktais finansējums;</w:t>
            </w:r>
            <w:r w:rsidRPr="00BF055E">
              <w:rPr>
                <w:rFonts w:eastAsia="Times New Roman" w:cs="Times New Roman"/>
                <w:sz w:val="18"/>
                <w:szCs w:val="18"/>
                <w:lang w:eastAsia="lv-LV"/>
              </w:rPr>
              <w:br/>
              <w:t>MK noteikumu "Modernizācijas fonda finansēto projektu atklāta konkursa "Energoefektivitātes paaugstināšana transporta sektorā – atbalsts elektromobiļu un to uzlādes infrastruktūras ieviešanai" nolikums" sagatavošana, MK noteikumu apstiprināšana - 2024. g. 3. ceturksnis, projektu iesniegumu atlases izsludināšana - 2024. g. 4. ceturksnis</w:t>
            </w:r>
          </w:p>
        </w:tc>
        <w:tc>
          <w:tcPr>
            <w:tcW w:w="1134" w:type="dxa"/>
            <w:tcBorders>
              <w:top w:val="nil"/>
              <w:left w:val="nil"/>
              <w:bottom w:val="single" w:sz="4" w:space="0" w:color="auto"/>
              <w:right w:val="single" w:sz="4" w:space="0" w:color="auto"/>
            </w:tcBorders>
            <w:shd w:val="clear" w:color="000000" w:fill="FFFFFF"/>
            <w:hideMark/>
          </w:tcPr>
          <w:p w14:paraId="76CDA5F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ES fondu pasākumiem (2025. - 2029.g.), </w:t>
            </w:r>
            <w:proofErr w:type="spellStart"/>
            <w:r w:rsidRPr="00BF055E">
              <w:rPr>
                <w:rFonts w:eastAsia="Times New Roman" w:cs="Times New Roman"/>
                <w:i/>
                <w:iCs/>
                <w:sz w:val="18"/>
                <w:szCs w:val="18"/>
                <w:lang w:eastAsia="lv-LV"/>
              </w:rPr>
              <w:t>REPowerEU</w:t>
            </w:r>
            <w:proofErr w:type="spellEnd"/>
            <w:r w:rsidRPr="00BF055E">
              <w:rPr>
                <w:rFonts w:eastAsia="Times New Roman" w:cs="Times New Roman"/>
                <w:sz w:val="18"/>
                <w:szCs w:val="18"/>
                <w:lang w:eastAsia="lv-LV"/>
              </w:rPr>
              <w:t xml:space="preserve"> (2024. - 2026.g.), Sociālais klimata fonds (2026. - 2032.g.), Emisijas kvotu izsolīšanas instruments - atbilstoši katrā projektu atklātā konkursā noteiktajam īstenošanas termiņam un </w:t>
            </w:r>
            <w:r w:rsidRPr="00BF055E">
              <w:rPr>
                <w:rFonts w:eastAsia="Times New Roman" w:cs="Times New Roman"/>
                <w:sz w:val="18"/>
                <w:szCs w:val="18"/>
                <w:lang w:eastAsia="lv-LV"/>
              </w:rPr>
              <w:lastRenderedPageBreak/>
              <w:t>katrā noslēgtajā projekta līgumā noteiktajam projekta īstenošanas termiņam, Modernizācijas fonds - atbilstoši katrā projektu konkursā noteiktajam īstenošanas termiņam un katrā noslēgtajā projekta līgumā noteiktajam projekta īstenošanas termiņam.</w:t>
            </w:r>
          </w:p>
        </w:tc>
        <w:tc>
          <w:tcPr>
            <w:tcW w:w="1843" w:type="dxa"/>
            <w:tcBorders>
              <w:top w:val="nil"/>
              <w:left w:val="nil"/>
              <w:bottom w:val="single" w:sz="4" w:space="0" w:color="auto"/>
              <w:right w:val="single" w:sz="4" w:space="0" w:color="auto"/>
            </w:tcBorders>
            <w:shd w:val="clear" w:color="auto" w:fill="auto"/>
            <w:hideMark/>
          </w:tcPr>
          <w:p w14:paraId="4A63F3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4.) 2.1.2. investīcijai: 21,5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5.) 2.1.1.3. investīcijai: 55, 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6.) 72,9</w:t>
            </w:r>
            <w:r w:rsidRPr="00BF055E">
              <w:t xml:space="preserve"> </w:t>
            </w:r>
            <w:r w:rsidRPr="00BF055E">
              <w:rPr>
                <w:rFonts w:eastAsia="Times New Roman" w:cs="Times New Roman"/>
                <w:sz w:val="18"/>
                <w:szCs w:val="18"/>
                <w:lang w:eastAsia="lv-LV"/>
              </w:rPr>
              <w:t xml:space="preserve">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7.) 1,5</w:t>
            </w:r>
            <w:r w:rsidRPr="00BF055E">
              <w:t xml:space="preserve"> </w:t>
            </w:r>
            <w:r w:rsidRPr="00BF055E">
              <w:rPr>
                <w:rFonts w:eastAsia="Times New Roman" w:cs="Times New Roman"/>
                <w:sz w:val="18"/>
                <w:szCs w:val="18"/>
                <w:lang w:eastAsia="lv-LV"/>
              </w:rPr>
              <w:t xml:space="preserve">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8.) Sociālajam klimata fondam: 463,7</w:t>
            </w:r>
            <w:r w:rsidRPr="00BF055E">
              <w:t xml:space="preserve"> </w:t>
            </w:r>
            <w:r w:rsidRPr="00BF055E">
              <w:rPr>
                <w:rFonts w:eastAsia="Times New Roman" w:cs="Times New Roman"/>
                <w:sz w:val="18"/>
                <w:szCs w:val="18"/>
                <w:lang w:eastAsia="lv-LV"/>
              </w:rPr>
              <w:t xml:space="preserve">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9.) atbilstoši noslēgto projektu līgumu īstenošanai paredzētajam, bet vēl neizmaksātajam finansējumam; </w:t>
            </w:r>
            <w:r w:rsidRPr="00BF055E">
              <w:rPr>
                <w:rFonts w:eastAsia="Times New Roman" w:cs="Times New Roman"/>
                <w:sz w:val="18"/>
                <w:szCs w:val="18"/>
                <w:lang w:eastAsia="lv-LV"/>
              </w:rPr>
              <w:br/>
              <w:t xml:space="preserve">10.) 6 </w:t>
            </w:r>
            <w:proofErr w:type="spellStart"/>
            <w:r w:rsidRPr="00BF055E">
              <w:rPr>
                <w:rFonts w:eastAsia="Times New Roman" w:cs="Times New Roman"/>
                <w:sz w:val="18"/>
                <w:szCs w:val="18"/>
                <w:lang w:eastAsia="lv-LV"/>
              </w:rPr>
              <w:t>milj</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11.) konkursa ietvaros pieejamais kopējais finanšu instrumenta finansējums (ieskaitot jau izmaksāto finansējumu atbilstoši </w:t>
            </w:r>
            <w:r w:rsidRPr="00BF055E">
              <w:rPr>
                <w:rFonts w:eastAsia="Times New Roman" w:cs="Times New Roman"/>
                <w:sz w:val="18"/>
                <w:szCs w:val="18"/>
                <w:lang w:eastAsia="lv-LV"/>
              </w:rPr>
              <w:lastRenderedPageBreak/>
              <w:t xml:space="preserve">noslēgtajiem projektu līgumiem) - 45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12.) atbilstoši noslēgto projektu līgumu īstenošanai paredzētajam, bet vēl neizmaksātajam finansējumam; </w:t>
            </w:r>
            <w:r w:rsidRPr="00BF055E">
              <w:rPr>
                <w:rFonts w:eastAsia="Times New Roman" w:cs="Times New Roman"/>
                <w:sz w:val="18"/>
                <w:szCs w:val="18"/>
                <w:lang w:eastAsia="lv-LV"/>
              </w:rPr>
              <w:br/>
              <w:t xml:space="preserve">13.) 2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14.) 20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15.) finansējums katra projektu atklāta konkursa īstenošanai tiks noteikts, izstrādājot projektu konkursu nolikumus;</w:t>
            </w:r>
            <w:r w:rsidRPr="00BF055E">
              <w:rPr>
                <w:rFonts w:eastAsia="Times New Roman" w:cs="Times New Roman"/>
                <w:sz w:val="18"/>
                <w:szCs w:val="18"/>
                <w:lang w:eastAsia="lv-LV"/>
              </w:rPr>
              <w:br/>
              <w:t xml:space="preserve">16.) 26,8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17.) finansējums konkursa īstenošanai tiks noteikts, izstrādājot projektu konkursu nolikumu.</w:t>
            </w:r>
          </w:p>
        </w:tc>
        <w:tc>
          <w:tcPr>
            <w:tcW w:w="992" w:type="dxa"/>
            <w:tcBorders>
              <w:top w:val="nil"/>
              <w:left w:val="nil"/>
              <w:bottom w:val="single" w:sz="4" w:space="0" w:color="auto"/>
              <w:right w:val="single" w:sz="4" w:space="0" w:color="auto"/>
            </w:tcBorders>
            <w:shd w:val="clear" w:color="000000" w:fill="FFFFFF"/>
            <w:hideMark/>
          </w:tcPr>
          <w:p w14:paraId="777AC33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KEM</w:t>
            </w:r>
          </w:p>
        </w:tc>
        <w:tc>
          <w:tcPr>
            <w:tcW w:w="945" w:type="dxa"/>
            <w:tcBorders>
              <w:top w:val="nil"/>
              <w:left w:val="nil"/>
              <w:bottom w:val="single" w:sz="4" w:space="0" w:color="auto"/>
              <w:right w:val="single" w:sz="4" w:space="0" w:color="auto"/>
            </w:tcBorders>
            <w:shd w:val="clear" w:color="auto" w:fill="auto"/>
            <w:hideMark/>
          </w:tcPr>
          <w:p w14:paraId="3B9F1B4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p w14:paraId="61E70D0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77EC68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436E894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0295D38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8E158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09249966"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6D3217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Energoefektivitātes veicināšana</w:t>
            </w:r>
          </w:p>
        </w:tc>
        <w:tc>
          <w:tcPr>
            <w:tcW w:w="1418" w:type="dxa"/>
            <w:tcBorders>
              <w:top w:val="nil"/>
              <w:left w:val="nil"/>
              <w:bottom w:val="single" w:sz="4" w:space="0" w:color="auto"/>
              <w:right w:val="single" w:sz="4" w:space="0" w:color="auto"/>
            </w:tcBorders>
            <w:shd w:val="clear" w:color="000000" w:fill="FFFFFF"/>
            <w:hideMark/>
          </w:tcPr>
          <w:p w14:paraId="35CC66E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Atkarības mazināšana no fosilās degvielas;</w:t>
            </w:r>
            <w:r w:rsidRPr="00BF055E">
              <w:rPr>
                <w:rFonts w:eastAsia="Times New Roman" w:cs="Times New Roman"/>
                <w:sz w:val="18"/>
                <w:szCs w:val="18"/>
                <w:lang w:eastAsia="lv-LV"/>
              </w:rPr>
              <w:br/>
              <w:t>energoefektivitātes paaugstināšana publiskā un privātā sektorā</w:t>
            </w:r>
          </w:p>
        </w:tc>
        <w:tc>
          <w:tcPr>
            <w:tcW w:w="3402" w:type="dxa"/>
            <w:tcBorders>
              <w:top w:val="nil"/>
              <w:left w:val="nil"/>
              <w:bottom w:val="single" w:sz="4" w:space="0" w:color="auto"/>
              <w:right w:val="single" w:sz="4" w:space="0" w:color="auto"/>
            </w:tcBorders>
            <w:shd w:val="clear" w:color="000000" w:fill="FFFFFF"/>
            <w:hideMark/>
          </w:tcPr>
          <w:p w14:paraId="7D940E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Nacionālā enerģētikas un klimata plāna apstiprināšana;</w:t>
            </w:r>
            <w:r w:rsidRPr="00BF055E">
              <w:rPr>
                <w:rFonts w:eastAsia="Times New Roman" w:cs="Times New Roman"/>
                <w:sz w:val="18"/>
                <w:szCs w:val="18"/>
                <w:lang w:eastAsia="lv-LV"/>
              </w:rPr>
              <w:br/>
              <w:t>2.) Tiesiskā ietvara izstrāde un pieņemšana Energoefektivitātes direktīvas pārņemšanai (2024.-2025. g.)</w:t>
            </w:r>
            <w:r w:rsidRPr="00BF055E">
              <w:rPr>
                <w:rFonts w:eastAsia="Times New Roman" w:cs="Times New Roman"/>
                <w:sz w:val="18"/>
                <w:szCs w:val="18"/>
                <w:lang w:eastAsia="lv-LV"/>
              </w:rPr>
              <w:br/>
              <w:t>3.) NEKP pasākumu īstenošana (2024.-2028. g.)</w:t>
            </w:r>
            <w:r w:rsidRPr="00BF055E">
              <w:rPr>
                <w:rFonts w:eastAsia="Times New Roman" w:cs="Times New Roman"/>
                <w:sz w:val="18"/>
                <w:szCs w:val="18"/>
                <w:lang w:eastAsia="lv-LV"/>
              </w:rPr>
              <w:br/>
              <w:t>4.) atbilstoši: MK 2016. gada 12. janvāra noteikumi Nr. 35 "Emisijas kvotu izsolīšanas instrumenta finansēto projektu atklāta konkursa "Siltumnīcefekta gāzu emisiju samazināšana valsts nozīmes arhitektūras pieminekļos" nolikums" - turpinās projektu īstenošana projektu iesniegumu atlases otrās kārtas ietvaros, kas izsludināta 2022. gadā;</w:t>
            </w:r>
            <w:r w:rsidRPr="00BF055E">
              <w:rPr>
                <w:rFonts w:eastAsia="Times New Roman" w:cs="Times New Roman"/>
                <w:sz w:val="18"/>
                <w:szCs w:val="18"/>
                <w:lang w:eastAsia="lv-LV"/>
              </w:rPr>
              <w:br/>
              <w:t>MK 2018. gada 12. jūnija noteikumi Nr. 333 "Emisijas kvotu izsolīšanas instrumenta finansēto projektu atklāta konkursa "Siltumnīcefekta gāzu emisiju samazināšana ar viedajām pilsētvides tehnoloģijām" nolikums" - projektu iesniegumu atlases otrās kārtas izsludināšana 2024. gada augustā, projektu iesniegumu iesniegšanas termiņš līdz 2024. gada 1. novembrim, konkursa ietvaros apstiprināto projektu īstenošanas termiņš - atbilstoši katrā noslēgtajā projekta līgumā noteiktajam;</w:t>
            </w:r>
            <w:r w:rsidRPr="00BF055E">
              <w:rPr>
                <w:rFonts w:eastAsia="Times New Roman" w:cs="Times New Roman"/>
                <w:sz w:val="18"/>
                <w:szCs w:val="18"/>
                <w:lang w:eastAsia="lv-LV"/>
              </w:rPr>
              <w:br/>
              <w:t>MK 2022. gada 14. jūlija noteikumi Nr. 454 "Emisijas kvotu izsolīšanas instrumenta finansēto projektu atklāta konkursa "Siltumnīcefekta gāzu emisiju samazināšana pašvaldību publisko teritoriju apgaismojuma infrastruktūrā" nolikums" - turpinās projektu īstenošana projektu iesniegumu atlases ietvaros, kas izsludināta 2022. gadā;</w:t>
            </w:r>
            <w:r w:rsidRPr="00BF055E">
              <w:rPr>
                <w:rFonts w:eastAsia="Times New Roman" w:cs="Times New Roman"/>
                <w:sz w:val="18"/>
                <w:szCs w:val="18"/>
                <w:lang w:eastAsia="lv-LV"/>
              </w:rPr>
              <w:br/>
              <w:t xml:space="preserve">MK noteikumu "Emisijas kvotu izsolīšanas </w:t>
            </w:r>
            <w:r w:rsidRPr="00BF055E">
              <w:rPr>
                <w:rFonts w:eastAsia="Times New Roman" w:cs="Times New Roman"/>
                <w:sz w:val="18"/>
                <w:szCs w:val="18"/>
                <w:lang w:eastAsia="lv-LV"/>
              </w:rPr>
              <w:lastRenderedPageBreak/>
              <w:t xml:space="preserve">instrumenta finansēto projektu atklāta konkursa "Siltumnīcefekta gāzu emisiju samazināšana </w:t>
            </w:r>
            <w:proofErr w:type="spellStart"/>
            <w:r w:rsidRPr="00BF055E">
              <w:rPr>
                <w:rFonts w:eastAsia="Times New Roman" w:cs="Times New Roman"/>
                <w:sz w:val="18"/>
                <w:szCs w:val="18"/>
                <w:lang w:eastAsia="lv-LV"/>
              </w:rPr>
              <w:t>Iekšlietu</w:t>
            </w:r>
            <w:proofErr w:type="spellEnd"/>
            <w:r w:rsidRPr="00BF055E">
              <w:rPr>
                <w:rFonts w:eastAsia="Times New Roman" w:cs="Times New Roman"/>
                <w:sz w:val="18"/>
                <w:szCs w:val="18"/>
                <w:lang w:eastAsia="lv-LV"/>
              </w:rPr>
              <w:t xml:space="preserve"> ministrijas sistēmas iestāžu un pašvaldību policijas institūciju ēkās" nolikums" sagatavošana, MK noteikumu apstiprināšana - 2024. gada 3./4. ceturksnis, projektu iesniegumu atlases izsludināšana - 2024. gada 4. ceturksnis, konkursa ietvaros apstiprināto projektu īstenošanas termiņš - atbilstoši katrā noslēgtajā projekta līgumā noteiktajam;</w:t>
            </w:r>
            <w:r w:rsidRPr="00BF055E">
              <w:rPr>
                <w:rFonts w:eastAsia="Times New Roman" w:cs="Times New Roman"/>
                <w:sz w:val="18"/>
                <w:szCs w:val="18"/>
                <w:lang w:eastAsia="lv-LV"/>
              </w:rPr>
              <w:br/>
              <w:t xml:space="preserve"> - atbilstoši Emisijas kvotu izsolīšanas instrumenta darbības stratēģijā (izstrādes stadijā) noteiktajiem finansējuma izmantošanas virzieniem un Nacionālajā enerģētikas un klimata plānā noteiktajām prioritātēm;</w:t>
            </w:r>
            <w:r w:rsidRPr="00BF055E">
              <w:rPr>
                <w:rFonts w:eastAsia="Times New Roman" w:cs="Times New Roman"/>
                <w:sz w:val="18"/>
                <w:szCs w:val="18"/>
                <w:lang w:eastAsia="lv-LV"/>
              </w:rPr>
              <w:br/>
              <w:t xml:space="preserve">MK noteikumu "Modernizācijas fonda finansēto projektu konkursa "Energoefektivitātes uzlabošana un </w:t>
            </w:r>
            <w:proofErr w:type="spellStart"/>
            <w:r w:rsidRPr="00BF055E">
              <w:rPr>
                <w:rFonts w:eastAsia="Times New Roman" w:cs="Times New Roman"/>
                <w:sz w:val="18"/>
                <w:szCs w:val="18"/>
                <w:lang w:eastAsia="lv-LV"/>
              </w:rPr>
              <w:t>atjaunīgo</w:t>
            </w:r>
            <w:proofErr w:type="spellEnd"/>
            <w:r w:rsidRPr="00BF055E">
              <w:rPr>
                <w:rFonts w:eastAsia="Times New Roman" w:cs="Times New Roman"/>
                <w:sz w:val="18"/>
                <w:szCs w:val="18"/>
                <w:lang w:eastAsia="lv-LV"/>
              </w:rPr>
              <w:t xml:space="preserve"> energoresursu izmantošanas veicināšana komersantiem enerģijas sadales, pārvades un ražošanas procesos" nolikums" (MK noteikumu nosaukums izstrādes procesā var tikt precizēts) sagatavošana, MK noteikumu apstiprināšana - 2025. gads, projektu iesniegumu atlases izsludināšana - 2025. gads, konkursa ietvaros apstiprināto projektu īstenošanas termiņš - atbilstoši katrā noslēgtajā projekta līgumā noteiktajam.</w:t>
            </w:r>
          </w:p>
        </w:tc>
        <w:tc>
          <w:tcPr>
            <w:tcW w:w="1134" w:type="dxa"/>
            <w:tcBorders>
              <w:top w:val="nil"/>
              <w:left w:val="nil"/>
              <w:bottom w:val="single" w:sz="4" w:space="0" w:color="auto"/>
              <w:right w:val="single" w:sz="4" w:space="0" w:color="auto"/>
            </w:tcBorders>
            <w:shd w:val="clear" w:color="000000" w:fill="FFFFFF"/>
            <w:hideMark/>
          </w:tcPr>
          <w:p w14:paraId="33FC03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2024.-2028.</w:t>
            </w:r>
          </w:p>
        </w:tc>
        <w:tc>
          <w:tcPr>
            <w:tcW w:w="1843" w:type="dxa"/>
            <w:tcBorders>
              <w:top w:val="nil"/>
              <w:left w:val="nil"/>
              <w:bottom w:val="single" w:sz="4" w:space="0" w:color="auto"/>
              <w:right w:val="single" w:sz="4" w:space="0" w:color="auto"/>
            </w:tcBorders>
            <w:shd w:val="clear" w:color="000000" w:fill="FFFFFF"/>
            <w:hideMark/>
          </w:tcPr>
          <w:p w14:paraId="660D4A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92" w:type="dxa"/>
            <w:tcBorders>
              <w:top w:val="nil"/>
              <w:left w:val="nil"/>
              <w:bottom w:val="single" w:sz="4" w:space="0" w:color="auto"/>
              <w:right w:val="single" w:sz="4" w:space="0" w:color="auto"/>
            </w:tcBorders>
            <w:shd w:val="clear" w:color="000000" w:fill="FFFFFF"/>
            <w:hideMark/>
          </w:tcPr>
          <w:p w14:paraId="26EC65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KEM/</w:t>
            </w:r>
            <w:r w:rsidRPr="00BF055E">
              <w:rPr>
                <w:rFonts w:eastAsia="Times New Roman" w:cs="Times New Roman"/>
                <w:sz w:val="18"/>
                <w:szCs w:val="18"/>
                <w:lang w:eastAsia="lv-LV"/>
              </w:rPr>
              <w:br/>
              <w:t>EM</w:t>
            </w:r>
          </w:p>
        </w:tc>
        <w:tc>
          <w:tcPr>
            <w:tcW w:w="945" w:type="dxa"/>
            <w:tcBorders>
              <w:top w:val="nil"/>
              <w:left w:val="nil"/>
              <w:bottom w:val="single" w:sz="4" w:space="0" w:color="auto"/>
              <w:right w:val="single" w:sz="4" w:space="0" w:color="auto"/>
            </w:tcBorders>
            <w:shd w:val="clear" w:color="000000" w:fill="FFFFFF"/>
            <w:hideMark/>
          </w:tcPr>
          <w:p w14:paraId="55F810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98" w:type="dxa"/>
            <w:tcBorders>
              <w:top w:val="nil"/>
              <w:left w:val="nil"/>
              <w:bottom w:val="single" w:sz="4" w:space="0" w:color="auto"/>
              <w:right w:val="single" w:sz="4" w:space="0" w:color="auto"/>
            </w:tcBorders>
            <w:shd w:val="clear" w:color="000000" w:fill="FFFFFF"/>
            <w:hideMark/>
          </w:tcPr>
          <w:p w14:paraId="289ACEF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560271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36B72C8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2C3505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7E392AD6"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5C1D973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1.2.1.1.i. investīcija "Daudzdzīvokļu māju energoefektivitātes uzlabošana un pāreja uz </w:t>
            </w:r>
            <w:r w:rsidRPr="00BF055E">
              <w:rPr>
                <w:rFonts w:eastAsia="Times New Roman" w:cs="Times New Roman"/>
                <w:sz w:val="18"/>
                <w:szCs w:val="18"/>
                <w:lang w:eastAsia="lv-LV"/>
              </w:rPr>
              <w:lastRenderedPageBreak/>
              <w:t>atjaunojamo energoresursu tehnoloģiju izmantošanu"</w:t>
            </w:r>
          </w:p>
        </w:tc>
        <w:tc>
          <w:tcPr>
            <w:tcW w:w="1418" w:type="dxa"/>
            <w:tcBorders>
              <w:top w:val="nil"/>
              <w:left w:val="nil"/>
              <w:bottom w:val="single" w:sz="4" w:space="0" w:color="auto"/>
              <w:right w:val="single" w:sz="4" w:space="0" w:color="auto"/>
            </w:tcBorders>
            <w:shd w:val="clear" w:color="000000" w:fill="FFFFFF"/>
            <w:hideMark/>
          </w:tcPr>
          <w:p w14:paraId="763F56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Energoefektivitātes uzlabošana un atjaunojamo energoresursu tehnoloģiju iegāde un uzstādīšana </w:t>
            </w:r>
            <w:r w:rsidRPr="00BF055E">
              <w:rPr>
                <w:rFonts w:eastAsia="Times New Roman" w:cs="Times New Roman"/>
                <w:sz w:val="18"/>
                <w:szCs w:val="18"/>
                <w:lang w:eastAsia="lv-LV"/>
              </w:rPr>
              <w:lastRenderedPageBreak/>
              <w:t>(piem. saules paneļi - izmantošana pašpatēriņam) daudzdzīvokļu dzīvojamās mājās</w:t>
            </w:r>
          </w:p>
        </w:tc>
        <w:tc>
          <w:tcPr>
            <w:tcW w:w="3402" w:type="dxa"/>
            <w:tcBorders>
              <w:top w:val="nil"/>
              <w:left w:val="nil"/>
              <w:bottom w:val="single" w:sz="4" w:space="0" w:color="auto"/>
              <w:right w:val="single" w:sz="4" w:space="0" w:color="auto"/>
            </w:tcBorders>
            <w:shd w:val="clear" w:color="000000" w:fill="FFFFFF"/>
            <w:hideMark/>
          </w:tcPr>
          <w:p w14:paraId="76DCA85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Dzīvokļu īpašnieku vienošanās par dalību programmā un tehniskās dokumentācijas izstrāde.</w:t>
            </w:r>
            <w:r w:rsidRPr="00BF055E">
              <w:rPr>
                <w:rFonts w:eastAsia="Times New Roman" w:cs="Times New Roman"/>
                <w:sz w:val="18"/>
                <w:szCs w:val="18"/>
                <w:lang w:eastAsia="lv-LV"/>
              </w:rPr>
              <w:br/>
              <w:t xml:space="preserve">2. Projekta pieteikums </w:t>
            </w:r>
            <w:proofErr w:type="spellStart"/>
            <w:r w:rsidRPr="00BF055E">
              <w:rPr>
                <w:rFonts w:eastAsia="Times New Roman" w:cs="Times New Roman"/>
                <w:sz w:val="18"/>
                <w:szCs w:val="18"/>
                <w:lang w:eastAsia="lv-LV"/>
              </w:rPr>
              <w:t>Altum</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3. </w:t>
            </w:r>
            <w:proofErr w:type="spellStart"/>
            <w:r w:rsidRPr="00BF055E">
              <w:rPr>
                <w:rFonts w:eastAsia="Times New Roman" w:cs="Times New Roman"/>
                <w:sz w:val="18"/>
                <w:szCs w:val="18"/>
                <w:lang w:eastAsia="lv-LV"/>
              </w:rPr>
              <w:t>Altum</w:t>
            </w:r>
            <w:proofErr w:type="spellEnd"/>
            <w:r w:rsidRPr="00BF055E">
              <w:rPr>
                <w:rFonts w:eastAsia="Times New Roman" w:cs="Times New Roman"/>
                <w:sz w:val="18"/>
                <w:szCs w:val="18"/>
                <w:lang w:eastAsia="lv-LV"/>
              </w:rPr>
              <w:t xml:space="preserve"> pieņem sākotnējo atzinumu par kapitāla atlaides rezervēšanu.</w:t>
            </w:r>
            <w:r w:rsidRPr="00BF055E">
              <w:rPr>
                <w:rFonts w:eastAsia="Times New Roman" w:cs="Times New Roman"/>
                <w:sz w:val="18"/>
                <w:szCs w:val="18"/>
                <w:lang w:eastAsia="lv-LV"/>
              </w:rPr>
              <w:br/>
              <w:t>4. Tiek veikta piegādātāju atlase.</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 xml:space="preserve">5. </w:t>
            </w:r>
            <w:proofErr w:type="spellStart"/>
            <w:r w:rsidRPr="00BF055E">
              <w:rPr>
                <w:rFonts w:eastAsia="Times New Roman" w:cs="Times New Roman"/>
                <w:sz w:val="18"/>
                <w:szCs w:val="18"/>
                <w:lang w:eastAsia="lv-LV"/>
              </w:rPr>
              <w:t>Altum</w:t>
            </w:r>
            <w:proofErr w:type="spellEnd"/>
            <w:r w:rsidRPr="00BF055E">
              <w:rPr>
                <w:rFonts w:eastAsia="Times New Roman" w:cs="Times New Roman"/>
                <w:sz w:val="18"/>
                <w:szCs w:val="18"/>
                <w:lang w:eastAsia="lv-LV"/>
              </w:rPr>
              <w:t>, balstoties uz tāmi, precizē kapitāla atlaides apmēru.</w:t>
            </w:r>
            <w:r w:rsidRPr="00BF055E">
              <w:rPr>
                <w:rFonts w:eastAsia="Times New Roman" w:cs="Times New Roman"/>
                <w:sz w:val="18"/>
                <w:szCs w:val="18"/>
                <w:lang w:eastAsia="lv-LV"/>
              </w:rPr>
              <w:br/>
              <w:t>6. Pieteikums aizdevuma saņemšanai.</w:t>
            </w:r>
            <w:r w:rsidRPr="00BF055E">
              <w:rPr>
                <w:rFonts w:eastAsia="Times New Roman" w:cs="Times New Roman"/>
                <w:sz w:val="18"/>
                <w:szCs w:val="18"/>
                <w:lang w:eastAsia="lv-LV"/>
              </w:rPr>
              <w:br/>
              <w:t xml:space="preserve">7. </w:t>
            </w:r>
            <w:proofErr w:type="spellStart"/>
            <w:r w:rsidRPr="00BF055E">
              <w:rPr>
                <w:rFonts w:eastAsia="Times New Roman" w:cs="Times New Roman"/>
                <w:sz w:val="18"/>
                <w:szCs w:val="18"/>
                <w:lang w:eastAsia="lv-LV"/>
              </w:rPr>
              <w:t>Altum</w:t>
            </w:r>
            <w:proofErr w:type="spellEnd"/>
            <w:r w:rsidRPr="00BF055E">
              <w:rPr>
                <w:rFonts w:eastAsia="Times New Roman" w:cs="Times New Roman"/>
                <w:sz w:val="18"/>
                <w:szCs w:val="18"/>
                <w:lang w:eastAsia="lv-LV"/>
              </w:rPr>
              <w:t xml:space="preserve"> lēmums par aizdevuma vai garantijas un kapitāla atlaides piešķiršanu.</w:t>
            </w:r>
            <w:r w:rsidRPr="00BF055E">
              <w:rPr>
                <w:rFonts w:eastAsia="Times New Roman" w:cs="Times New Roman"/>
                <w:sz w:val="18"/>
                <w:szCs w:val="18"/>
                <w:lang w:eastAsia="lv-LV"/>
              </w:rPr>
              <w:br/>
              <w:t>8. Līgumu slēgšana.</w:t>
            </w:r>
            <w:r w:rsidRPr="00BF055E">
              <w:rPr>
                <w:rFonts w:eastAsia="Times New Roman" w:cs="Times New Roman"/>
                <w:sz w:val="18"/>
                <w:szCs w:val="18"/>
                <w:lang w:eastAsia="lv-LV"/>
              </w:rPr>
              <w:br/>
              <w:t>9. Būvdarbi.</w:t>
            </w:r>
            <w:r w:rsidRPr="00BF055E">
              <w:rPr>
                <w:rFonts w:eastAsia="Times New Roman" w:cs="Times New Roman"/>
                <w:sz w:val="18"/>
                <w:szCs w:val="18"/>
                <w:lang w:eastAsia="lv-LV"/>
              </w:rPr>
              <w:br/>
              <w:t xml:space="preserve">10. Atbalsta saņemšana. </w:t>
            </w:r>
          </w:p>
        </w:tc>
        <w:tc>
          <w:tcPr>
            <w:tcW w:w="1134" w:type="dxa"/>
            <w:tcBorders>
              <w:top w:val="nil"/>
              <w:left w:val="nil"/>
              <w:bottom w:val="single" w:sz="4" w:space="0" w:color="auto"/>
              <w:right w:val="single" w:sz="4" w:space="0" w:color="auto"/>
            </w:tcBorders>
            <w:shd w:val="clear" w:color="000000" w:fill="FFFFFF"/>
            <w:hideMark/>
          </w:tcPr>
          <w:p w14:paraId="0A3322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2026. gada 31. augusts</w:t>
            </w:r>
          </w:p>
        </w:tc>
        <w:tc>
          <w:tcPr>
            <w:tcW w:w="1843" w:type="dxa"/>
            <w:tcBorders>
              <w:top w:val="nil"/>
              <w:left w:val="nil"/>
              <w:bottom w:val="single" w:sz="4" w:space="0" w:color="auto"/>
              <w:right w:val="single" w:sz="4" w:space="0" w:color="auto"/>
            </w:tcBorders>
            <w:shd w:val="clear" w:color="auto" w:fill="auto"/>
            <w:hideMark/>
          </w:tcPr>
          <w:p w14:paraId="66C8A6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57 282 000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(100% ANM finansējums)</w:t>
            </w:r>
          </w:p>
        </w:tc>
        <w:tc>
          <w:tcPr>
            <w:tcW w:w="992" w:type="dxa"/>
            <w:tcBorders>
              <w:top w:val="nil"/>
              <w:left w:val="nil"/>
              <w:bottom w:val="single" w:sz="4" w:space="0" w:color="auto"/>
              <w:right w:val="single" w:sz="4" w:space="0" w:color="auto"/>
            </w:tcBorders>
            <w:shd w:val="clear" w:color="000000" w:fill="FFFFFF"/>
            <w:hideMark/>
          </w:tcPr>
          <w:p w14:paraId="3AB0B6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945" w:type="dxa"/>
            <w:tcBorders>
              <w:top w:val="nil"/>
              <w:left w:val="nil"/>
              <w:bottom w:val="single" w:sz="4" w:space="0" w:color="auto"/>
              <w:right w:val="single" w:sz="4" w:space="0" w:color="auto"/>
            </w:tcBorders>
            <w:shd w:val="clear" w:color="auto" w:fill="auto"/>
            <w:hideMark/>
          </w:tcPr>
          <w:p w14:paraId="2858845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98" w:type="dxa"/>
            <w:tcBorders>
              <w:top w:val="nil"/>
              <w:left w:val="nil"/>
              <w:bottom w:val="single" w:sz="4" w:space="0" w:color="auto"/>
              <w:right w:val="single" w:sz="4" w:space="0" w:color="auto"/>
            </w:tcBorders>
            <w:shd w:val="clear" w:color="000000" w:fill="FFFFFF"/>
            <w:hideMark/>
          </w:tcPr>
          <w:p w14:paraId="66DA93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6A515D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4E8ADB4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00AED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7. Pieejama un atjaunojama enerģija; 9. Ražošana, inovācijas un </w:t>
            </w:r>
            <w:r w:rsidRPr="00BF055E">
              <w:rPr>
                <w:rFonts w:eastAsia="Times New Roman" w:cs="Times New Roman"/>
                <w:sz w:val="18"/>
                <w:szCs w:val="18"/>
                <w:lang w:eastAsia="lv-LV"/>
              </w:rPr>
              <w:lastRenderedPageBreak/>
              <w:t>infrastruktūra; 13. Rīcība klimata jomā</w:t>
            </w:r>
          </w:p>
        </w:tc>
      </w:tr>
      <w:tr w:rsidR="00BF055E" w:rsidRPr="00BF055E" w14:paraId="341397F1"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722D57F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2.1.1.1. pasākums "Energoefektivitātes paaugstināšana dzīvojamās ēkās, t.sk. attīstot ESKO tirgu (daudzdzīvokļu, privātās un neliela dzīvokļu skaita ēku kompleksos)</w:t>
            </w:r>
          </w:p>
        </w:tc>
        <w:tc>
          <w:tcPr>
            <w:tcW w:w="1418" w:type="dxa"/>
            <w:tcBorders>
              <w:top w:val="nil"/>
              <w:left w:val="nil"/>
              <w:bottom w:val="single" w:sz="4" w:space="0" w:color="auto"/>
              <w:right w:val="single" w:sz="4" w:space="0" w:color="auto"/>
            </w:tcBorders>
            <w:shd w:val="clear" w:color="000000" w:fill="FFFFFF"/>
            <w:hideMark/>
          </w:tcPr>
          <w:p w14:paraId="509575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Energoefektivitātes uzlabošana un atjaunojamo energoresursu tehnoloģiju iegāde un uzstādīšana (piem. saules paneļi - izmantošana pašpatēriņam) daudzdzīvokļu dzīvojamās mājās</w:t>
            </w:r>
          </w:p>
        </w:tc>
        <w:tc>
          <w:tcPr>
            <w:tcW w:w="3402" w:type="dxa"/>
            <w:tcBorders>
              <w:top w:val="nil"/>
              <w:left w:val="nil"/>
              <w:bottom w:val="single" w:sz="4" w:space="0" w:color="auto"/>
              <w:right w:val="single" w:sz="4" w:space="0" w:color="auto"/>
            </w:tcBorders>
            <w:shd w:val="clear" w:color="000000" w:fill="FFFFFF"/>
            <w:hideMark/>
          </w:tcPr>
          <w:p w14:paraId="10D055E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Pasākums šobrīd atrodas izstrādes stadijā. MK plānots apstiprināt 2024. gada IV. ceturksnī</w:t>
            </w:r>
          </w:p>
        </w:tc>
        <w:tc>
          <w:tcPr>
            <w:tcW w:w="1134" w:type="dxa"/>
            <w:tcBorders>
              <w:top w:val="nil"/>
              <w:left w:val="nil"/>
              <w:bottom w:val="single" w:sz="4" w:space="0" w:color="auto"/>
              <w:right w:val="single" w:sz="4" w:space="0" w:color="auto"/>
            </w:tcBorders>
            <w:shd w:val="clear" w:color="000000" w:fill="FFFFFF"/>
            <w:hideMark/>
          </w:tcPr>
          <w:p w14:paraId="237D24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2029. gada 31. decembris</w:t>
            </w:r>
          </w:p>
        </w:tc>
        <w:tc>
          <w:tcPr>
            <w:tcW w:w="1843" w:type="dxa"/>
            <w:tcBorders>
              <w:top w:val="nil"/>
              <w:left w:val="nil"/>
              <w:bottom w:val="single" w:sz="4" w:space="0" w:color="auto"/>
              <w:right w:val="single" w:sz="4" w:space="0" w:color="auto"/>
            </w:tcBorders>
            <w:shd w:val="clear" w:color="auto" w:fill="auto"/>
            <w:hideMark/>
          </w:tcPr>
          <w:p w14:paraId="12DC5D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173 218 155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(85% ES fondu finansējums un 15% nacionālais līdzfinansējums)</w:t>
            </w:r>
          </w:p>
        </w:tc>
        <w:tc>
          <w:tcPr>
            <w:tcW w:w="992" w:type="dxa"/>
            <w:tcBorders>
              <w:top w:val="nil"/>
              <w:left w:val="nil"/>
              <w:bottom w:val="single" w:sz="4" w:space="0" w:color="auto"/>
              <w:right w:val="single" w:sz="4" w:space="0" w:color="auto"/>
            </w:tcBorders>
            <w:shd w:val="clear" w:color="000000" w:fill="FFFFFF"/>
            <w:hideMark/>
          </w:tcPr>
          <w:p w14:paraId="2AF3A8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945" w:type="dxa"/>
            <w:tcBorders>
              <w:top w:val="nil"/>
              <w:left w:val="nil"/>
              <w:bottom w:val="single" w:sz="4" w:space="0" w:color="auto"/>
              <w:right w:val="single" w:sz="4" w:space="0" w:color="auto"/>
            </w:tcBorders>
            <w:shd w:val="clear" w:color="000000" w:fill="FFFFFF"/>
            <w:hideMark/>
          </w:tcPr>
          <w:p w14:paraId="60967D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08593B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623FA5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3EC7B6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0EA6E7B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6BE84139"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6EB8D13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2.1.1.4. pasākums "Energoefektivitātes paaugstināšana valsts ēkās" un 2.1.1.7. pasākums "Valsts iestāžu  infrastruktūras optimizācija" </w:t>
            </w:r>
          </w:p>
        </w:tc>
        <w:tc>
          <w:tcPr>
            <w:tcW w:w="1418" w:type="dxa"/>
            <w:tcBorders>
              <w:top w:val="nil"/>
              <w:left w:val="nil"/>
              <w:bottom w:val="single" w:sz="4" w:space="0" w:color="auto"/>
              <w:right w:val="single" w:sz="4" w:space="0" w:color="auto"/>
            </w:tcBorders>
            <w:shd w:val="clear" w:color="000000" w:fill="FFFFFF"/>
            <w:hideMark/>
          </w:tcPr>
          <w:p w14:paraId="433E1A1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Energoefektivitātes uzlabošana un atjaunojamo energoresursu tehnoloģiju iegāde un uzstādīšana valsts ēkās</w:t>
            </w:r>
          </w:p>
        </w:tc>
        <w:tc>
          <w:tcPr>
            <w:tcW w:w="3402" w:type="dxa"/>
            <w:tcBorders>
              <w:top w:val="nil"/>
              <w:left w:val="nil"/>
              <w:bottom w:val="single" w:sz="4" w:space="0" w:color="auto"/>
              <w:right w:val="single" w:sz="4" w:space="0" w:color="auto"/>
            </w:tcBorders>
            <w:shd w:val="clear" w:color="000000" w:fill="FFFFFF"/>
            <w:hideMark/>
          </w:tcPr>
          <w:p w14:paraId="407AF3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Pasākums šobrīd atrodas izstrādes stadijā. MK plānots apstiprināt 2024. gada IV. ceturksnī</w:t>
            </w:r>
          </w:p>
        </w:tc>
        <w:tc>
          <w:tcPr>
            <w:tcW w:w="1134" w:type="dxa"/>
            <w:tcBorders>
              <w:top w:val="nil"/>
              <w:left w:val="nil"/>
              <w:bottom w:val="single" w:sz="4" w:space="0" w:color="auto"/>
              <w:right w:val="single" w:sz="4" w:space="0" w:color="auto"/>
            </w:tcBorders>
            <w:shd w:val="clear" w:color="000000" w:fill="FFFFFF"/>
            <w:hideMark/>
          </w:tcPr>
          <w:p w14:paraId="47D4340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2029. gada 31. decembris</w:t>
            </w:r>
          </w:p>
        </w:tc>
        <w:tc>
          <w:tcPr>
            <w:tcW w:w="1843" w:type="dxa"/>
            <w:tcBorders>
              <w:top w:val="nil"/>
              <w:left w:val="nil"/>
              <w:bottom w:val="single" w:sz="4" w:space="0" w:color="auto"/>
              <w:right w:val="single" w:sz="4" w:space="0" w:color="auto"/>
            </w:tcBorders>
            <w:shd w:val="clear" w:color="auto" w:fill="auto"/>
            <w:hideMark/>
          </w:tcPr>
          <w:p w14:paraId="32DDAC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2.1.1.4. pasākumam 101 696 160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2.1.1.7. pasākumam 13 050 000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(85% ES fondu finansējums un 15% nacionālais līdzfinansējums)</w:t>
            </w:r>
          </w:p>
        </w:tc>
        <w:tc>
          <w:tcPr>
            <w:tcW w:w="992" w:type="dxa"/>
            <w:tcBorders>
              <w:top w:val="nil"/>
              <w:left w:val="nil"/>
              <w:bottom w:val="single" w:sz="4" w:space="0" w:color="auto"/>
              <w:right w:val="single" w:sz="4" w:space="0" w:color="auto"/>
            </w:tcBorders>
            <w:shd w:val="clear" w:color="000000" w:fill="FFFFFF"/>
            <w:hideMark/>
          </w:tcPr>
          <w:p w14:paraId="7D249D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945" w:type="dxa"/>
            <w:tcBorders>
              <w:top w:val="nil"/>
              <w:left w:val="nil"/>
              <w:bottom w:val="single" w:sz="4" w:space="0" w:color="auto"/>
              <w:right w:val="single" w:sz="4" w:space="0" w:color="auto"/>
            </w:tcBorders>
            <w:shd w:val="clear" w:color="000000" w:fill="FFFFFF"/>
            <w:hideMark/>
          </w:tcPr>
          <w:p w14:paraId="00BA804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0DD802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32ED78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5B3D77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01049B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0DCD92A8"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481B28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1.2.1.4.i. investīcija "Energoefektivitātes uzlabošana valsts sektora ēkās, t. sk. </w:t>
            </w:r>
            <w:r w:rsidRPr="00BF055E">
              <w:rPr>
                <w:rFonts w:eastAsia="Times New Roman" w:cs="Times New Roman"/>
                <w:sz w:val="18"/>
                <w:szCs w:val="18"/>
                <w:lang w:eastAsia="lv-LV"/>
              </w:rPr>
              <w:lastRenderedPageBreak/>
              <w:t>vēsturiskajās ēkās"</w:t>
            </w:r>
          </w:p>
        </w:tc>
        <w:tc>
          <w:tcPr>
            <w:tcW w:w="1418" w:type="dxa"/>
            <w:tcBorders>
              <w:top w:val="nil"/>
              <w:left w:val="nil"/>
              <w:bottom w:val="single" w:sz="4" w:space="0" w:color="auto"/>
              <w:right w:val="single" w:sz="4" w:space="0" w:color="auto"/>
            </w:tcBorders>
            <w:shd w:val="clear" w:color="000000" w:fill="FFFFFF"/>
            <w:hideMark/>
          </w:tcPr>
          <w:p w14:paraId="54F965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Energoefektivitātes uzlabošana un pāreja uz atjaunojamiem energoresursiem valsts sektora </w:t>
            </w:r>
            <w:r w:rsidRPr="00BF055E">
              <w:rPr>
                <w:rFonts w:eastAsia="Times New Roman" w:cs="Times New Roman"/>
                <w:sz w:val="18"/>
                <w:szCs w:val="18"/>
                <w:lang w:eastAsia="lv-LV"/>
              </w:rPr>
              <w:lastRenderedPageBreak/>
              <w:t>ēkās, kurās tiek nodrošināta kultūras funkcija, tai skaitā vēsturiskajās ēkās (panākts kopējās primārās enerģijas patēriņa samazinājums, veicināta pāreja uz atjaunojamo energoresursu izmantošanu enerģijas ražošanā, kā arī panākts siltumnīcefekta gāzu emisiju samazinājums)</w:t>
            </w:r>
          </w:p>
        </w:tc>
        <w:tc>
          <w:tcPr>
            <w:tcW w:w="3402" w:type="dxa"/>
            <w:tcBorders>
              <w:top w:val="nil"/>
              <w:left w:val="nil"/>
              <w:bottom w:val="single" w:sz="4" w:space="0" w:color="auto"/>
              <w:right w:val="single" w:sz="4" w:space="0" w:color="auto"/>
            </w:tcBorders>
            <w:shd w:val="clear" w:color="000000" w:fill="FFFFFF"/>
            <w:hideMark/>
          </w:tcPr>
          <w:p w14:paraId="7EC4BE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Finansējuma saņēmēju atlase slēgtas atlases kārtas ietvaros.</w:t>
            </w:r>
            <w:r w:rsidRPr="00BF055E">
              <w:rPr>
                <w:rFonts w:eastAsia="Times New Roman" w:cs="Times New Roman"/>
                <w:sz w:val="18"/>
                <w:szCs w:val="18"/>
                <w:lang w:eastAsia="lv-LV"/>
              </w:rPr>
              <w:br/>
              <w:t>2. Finansējuma saņēmēju līgumu/vienošanās noslēgšana ar CFLA par būvniecības ieceres dokumentācijas izstrādi.</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3. Iepirkumi būvniecības ieceres dokumentācijas izstrādei.</w:t>
            </w:r>
            <w:r w:rsidRPr="00BF055E">
              <w:rPr>
                <w:rFonts w:eastAsia="Times New Roman" w:cs="Times New Roman"/>
                <w:sz w:val="18"/>
                <w:szCs w:val="18"/>
                <w:lang w:eastAsia="lv-LV"/>
              </w:rPr>
              <w:br/>
              <w:t>4. Būvniecības ieceres dokumentācijas izstrāde, saskaņošana, izvērtēšana no EM/KM puses.</w:t>
            </w:r>
            <w:r w:rsidRPr="00BF055E">
              <w:rPr>
                <w:rFonts w:eastAsia="Times New Roman" w:cs="Times New Roman"/>
                <w:sz w:val="18"/>
                <w:szCs w:val="18"/>
                <w:lang w:eastAsia="lv-LV"/>
              </w:rPr>
              <w:br/>
              <w:t>5. Lēmuma pieņemšana par finansējuma saņēmējiem, kuru projektu ietvaros tiks veikta būvniecība, lai nodrošinātu energoefektivitātes uzlabošanas pasākumus.</w:t>
            </w:r>
            <w:r w:rsidRPr="00BF055E">
              <w:rPr>
                <w:rFonts w:eastAsia="Times New Roman" w:cs="Times New Roman"/>
                <w:sz w:val="18"/>
                <w:szCs w:val="18"/>
                <w:lang w:eastAsia="lv-LV"/>
              </w:rPr>
              <w:br/>
              <w:t>6. Būvniecība.</w:t>
            </w:r>
          </w:p>
        </w:tc>
        <w:tc>
          <w:tcPr>
            <w:tcW w:w="1134" w:type="dxa"/>
            <w:tcBorders>
              <w:top w:val="nil"/>
              <w:left w:val="nil"/>
              <w:bottom w:val="single" w:sz="4" w:space="0" w:color="auto"/>
              <w:right w:val="single" w:sz="4" w:space="0" w:color="auto"/>
            </w:tcBorders>
            <w:shd w:val="clear" w:color="000000" w:fill="FFFFFF"/>
            <w:hideMark/>
          </w:tcPr>
          <w:p w14:paraId="5CC837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2026.gada 1. marts</w:t>
            </w:r>
          </w:p>
        </w:tc>
        <w:tc>
          <w:tcPr>
            <w:tcW w:w="1843" w:type="dxa"/>
            <w:tcBorders>
              <w:top w:val="nil"/>
              <w:left w:val="nil"/>
              <w:bottom w:val="single" w:sz="4" w:space="0" w:color="auto"/>
              <w:right w:val="single" w:sz="4" w:space="0" w:color="auto"/>
            </w:tcBorders>
            <w:shd w:val="clear" w:color="auto" w:fill="auto"/>
            <w:hideMark/>
          </w:tcPr>
          <w:p w14:paraId="08050BA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23 956 000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(ANM finansējums) un 4 779 222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w:t>
            </w:r>
          </w:p>
        </w:tc>
        <w:tc>
          <w:tcPr>
            <w:tcW w:w="992" w:type="dxa"/>
            <w:tcBorders>
              <w:top w:val="nil"/>
              <w:left w:val="nil"/>
              <w:bottom w:val="single" w:sz="4" w:space="0" w:color="auto"/>
              <w:right w:val="single" w:sz="4" w:space="0" w:color="auto"/>
            </w:tcBorders>
            <w:shd w:val="clear" w:color="000000" w:fill="FFFFFF"/>
            <w:hideMark/>
          </w:tcPr>
          <w:p w14:paraId="449BDDD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EM/KM</w:t>
            </w:r>
          </w:p>
        </w:tc>
        <w:tc>
          <w:tcPr>
            <w:tcW w:w="945" w:type="dxa"/>
            <w:tcBorders>
              <w:top w:val="nil"/>
              <w:left w:val="nil"/>
              <w:bottom w:val="single" w:sz="4" w:space="0" w:color="auto"/>
              <w:right w:val="single" w:sz="4" w:space="0" w:color="auto"/>
            </w:tcBorders>
            <w:shd w:val="clear" w:color="auto" w:fill="auto"/>
            <w:hideMark/>
          </w:tcPr>
          <w:p w14:paraId="2A99EC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98" w:type="dxa"/>
            <w:tcBorders>
              <w:top w:val="nil"/>
              <w:left w:val="nil"/>
              <w:bottom w:val="single" w:sz="4" w:space="0" w:color="auto"/>
              <w:right w:val="single" w:sz="4" w:space="0" w:color="auto"/>
            </w:tcBorders>
            <w:shd w:val="clear" w:color="000000" w:fill="FFFFFF"/>
            <w:hideMark/>
          </w:tcPr>
          <w:p w14:paraId="6E1885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3DD7BF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18E6E7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D5C6CF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7. Pieejama un atjaunojama enerģija; 9. Ražošana, inovācijas </w:t>
            </w:r>
            <w:r w:rsidRPr="00BF055E">
              <w:rPr>
                <w:rFonts w:eastAsia="Times New Roman" w:cs="Times New Roman"/>
                <w:sz w:val="18"/>
                <w:szCs w:val="18"/>
                <w:lang w:eastAsia="lv-LV"/>
              </w:rPr>
              <w:lastRenderedPageBreak/>
              <w:t>un infrastruktūra; 13. Rīcība klimata jomā</w:t>
            </w:r>
          </w:p>
        </w:tc>
      </w:tr>
      <w:tr w:rsidR="00BF055E" w:rsidRPr="00BF055E" w14:paraId="6DEEC596"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227FF6C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2.1.1.8. pasākums "Energoefektivitāti veicinoši pasākumi kultūras infrastruktūrā" </w:t>
            </w:r>
          </w:p>
        </w:tc>
        <w:tc>
          <w:tcPr>
            <w:tcW w:w="1418" w:type="dxa"/>
            <w:tcBorders>
              <w:top w:val="nil"/>
              <w:left w:val="nil"/>
              <w:bottom w:val="single" w:sz="4" w:space="0" w:color="auto"/>
              <w:right w:val="single" w:sz="4" w:space="0" w:color="auto"/>
            </w:tcBorders>
            <w:shd w:val="clear" w:color="000000" w:fill="FFFFFF"/>
            <w:hideMark/>
          </w:tcPr>
          <w:p w14:paraId="222BB9B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Energoefektivitātes uzlabošana un pāreja uz atjaunojamiem energoresursiem valsts ēkās, kurās tiek nodrošināta kultūras funkcija (panākts kopējās primārās enerģijas patēriņa samazinājums) </w:t>
            </w:r>
          </w:p>
        </w:tc>
        <w:tc>
          <w:tcPr>
            <w:tcW w:w="3402" w:type="dxa"/>
            <w:tcBorders>
              <w:top w:val="nil"/>
              <w:left w:val="nil"/>
              <w:bottom w:val="single" w:sz="4" w:space="0" w:color="auto"/>
              <w:right w:val="single" w:sz="4" w:space="0" w:color="auto"/>
            </w:tcBorders>
            <w:shd w:val="clear" w:color="000000" w:fill="FFFFFF"/>
            <w:hideMark/>
          </w:tcPr>
          <w:p w14:paraId="027F7D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Pasākums šobrīd atrodas izstrādes stadijā. MK plānots apstiprināt 2024. gada IV. ceturksnī</w:t>
            </w:r>
          </w:p>
        </w:tc>
        <w:tc>
          <w:tcPr>
            <w:tcW w:w="1134" w:type="dxa"/>
            <w:tcBorders>
              <w:top w:val="nil"/>
              <w:left w:val="nil"/>
              <w:bottom w:val="single" w:sz="4" w:space="0" w:color="auto"/>
              <w:right w:val="single" w:sz="4" w:space="0" w:color="auto"/>
            </w:tcBorders>
            <w:shd w:val="clear" w:color="000000" w:fill="FFFFFF"/>
            <w:hideMark/>
          </w:tcPr>
          <w:p w14:paraId="6FEBC1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2029. gada 31. decembris</w:t>
            </w:r>
          </w:p>
        </w:tc>
        <w:tc>
          <w:tcPr>
            <w:tcW w:w="1843" w:type="dxa"/>
            <w:tcBorders>
              <w:top w:val="nil"/>
              <w:left w:val="nil"/>
              <w:bottom w:val="single" w:sz="4" w:space="0" w:color="auto"/>
              <w:right w:val="single" w:sz="4" w:space="0" w:color="auto"/>
            </w:tcBorders>
            <w:shd w:val="clear" w:color="auto" w:fill="auto"/>
            <w:hideMark/>
          </w:tcPr>
          <w:p w14:paraId="426709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34 800 000 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(85% ES fondu finansējums un 15% nacionālais līdzfinansējums)</w:t>
            </w:r>
          </w:p>
        </w:tc>
        <w:tc>
          <w:tcPr>
            <w:tcW w:w="992" w:type="dxa"/>
            <w:tcBorders>
              <w:top w:val="nil"/>
              <w:left w:val="nil"/>
              <w:bottom w:val="single" w:sz="4" w:space="0" w:color="auto"/>
              <w:right w:val="single" w:sz="4" w:space="0" w:color="auto"/>
            </w:tcBorders>
            <w:shd w:val="clear" w:color="000000" w:fill="FFFFFF"/>
            <w:hideMark/>
          </w:tcPr>
          <w:p w14:paraId="05DE7B0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EM/KM</w:t>
            </w:r>
          </w:p>
        </w:tc>
        <w:tc>
          <w:tcPr>
            <w:tcW w:w="945" w:type="dxa"/>
            <w:tcBorders>
              <w:top w:val="nil"/>
              <w:left w:val="nil"/>
              <w:bottom w:val="single" w:sz="4" w:space="0" w:color="auto"/>
              <w:right w:val="single" w:sz="4" w:space="0" w:color="auto"/>
            </w:tcBorders>
            <w:shd w:val="clear" w:color="000000" w:fill="FFFFFF"/>
            <w:hideMark/>
          </w:tcPr>
          <w:p w14:paraId="4322209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0F484B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6394554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4C984A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096B217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128E51E2"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7C1F0E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1.2.1.2.i.1.pasākums "Energoefektivitātes paaugstināšana uzņēmējdarbībā (ietverot pāreju uz atjaunojamo energoresursu tehnoloģiju izmantošanu siltumapgādē)"</w:t>
            </w:r>
          </w:p>
        </w:tc>
        <w:tc>
          <w:tcPr>
            <w:tcW w:w="1418" w:type="dxa"/>
            <w:tcBorders>
              <w:top w:val="nil"/>
              <w:left w:val="nil"/>
              <w:bottom w:val="single" w:sz="4" w:space="0" w:color="auto"/>
              <w:right w:val="single" w:sz="4" w:space="0" w:color="auto"/>
            </w:tcBorders>
            <w:shd w:val="clear" w:color="000000" w:fill="FFFFFF"/>
            <w:hideMark/>
          </w:tcPr>
          <w:p w14:paraId="4E6999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Ieguldījumi uzņēmējdarbības energoefektivitātes paaugstināšanā, atjaunojamo energoresursu tehnoloģiju attīstībā un energoresursu racionālā izmantošanā (samazināta negatīvā ietekme uz vidi un klimata pārmaiņām, veicināta ilgtspējīga un videi draudzīga uzņēmējdarbības attīstība</w:t>
            </w:r>
          </w:p>
        </w:tc>
        <w:tc>
          <w:tcPr>
            <w:tcW w:w="3402" w:type="dxa"/>
            <w:tcBorders>
              <w:top w:val="nil"/>
              <w:left w:val="nil"/>
              <w:bottom w:val="single" w:sz="4" w:space="0" w:color="auto"/>
              <w:right w:val="single" w:sz="4" w:space="0" w:color="auto"/>
            </w:tcBorders>
            <w:shd w:val="clear" w:color="000000" w:fill="FFFFFF"/>
            <w:hideMark/>
          </w:tcPr>
          <w:p w14:paraId="4431B8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1.Sagatavošanās dalībai atbalsta programmā.</w:t>
            </w:r>
            <w:r w:rsidRPr="00BF055E">
              <w:rPr>
                <w:rFonts w:eastAsia="Times New Roman" w:cs="Times New Roman"/>
                <w:sz w:val="18"/>
                <w:szCs w:val="18"/>
                <w:lang w:eastAsia="lv-LV"/>
              </w:rPr>
              <w:br/>
              <w:t>2.Pieteikums atbalsta programmai (atlases kārtai).</w:t>
            </w:r>
            <w:r w:rsidRPr="00BF055E">
              <w:rPr>
                <w:rFonts w:eastAsia="Times New Roman" w:cs="Times New Roman"/>
                <w:sz w:val="18"/>
                <w:szCs w:val="18"/>
                <w:lang w:eastAsia="lv-LV"/>
              </w:rPr>
              <w:br/>
              <w:t>3. Ja pieteikums apstiprināts atlases kārtā – pieteikums aizdevumam/paralēlajam aizdevumam.</w:t>
            </w:r>
            <w:r w:rsidRPr="00BF055E">
              <w:rPr>
                <w:rFonts w:eastAsia="Times New Roman" w:cs="Times New Roman"/>
                <w:sz w:val="18"/>
                <w:szCs w:val="18"/>
                <w:lang w:eastAsia="lv-LV"/>
              </w:rPr>
              <w:br/>
              <w:t>4. Ja aizdevums piešķirts –  projekta īstenošana.</w:t>
            </w:r>
            <w:r w:rsidRPr="00BF055E">
              <w:rPr>
                <w:rFonts w:eastAsia="Times New Roman" w:cs="Times New Roman"/>
                <w:sz w:val="18"/>
                <w:szCs w:val="18"/>
                <w:lang w:eastAsia="lv-LV"/>
              </w:rPr>
              <w:br/>
              <w:t>5. Ja projekta rezultāti sasniegti – kapitāla atlaides piemērošana.</w:t>
            </w:r>
          </w:p>
        </w:tc>
        <w:tc>
          <w:tcPr>
            <w:tcW w:w="1134" w:type="dxa"/>
            <w:tcBorders>
              <w:top w:val="nil"/>
              <w:left w:val="nil"/>
              <w:bottom w:val="single" w:sz="4" w:space="0" w:color="auto"/>
              <w:right w:val="single" w:sz="4" w:space="0" w:color="auto"/>
            </w:tcBorders>
            <w:shd w:val="clear" w:color="000000" w:fill="FFFFFF"/>
            <w:hideMark/>
          </w:tcPr>
          <w:p w14:paraId="426EF0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2026. gada 31. augusts</w:t>
            </w:r>
          </w:p>
        </w:tc>
        <w:tc>
          <w:tcPr>
            <w:tcW w:w="1843" w:type="dxa"/>
            <w:tcBorders>
              <w:top w:val="nil"/>
              <w:left w:val="nil"/>
              <w:bottom w:val="single" w:sz="4" w:space="0" w:color="auto"/>
              <w:right w:val="single" w:sz="4" w:space="0" w:color="auto"/>
            </w:tcBorders>
            <w:shd w:val="clear" w:color="auto" w:fill="auto"/>
            <w:hideMark/>
          </w:tcPr>
          <w:p w14:paraId="34FA97C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80 586 000 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(100% ANM finansējums)</w:t>
            </w:r>
          </w:p>
        </w:tc>
        <w:tc>
          <w:tcPr>
            <w:tcW w:w="992" w:type="dxa"/>
            <w:tcBorders>
              <w:top w:val="nil"/>
              <w:left w:val="nil"/>
              <w:bottom w:val="single" w:sz="4" w:space="0" w:color="auto"/>
              <w:right w:val="single" w:sz="4" w:space="0" w:color="auto"/>
            </w:tcBorders>
            <w:shd w:val="clear" w:color="000000" w:fill="FFFFFF"/>
            <w:hideMark/>
          </w:tcPr>
          <w:p w14:paraId="0C9C99D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945" w:type="dxa"/>
            <w:tcBorders>
              <w:top w:val="nil"/>
              <w:left w:val="nil"/>
              <w:bottom w:val="single" w:sz="4" w:space="0" w:color="auto"/>
              <w:right w:val="single" w:sz="4" w:space="0" w:color="auto"/>
            </w:tcBorders>
            <w:shd w:val="clear" w:color="auto" w:fill="auto"/>
            <w:hideMark/>
          </w:tcPr>
          <w:p w14:paraId="6EC66E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98" w:type="dxa"/>
            <w:tcBorders>
              <w:top w:val="nil"/>
              <w:left w:val="nil"/>
              <w:bottom w:val="single" w:sz="4" w:space="0" w:color="auto"/>
              <w:right w:val="single" w:sz="4" w:space="0" w:color="auto"/>
            </w:tcBorders>
            <w:shd w:val="clear" w:color="000000" w:fill="FFFFFF"/>
            <w:hideMark/>
          </w:tcPr>
          <w:p w14:paraId="4D8DC4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52C53D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73CBB5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690226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2C5401E0"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78E8105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1.2.1.5.i. investīcija "Elektroenerģijas pārvades un sadales tīklu modernizācija"</w:t>
            </w:r>
          </w:p>
        </w:tc>
        <w:tc>
          <w:tcPr>
            <w:tcW w:w="1418" w:type="dxa"/>
            <w:tcBorders>
              <w:top w:val="nil"/>
              <w:left w:val="nil"/>
              <w:bottom w:val="single" w:sz="4" w:space="0" w:color="auto"/>
              <w:right w:val="single" w:sz="4" w:space="0" w:color="auto"/>
            </w:tcBorders>
            <w:shd w:val="clear" w:color="000000" w:fill="FFFFFF"/>
            <w:hideMark/>
          </w:tcPr>
          <w:p w14:paraId="79C786C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Ieguldījumi </w:t>
            </w:r>
            <w:proofErr w:type="spellStart"/>
            <w:r w:rsidRPr="00BF055E">
              <w:rPr>
                <w:rFonts w:eastAsia="Times New Roman" w:cs="Times New Roman"/>
                <w:sz w:val="18"/>
                <w:szCs w:val="18"/>
                <w:lang w:eastAsia="lv-LV"/>
              </w:rPr>
              <w:t>lektroenerģijas</w:t>
            </w:r>
            <w:proofErr w:type="spellEnd"/>
            <w:r w:rsidRPr="00BF055E">
              <w:rPr>
                <w:rFonts w:eastAsia="Times New Roman" w:cs="Times New Roman"/>
                <w:sz w:val="18"/>
                <w:szCs w:val="18"/>
                <w:lang w:eastAsia="lv-LV"/>
              </w:rPr>
              <w:t xml:space="preserve"> pārvades un sadales sistēmu modernizācijas reformas nodrošināšanai (uzlaboti IT risinājumi, sadales sistēmas un pārvades infrastruktūras (tai skaitā elektrotīkla un ēku) stiprināšana, </w:t>
            </w:r>
            <w:r w:rsidRPr="00BF055E">
              <w:rPr>
                <w:rFonts w:eastAsia="Times New Roman" w:cs="Times New Roman"/>
                <w:sz w:val="18"/>
                <w:szCs w:val="18"/>
                <w:lang w:eastAsia="lv-LV"/>
              </w:rPr>
              <w:lastRenderedPageBreak/>
              <w:t>elektrisko transportlīdzekļu un izkliedētās ģenerācijas pieslēgšanai atbilstošas un efektīvas elektrotīkla infrastruktūras izveide)</w:t>
            </w:r>
          </w:p>
        </w:tc>
        <w:tc>
          <w:tcPr>
            <w:tcW w:w="3402" w:type="dxa"/>
            <w:tcBorders>
              <w:top w:val="nil"/>
              <w:left w:val="nil"/>
              <w:bottom w:val="single" w:sz="4" w:space="0" w:color="auto"/>
              <w:right w:val="single" w:sz="4" w:space="0" w:color="auto"/>
            </w:tcBorders>
            <w:shd w:val="clear" w:color="000000" w:fill="FFFFFF"/>
            <w:hideMark/>
          </w:tcPr>
          <w:p w14:paraId="768ABB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Finansējuma saņēmēju atlase slēgtas atlases ietvaros.</w:t>
            </w:r>
            <w:r w:rsidRPr="00BF055E">
              <w:rPr>
                <w:rFonts w:eastAsia="Times New Roman" w:cs="Times New Roman"/>
                <w:sz w:val="18"/>
                <w:szCs w:val="18"/>
                <w:lang w:eastAsia="lv-LV"/>
              </w:rPr>
              <w:br/>
              <w:t>2. Līgumu slēgšana ar finansējuma saņēmējiem.</w:t>
            </w:r>
            <w:r w:rsidRPr="00BF055E">
              <w:rPr>
                <w:rFonts w:eastAsia="Times New Roman" w:cs="Times New Roman"/>
                <w:sz w:val="18"/>
                <w:szCs w:val="18"/>
                <w:lang w:eastAsia="lv-LV"/>
              </w:rPr>
              <w:br/>
              <w:t>3. Finansējuma saņēmēja iepirkumi atbalstāmo darbību īstenošanas nodrošināšanai.</w:t>
            </w:r>
            <w:r w:rsidRPr="00BF055E">
              <w:rPr>
                <w:rFonts w:eastAsia="Times New Roman" w:cs="Times New Roman"/>
                <w:sz w:val="18"/>
                <w:szCs w:val="18"/>
                <w:lang w:eastAsia="lv-LV"/>
              </w:rPr>
              <w:br/>
              <w:t>4. Būvdarbi, IT sistēmu izstrāde.</w:t>
            </w:r>
          </w:p>
        </w:tc>
        <w:tc>
          <w:tcPr>
            <w:tcW w:w="1134" w:type="dxa"/>
            <w:tcBorders>
              <w:top w:val="nil"/>
              <w:left w:val="nil"/>
              <w:bottom w:val="single" w:sz="4" w:space="0" w:color="auto"/>
              <w:right w:val="single" w:sz="4" w:space="0" w:color="auto"/>
            </w:tcBorders>
            <w:shd w:val="clear" w:color="000000" w:fill="FFFFFF"/>
            <w:hideMark/>
          </w:tcPr>
          <w:p w14:paraId="433DF4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2026. gada 31. maijs</w:t>
            </w:r>
          </w:p>
        </w:tc>
        <w:tc>
          <w:tcPr>
            <w:tcW w:w="1843" w:type="dxa"/>
            <w:tcBorders>
              <w:top w:val="nil"/>
              <w:left w:val="nil"/>
              <w:bottom w:val="single" w:sz="4" w:space="0" w:color="auto"/>
              <w:right w:val="single" w:sz="4" w:space="0" w:color="auto"/>
            </w:tcBorders>
            <w:shd w:val="clear" w:color="auto" w:fill="auto"/>
            <w:hideMark/>
          </w:tcPr>
          <w:p w14:paraId="3AD95DD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80 000 000 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(100% ANM finansējums)</w:t>
            </w:r>
          </w:p>
        </w:tc>
        <w:tc>
          <w:tcPr>
            <w:tcW w:w="992" w:type="dxa"/>
            <w:tcBorders>
              <w:top w:val="nil"/>
              <w:left w:val="nil"/>
              <w:bottom w:val="single" w:sz="4" w:space="0" w:color="auto"/>
              <w:right w:val="single" w:sz="4" w:space="0" w:color="auto"/>
            </w:tcBorders>
            <w:shd w:val="clear" w:color="000000" w:fill="FFFFFF"/>
            <w:hideMark/>
          </w:tcPr>
          <w:p w14:paraId="3FF0DE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945" w:type="dxa"/>
            <w:tcBorders>
              <w:top w:val="nil"/>
              <w:left w:val="nil"/>
              <w:bottom w:val="single" w:sz="4" w:space="0" w:color="auto"/>
              <w:right w:val="single" w:sz="4" w:space="0" w:color="auto"/>
            </w:tcBorders>
            <w:shd w:val="clear" w:color="auto" w:fill="auto"/>
            <w:hideMark/>
          </w:tcPr>
          <w:p w14:paraId="16A09AC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98" w:type="dxa"/>
            <w:tcBorders>
              <w:top w:val="nil"/>
              <w:left w:val="nil"/>
              <w:bottom w:val="single" w:sz="4" w:space="0" w:color="auto"/>
              <w:right w:val="single" w:sz="4" w:space="0" w:color="auto"/>
            </w:tcBorders>
            <w:shd w:val="clear" w:color="000000" w:fill="FFFFFF"/>
            <w:hideMark/>
          </w:tcPr>
          <w:p w14:paraId="2A5E3C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7C4F58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0AF07F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475BEB0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w:t>
            </w:r>
          </w:p>
        </w:tc>
      </w:tr>
      <w:tr w:rsidR="00BF055E" w:rsidRPr="00BF055E" w14:paraId="341B6B4F"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2DD8A6C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2.1.1.2. pasākums "AER izmantošana un energoefektivitātes paaugstināšana rūpniecībā un komersantos" un 6.1.1.4. pasākums "Uzņēmējdarbības “</w:t>
            </w:r>
            <w:proofErr w:type="spellStart"/>
            <w:r w:rsidRPr="00BF055E">
              <w:rPr>
                <w:rFonts w:eastAsia="Times New Roman" w:cs="Times New Roman"/>
                <w:sz w:val="18"/>
                <w:szCs w:val="18"/>
                <w:lang w:eastAsia="lv-LV"/>
              </w:rPr>
              <w:t>zaļināšanas</w:t>
            </w:r>
            <w:proofErr w:type="spellEnd"/>
            <w:r w:rsidRPr="00BF055E">
              <w:rPr>
                <w:rFonts w:eastAsia="Times New Roman" w:cs="Times New Roman"/>
                <w:sz w:val="18"/>
                <w:szCs w:val="18"/>
                <w:lang w:eastAsia="lv-LV"/>
              </w:rPr>
              <w:t>” un produktu attīstības pasākumi, veicinot energoefektivitātes paaugstināšanu un energoefektīvu tehnoloģiju ieviešanu uzņēmumos"</w:t>
            </w:r>
          </w:p>
        </w:tc>
        <w:tc>
          <w:tcPr>
            <w:tcW w:w="1418" w:type="dxa"/>
            <w:tcBorders>
              <w:top w:val="nil"/>
              <w:left w:val="nil"/>
              <w:bottom w:val="single" w:sz="4" w:space="0" w:color="auto"/>
              <w:right w:val="single" w:sz="4" w:space="0" w:color="auto"/>
            </w:tcBorders>
            <w:shd w:val="clear" w:color="000000" w:fill="FFFFFF"/>
            <w:hideMark/>
          </w:tcPr>
          <w:p w14:paraId="6B83B1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Ieguldījumi energoefektivitātes uzlabošanā, viedas </w:t>
            </w:r>
            <w:proofErr w:type="spellStart"/>
            <w:r w:rsidRPr="00BF055E">
              <w:rPr>
                <w:rFonts w:eastAsia="Times New Roman" w:cs="Times New Roman"/>
                <w:sz w:val="18"/>
                <w:szCs w:val="18"/>
                <w:lang w:eastAsia="lv-LV"/>
              </w:rPr>
              <w:t>energovadības</w:t>
            </w:r>
            <w:proofErr w:type="spellEnd"/>
            <w:r w:rsidRPr="00BF055E">
              <w:rPr>
                <w:rFonts w:eastAsia="Times New Roman" w:cs="Times New Roman"/>
                <w:sz w:val="18"/>
                <w:szCs w:val="18"/>
                <w:lang w:eastAsia="lv-LV"/>
              </w:rPr>
              <w:t xml:space="preserve"> un atjaunojamo energoresursu izmantošanā rūpniecībā un saimnieciskās darbības veicējos, kā arī pārejas uz </w:t>
            </w:r>
          </w:p>
          <w:p w14:paraId="3636DFD3" w14:textId="77777777" w:rsidR="00BF055E" w:rsidRPr="00BF055E" w:rsidRDefault="00BF055E" w:rsidP="006357B3">
            <w:pPr>
              <w:spacing w:after="0" w:line="240" w:lineRule="auto"/>
              <w:ind w:firstLine="0"/>
              <w:jc w:val="left"/>
              <w:rPr>
                <w:rFonts w:eastAsia="Times New Roman" w:cs="Times New Roman"/>
                <w:sz w:val="18"/>
                <w:szCs w:val="18"/>
                <w:lang w:eastAsia="lv-LV"/>
              </w:rPr>
            </w:pPr>
            <w:proofErr w:type="spellStart"/>
            <w:r w:rsidRPr="00BF055E">
              <w:rPr>
                <w:rFonts w:eastAsia="Times New Roman" w:cs="Times New Roman"/>
                <w:sz w:val="18"/>
                <w:szCs w:val="18"/>
                <w:lang w:eastAsia="lv-LV"/>
              </w:rPr>
              <w:t>klimatneitrālu</w:t>
            </w:r>
            <w:proofErr w:type="spellEnd"/>
            <w:r w:rsidRPr="00BF055E">
              <w:rPr>
                <w:rFonts w:eastAsia="Times New Roman" w:cs="Times New Roman"/>
                <w:sz w:val="18"/>
                <w:szCs w:val="18"/>
                <w:lang w:eastAsia="lv-LV"/>
              </w:rPr>
              <w:t xml:space="preserve"> ekonomiku visvairāk skarto reģionu saimnieciskās darbības veicējiem nodrošināšana</w:t>
            </w:r>
          </w:p>
        </w:tc>
        <w:tc>
          <w:tcPr>
            <w:tcW w:w="3402" w:type="dxa"/>
            <w:tcBorders>
              <w:top w:val="nil"/>
              <w:left w:val="nil"/>
              <w:bottom w:val="single" w:sz="4" w:space="0" w:color="auto"/>
              <w:right w:val="single" w:sz="4" w:space="0" w:color="auto"/>
            </w:tcBorders>
            <w:shd w:val="clear" w:color="000000" w:fill="FFFFFF"/>
            <w:hideMark/>
          </w:tcPr>
          <w:p w14:paraId="7235625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Pasākums šobrīd atrodas izstrādes stadijā. MK plānots apstiprināt 2025. gada I. ceturksnī</w:t>
            </w:r>
          </w:p>
        </w:tc>
        <w:tc>
          <w:tcPr>
            <w:tcW w:w="1134" w:type="dxa"/>
            <w:tcBorders>
              <w:top w:val="nil"/>
              <w:left w:val="nil"/>
              <w:bottom w:val="single" w:sz="4" w:space="0" w:color="auto"/>
              <w:right w:val="single" w:sz="4" w:space="0" w:color="auto"/>
            </w:tcBorders>
            <w:shd w:val="clear" w:color="000000" w:fill="FFFFFF"/>
            <w:hideMark/>
          </w:tcPr>
          <w:p w14:paraId="05098DE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2029. gada 31. decembris</w:t>
            </w:r>
          </w:p>
        </w:tc>
        <w:tc>
          <w:tcPr>
            <w:tcW w:w="1843" w:type="dxa"/>
            <w:tcBorders>
              <w:top w:val="nil"/>
              <w:left w:val="nil"/>
              <w:bottom w:val="single" w:sz="4" w:space="0" w:color="auto"/>
              <w:right w:val="single" w:sz="4" w:space="0" w:color="auto"/>
            </w:tcBorders>
            <w:shd w:val="clear" w:color="auto" w:fill="auto"/>
            <w:hideMark/>
          </w:tcPr>
          <w:p w14:paraId="5A958D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2.1.1.2. pasākumam 43 180 956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6.1.1.4. pasākumam 41 528 059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(85% ES fondu finansējums un 15% nacionālais līdzfinansējums)</w:t>
            </w:r>
          </w:p>
        </w:tc>
        <w:tc>
          <w:tcPr>
            <w:tcW w:w="992" w:type="dxa"/>
            <w:tcBorders>
              <w:top w:val="nil"/>
              <w:left w:val="nil"/>
              <w:bottom w:val="single" w:sz="4" w:space="0" w:color="auto"/>
              <w:right w:val="single" w:sz="4" w:space="0" w:color="auto"/>
            </w:tcBorders>
            <w:shd w:val="clear" w:color="000000" w:fill="FFFFFF"/>
            <w:hideMark/>
          </w:tcPr>
          <w:p w14:paraId="366990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945" w:type="dxa"/>
            <w:tcBorders>
              <w:top w:val="nil"/>
              <w:left w:val="nil"/>
              <w:bottom w:val="single" w:sz="4" w:space="0" w:color="auto"/>
              <w:right w:val="single" w:sz="4" w:space="0" w:color="auto"/>
            </w:tcBorders>
            <w:shd w:val="clear" w:color="000000" w:fill="FFFFFF"/>
            <w:hideMark/>
          </w:tcPr>
          <w:p w14:paraId="0ADFFA5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4D94A0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59DDF2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32A8C0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0EE9A2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51762501"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1AF0850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Pašvaldību ēku un infrastruktūras uzlabošana, veicinot pāreju </w:t>
            </w:r>
            <w:r w:rsidRPr="00BF055E">
              <w:rPr>
                <w:rFonts w:eastAsia="Times New Roman" w:cs="Times New Roman"/>
                <w:sz w:val="18"/>
                <w:szCs w:val="18"/>
                <w:lang w:eastAsia="lv-LV"/>
              </w:rPr>
              <w:lastRenderedPageBreak/>
              <w:t>uz atjaunojamo energoresursu tehnoloģiju izmantošanu un uzlabojot energoefektivitāti</w:t>
            </w:r>
          </w:p>
        </w:tc>
        <w:tc>
          <w:tcPr>
            <w:tcW w:w="1418" w:type="dxa"/>
            <w:tcBorders>
              <w:top w:val="nil"/>
              <w:left w:val="nil"/>
              <w:bottom w:val="single" w:sz="4" w:space="0" w:color="auto"/>
              <w:right w:val="single" w:sz="4" w:space="0" w:color="auto"/>
            </w:tcBorders>
            <w:shd w:val="clear" w:color="auto" w:fill="auto"/>
            <w:hideMark/>
          </w:tcPr>
          <w:p w14:paraId="182D04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Investīcijas klimata mērķu sasniegšanā, lai uzlabotu pašvaldību ēku </w:t>
            </w:r>
            <w:r w:rsidRPr="00BF055E">
              <w:rPr>
                <w:rFonts w:eastAsia="Times New Roman" w:cs="Times New Roman"/>
                <w:sz w:val="18"/>
                <w:szCs w:val="18"/>
                <w:lang w:eastAsia="lv-LV"/>
              </w:rPr>
              <w:lastRenderedPageBreak/>
              <w:t xml:space="preserve">un infrastruktūras energoefektivitāti, tādejādi samazinot ikgadējo primāro enerģijas patēriņu un sasniedzot enerģijas ietaupījumu, ieviešot efektīvākos siltumnīcefekta gāzu emisiju  samazinošos pasākumus pašvaldību ēku energoefektivitātes un </w:t>
            </w:r>
            <w:proofErr w:type="spellStart"/>
            <w:r w:rsidRPr="00BF055E">
              <w:rPr>
                <w:rFonts w:eastAsia="Times New Roman" w:cs="Times New Roman"/>
                <w:sz w:val="18"/>
                <w:szCs w:val="18"/>
                <w:lang w:eastAsia="lv-LV"/>
              </w:rPr>
              <w:t>siltumnoturības</w:t>
            </w:r>
            <w:proofErr w:type="spellEnd"/>
            <w:r w:rsidRPr="00BF055E">
              <w:rPr>
                <w:rFonts w:eastAsia="Times New Roman" w:cs="Times New Roman"/>
                <w:sz w:val="18"/>
                <w:szCs w:val="18"/>
                <w:lang w:eastAsia="lv-LV"/>
              </w:rPr>
              <w:t xml:space="preserve"> uzlabošanai.</w:t>
            </w:r>
            <w:r w:rsidRPr="00BF055E">
              <w:rPr>
                <w:rFonts w:eastAsia="Times New Roman" w:cs="Times New Roman"/>
                <w:sz w:val="18"/>
                <w:szCs w:val="18"/>
                <w:lang w:eastAsia="lv-LV"/>
              </w:rPr>
              <w:br/>
              <w:t>Sasniedzamie mērķi un atskaites punkti:</w:t>
            </w:r>
            <w:r w:rsidRPr="00BF055E">
              <w:rPr>
                <w:rFonts w:eastAsia="Times New Roman" w:cs="Times New Roman"/>
                <w:sz w:val="18"/>
                <w:szCs w:val="18"/>
                <w:lang w:eastAsia="lv-LV"/>
              </w:rPr>
              <w:br/>
              <w:t>1) līdz 31.12.2022. stājas spēkā investīcijas MK noteikumi;</w:t>
            </w:r>
            <w:r w:rsidRPr="00BF055E">
              <w:rPr>
                <w:rFonts w:eastAsia="Times New Roman" w:cs="Times New Roman"/>
                <w:sz w:val="18"/>
                <w:szCs w:val="18"/>
                <w:lang w:eastAsia="lv-LV"/>
              </w:rPr>
              <w:br/>
              <w:t xml:space="preserve">2) līdz 31.12.2024. piešķirtas līgumu slēgšanas tiesības vismaz 27 838 800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apmērā;</w:t>
            </w:r>
            <w:r w:rsidRPr="00BF055E">
              <w:rPr>
                <w:rFonts w:eastAsia="Times New Roman" w:cs="Times New Roman"/>
                <w:sz w:val="18"/>
                <w:szCs w:val="18"/>
                <w:lang w:eastAsia="lv-LV"/>
              </w:rPr>
              <w:br/>
              <w:t xml:space="preserve">3) līdz </w:t>
            </w:r>
            <w:r w:rsidRPr="00BF055E">
              <w:rPr>
                <w:rFonts w:eastAsia="Times New Roman" w:cs="Times New Roman"/>
                <w:sz w:val="18"/>
                <w:szCs w:val="18"/>
                <w:lang w:eastAsia="lv-LV"/>
              </w:rPr>
              <w:lastRenderedPageBreak/>
              <w:t xml:space="preserve">31.12.2025. primārās enerģijas patēriņš pašvaldību ēkās un infrastruktūrā samazināts vismaz par 4 544 563 </w:t>
            </w:r>
            <w:proofErr w:type="spellStart"/>
            <w:r w:rsidRPr="00BF055E">
              <w:rPr>
                <w:rFonts w:eastAsia="Times New Roman" w:cs="Times New Roman"/>
                <w:sz w:val="18"/>
                <w:szCs w:val="18"/>
                <w:lang w:eastAsia="lv-LV"/>
              </w:rPr>
              <w:t>kWh</w:t>
            </w:r>
            <w:proofErr w:type="spellEnd"/>
            <w:r w:rsidRPr="00BF055E">
              <w:rPr>
                <w:rFonts w:eastAsia="Times New Roman" w:cs="Times New Roman"/>
                <w:sz w:val="18"/>
                <w:szCs w:val="18"/>
                <w:lang w:eastAsia="lv-LV"/>
              </w:rPr>
              <w:t>/gadā.</w:t>
            </w:r>
          </w:p>
        </w:tc>
        <w:tc>
          <w:tcPr>
            <w:tcW w:w="3402" w:type="dxa"/>
            <w:tcBorders>
              <w:top w:val="nil"/>
              <w:left w:val="nil"/>
              <w:bottom w:val="single" w:sz="4" w:space="0" w:color="auto"/>
              <w:right w:val="single" w:sz="4" w:space="0" w:color="auto"/>
            </w:tcBorders>
            <w:shd w:val="clear" w:color="000000" w:fill="FFFFFF"/>
            <w:hideMark/>
          </w:tcPr>
          <w:p w14:paraId="122239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(08.11.2022.);</w:t>
            </w:r>
            <w:r w:rsidRPr="00BF055E">
              <w:rPr>
                <w:rFonts w:eastAsia="Times New Roman" w:cs="Times New Roman"/>
                <w:sz w:val="18"/>
                <w:szCs w:val="18"/>
                <w:lang w:eastAsia="lv-LV"/>
              </w:rPr>
              <w:br/>
              <w:t xml:space="preserve">2) atklātas atlases (20.01.2023. – 22.06.2023.) un papildu uzsaukuma </w:t>
            </w:r>
            <w:r w:rsidRPr="00BF055E">
              <w:rPr>
                <w:rFonts w:eastAsia="Times New Roman" w:cs="Times New Roman"/>
                <w:sz w:val="18"/>
                <w:szCs w:val="18"/>
                <w:lang w:eastAsia="lv-LV"/>
              </w:rPr>
              <w:lastRenderedPageBreak/>
              <w:t>(28.09.2023. – 28.12.2023.) īstenošana;</w:t>
            </w:r>
            <w:r w:rsidRPr="00BF055E">
              <w:rPr>
                <w:rFonts w:eastAsia="Times New Roman" w:cs="Times New Roman"/>
                <w:sz w:val="18"/>
                <w:szCs w:val="18"/>
                <w:lang w:eastAsia="lv-LV"/>
              </w:rPr>
              <w:br/>
              <w:t>3) līgumu slēgšana un projektu īstenošana.</w:t>
            </w:r>
          </w:p>
        </w:tc>
        <w:tc>
          <w:tcPr>
            <w:tcW w:w="1134" w:type="dxa"/>
            <w:tcBorders>
              <w:top w:val="nil"/>
              <w:left w:val="nil"/>
              <w:bottom w:val="single" w:sz="4" w:space="0" w:color="auto"/>
              <w:right w:val="single" w:sz="4" w:space="0" w:color="auto"/>
            </w:tcBorders>
            <w:shd w:val="clear" w:color="000000" w:fill="FFFFFF"/>
            <w:hideMark/>
          </w:tcPr>
          <w:p w14:paraId="4605FCE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01.02.2020.-31.12.2025.</w:t>
            </w:r>
          </w:p>
        </w:tc>
        <w:tc>
          <w:tcPr>
            <w:tcW w:w="1843" w:type="dxa"/>
            <w:tcBorders>
              <w:top w:val="nil"/>
              <w:left w:val="nil"/>
              <w:bottom w:val="single" w:sz="4" w:space="0" w:color="auto"/>
              <w:right w:val="single" w:sz="4" w:space="0" w:color="auto"/>
            </w:tcBorders>
            <w:shd w:val="clear" w:color="000000" w:fill="FFFFFF"/>
            <w:hideMark/>
          </w:tcPr>
          <w:p w14:paraId="6EC43CB3" w14:textId="6EE8003B"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29,3 milj. A</w:t>
            </w:r>
            <w:r w:rsidR="00BF53B6">
              <w:rPr>
                <w:rFonts w:eastAsia="Times New Roman" w:cs="Times New Roman"/>
                <w:sz w:val="18"/>
                <w:szCs w:val="18"/>
                <w:lang w:eastAsia="lv-LV"/>
              </w:rPr>
              <w:t>NM</w:t>
            </w:r>
          </w:p>
        </w:tc>
        <w:tc>
          <w:tcPr>
            <w:tcW w:w="992" w:type="dxa"/>
            <w:tcBorders>
              <w:top w:val="nil"/>
              <w:left w:val="nil"/>
              <w:bottom w:val="single" w:sz="4" w:space="0" w:color="auto"/>
              <w:right w:val="single" w:sz="4" w:space="0" w:color="auto"/>
            </w:tcBorders>
            <w:shd w:val="clear" w:color="000000" w:fill="FFFFFF"/>
            <w:hideMark/>
          </w:tcPr>
          <w:p w14:paraId="795998D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945" w:type="dxa"/>
            <w:tcBorders>
              <w:top w:val="nil"/>
              <w:left w:val="nil"/>
              <w:bottom w:val="single" w:sz="4" w:space="0" w:color="auto"/>
              <w:right w:val="single" w:sz="4" w:space="0" w:color="auto"/>
            </w:tcBorders>
            <w:shd w:val="clear" w:color="auto" w:fill="auto"/>
            <w:hideMark/>
          </w:tcPr>
          <w:p w14:paraId="7D4A17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r w:rsidRPr="00BF055E">
              <w:rPr>
                <w:rFonts w:eastAsia="Times New Roman" w:cs="Times New Roman"/>
                <w:sz w:val="18"/>
                <w:szCs w:val="18"/>
                <w:lang w:eastAsia="lv-LV"/>
              </w:rPr>
              <w:br/>
              <w:t>(CID pielikumā - investīcij</w:t>
            </w:r>
            <w:r w:rsidRPr="00BF055E">
              <w:rPr>
                <w:rFonts w:eastAsia="Times New Roman" w:cs="Times New Roman"/>
                <w:sz w:val="18"/>
                <w:szCs w:val="18"/>
                <w:lang w:eastAsia="lv-LV"/>
              </w:rPr>
              <w:lastRenderedPageBreak/>
              <w:t>a 1.2.1.3.i zem "KOMPONENTES NR. 1 KLIMATA PĀRMAIŅAS UN VIDES ILGTSPĒJA")</w:t>
            </w:r>
          </w:p>
        </w:tc>
        <w:tc>
          <w:tcPr>
            <w:tcW w:w="898" w:type="dxa"/>
            <w:tcBorders>
              <w:top w:val="nil"/>
              <w:left w:val="nil"/>
              <w:bottom w:val="single" w:sz="4" w:space="0" w:color="auto"/>
              <w:right w:val="single" w:sz="4" w:space="0" w:color="auto"/>
            </w:tcBorders>
            <w:shd w:val="clear" w:color="000000" w:fill="FFFFFF"/>
            <w:hideMark/>
          </w:tcPr>
          <w:p w14:paraId="1E6AB84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2019(3); 2020(3); 2022(4); 2023(4); 2024(4)</w:t>
            </w:r>
          </w:p>
        </w:tc>
        <w:tc>
          <w:tcPr>
            <w:tcW w:w="1134" w:type="dxa"/>
            <w:tcBorders>
              <w:top w:val="nil"/>
              <w:left w:val="nil"/>
              <w:bottom w:val="single" w:sz="4" w:space="0" w:color="auto"/>
              <w:right w:val="single" w:sz="4" w:space="0" w:color="auto"/>
            </w:tcBorders>
            <w:shd w:val="clear" w:color="000000" w:fill="FFFFFF"/>
            <w:hideMark/>
          </w:tcPr>
          <w:p w14:paraId="7F2D823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0FEA72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303DE4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7. Pieejama un atjaunojama enerģija; 9. Ražošana, </w:t>
            </w:r>
            <w:r w:rsidRPr="00BF055E">
              <w:rPr>
                <w:rFonts w:eastAsia="Times New Roman" w:cs="Times New Roman"/>
                <w:sz w:val="18"/>
                <w:szCs w:val="18"/>
                <w:lang w:eastAsia="lv-LV"/>
              </w:rPr>
              <w:lastRenderedPageBreak/>
              <w:t>inovācijas un infrastruktūra; 13. Rīcība klimata jomā</w:t>
            </w:r>
          </w:p>
        </w:tc>
      </w:tr>
      <w:tr w:rsidR="00BF055E" w:rsidRPr="00BF055E" w14:paraId="7F3442CD"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3C7676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Pašvaldību ēku energoefektivitātes paaugstināšana (Programma</w:t>
            </w:r>
            <w:r w:rsidRPr="00BF055E">
              <w:rPr>
                <w:rFonts w:eastAsia="Times New Roman" w:cs="Times New Roman"/>
                <w:sz w:val="18"/>
                <w:szCs w:val="18"/>
                <w:lang w:eastAsia="lv-LV"/>
              </w:rPr>
              <w:br/>
              <w:t>2.1.1.6. (visas 3 k., t.sk. 3.k. elastības finansējuma rādītājos un finansēs))</w:t>
            </w:r>
          </w:p>
        </w:tc>
        <w:tc>
          <w:tcPr>
            <w:tcW w:w="1418" w:type="dxa"/>
            <w:tcBorders>
              <w:top w:val="nil"/>
              <w:left w:val="nil"/>
              <w:bottom w:val="single" w:sz="4" w:space="0" w:color="auto"/>
              <w:right w:val="single" w:sz="4" w:space="0" w:color="auto"/>
            </w:tcBorders>
            <w:shd w:val="clear" w:color="000000" w:fill="FFFFFF"/>
            <w:hideMark/>
          </w:tcPr>
          <w:p w14:paraId="279F610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zaļās pārejas veicināšanai, lai pasākuma 1.kārtas ietvaros uzlabotu pašvaldību ēku un ar tām tieši saistītās infrastruktūras energoefektivitāti, lai samazinātu ikgadējo primāro enerģijas patēriņu un ietaupītu enerģiju, ieviešot efektīvākos pasākumus pašvaldību ēku energoefektivitātes un </w:t>
            </w:r>
            <w:proofErr w:type="spellStart"/>
            <w:r w:rsidRPr="00BF055E">
              <w:rPr>
                <w:rFonts w:eastAsia="Times New Roman" w:cs="Times New Roman"/>
                <w:sz w:val="18"/>
                <w:szCs w:val="18"/>
                <w:lang w:eastAsia="lv-LV"/>
              </w:rPr>
              <w:t>siltumnoturības</w:t>
            </w:r>
            <w:proofErr w:type="spellEnd"/>
            <w:r w:rsidRPr="00BF055E">
              <w:rPr>
                <w:rFonts w:eastAsia="Times New Roman" w:cs="Times New Roman"/>
                <w:sz w:val="18"/>
                <w:szCs w:val="18"/>
                <w:lang w:eastAsia="lv-LV"/>
              </w:rPr>
              <w:t xml:space="preserve"> uzlabošanai, savukārt </w:t>
            </w:r>
            <w:r w:rsidRPr="00BF055E">
              <w:rPr>
                <w:rFonts w:eastAsia="Times New Roman" w:cs="Times New Roman"/>
                <w:sz w:val="18"/>
                <w:szCs w:val="18"/>
                <w:lang w:eastAsia="lv-LV"/>
              </w:rPr>
              <w:lastRenderedPageBreak/>
              <w:t xml:space="preserve">2.kārtas ietvaros uzlabotu sabiedrisko ūdenssaimniecības pakalpojumu sniegšanai nepieciešamās infrastruktūras energoefektivitāti, samazinot ikgadējo primāro enerģijas patēriņu un palielinot </w:t>
            </w:r>
            <w:proofErr w:type="spellStart"/>
            <w:r w:rsidRPr="00BF055E">
              <w:rPr>
                <w:rFonts w:eastAsia="Times New Roman" w:cs="Times New Roman"/>
                <w:sz w:val="18"/>
                <w:szCs w:val="18"/>
                <w:lang w:eastAsia="lv-LV"/>
              </w:rPr>
              <w:t>atjaunīgos</w:t>
            </w:r>
            <w:proofErr w:type="spellEnd"/>
            <w:r w:rsidRPr="00BF055E">
              <w:rPr>
                <w:rFonts w:eastAsia="Times New Roman" w:cs="Times New Roman"/>
                <w:sz w:val="18"/>
                <w:szCs w:val="18"/>
                <w:lang w:eastAsia="lv-LV"/>
              </w:rPr>
              <w:t xml:space="preserve"> energoresursus izmantojošo tehnoloģiju izmantošanu.</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publiskās ēkas ar uzlabotu energoefektivitāti vismaz 27 454 m2 platībā;</w:t>
            </w:r>
            <w:r w:rsidRPr="00BF055E">
              <w:rPr>
                <w:rFonts w:eastAsia="Times New Roman" w:cs="Times New Roman"/>
                <w:sz w:val="18"/>
                <w:szCs w:val="18"/>
                <w:lang w:eastAsia="lv-LV"/>
              </w:rPr>
              <w:br/>
              <w:t>2) atjaunojamo energoresursu enerģijas papildu ražošanas jauda vismaz 2 MW;</w:t>
            </w:r>
            <w:r w:rsidRPr="00BF055E">
              <w:rPr>
                <w:rFonts w:eastAsia="Times New Roman" w:cs="Times New Roman"/>
                <w:sz w:val="18"/>
                <w:szCs w:val="18"/>
                <w:lang w:eastAsia="lv-LV"/>
              </w:rPr>
              <w:br/>
              <w:t xml:space="preserve">3) kopējās primārās enerģijas patēriņa samazinājums vismaz 1 400 </w:t>
            </w:r>
            <w:proofErr w:type="spellStart"/>
            <w:r w:rsidRPr="00BF055E">
              <w:rPr>
                <w:rFonts w:eastAsia="Times New Roman" w:cs="Times New Roman"/>
                <w:sz w:val="18"/>
                <w:szCs w:val="18"/>
                <w:lang w:eastAsia="lv-LV"/>
              </w:rPr>
              <w:t>MWh</w:t>
            </w:r>
            <w:proofErr w:type="spellEnd"/>
            <w:r w:rsidRPr="00BF055E">
              <w:rPr>
                <w:rFonts w:eastAsia="Times New Roman" w:cs="Times New Roman"/>
                <w:sz w:val="18"/>
                <w:szCs w:val="18"/>
                <w:lang w:eastAsia="lv-LV"/>
              </w:rPr>
              <w:t>/gadā.</w:t>
            </w:r>
          </w:p>
        </w:tc>
        <w:tc>
          <w:tcPr>
            <w:tcW w:w="3402" w:type="dxa"/>
            <w:tcBorders>
              <w:top w:val="nil"/>
              <w:left w:val="nil"/>
              <w:bottom w:val="single" w:sz="4" w:space="0" w:color="auto"/>
              <w:right w:val="single" w:sz="4" w:space="0" w:color="auto"/>
            </w:tcBorders>
            <w:shd w:val="clear" w:color="000000" w:fill="FFFFFF"/>
            <w:hideMark/>
          </w:tcPr>
          <w:p w14:paraId="285A1F7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1) MK noteikumu apstiprināšana (16.07.2024.);</w:t>
            </w:r>
            <w:r w:rsidRPr="00BF055E">
              <w:rPr>
                <w:rFonts w:eastAsia="Times New Roman" w:cs="Times New Roman"/>
                <w:sz w:val="18"/>
                <w:szCs w:val="18"/>
                <w:lang w:eastAsia="lv-LV"/>
              </w:rPr>
              <w:br/>
              <w:t>2) projektu iesniegumu vērtēšanas kritēriju izņēmuma attiecībā uz vienoto kritēriju un vienoto izvēles kritēriju piemērošanu apstiprināšana ES fondu Uzraudzības komitejā (23.04.2024.);</w:t>
            </w:r>
            <w:r w:rsidRPr="00BF055E">
              <w:rPr>
                <w:rFonts w:eastAsia="Times New Roman" w:cs="Times New Roman"/>
                <w:sz w:val="18"/>
                <w:szCs w:val="18"/>
                <w:lang w:eastAsia="lv-LV"/>
              </w:rPr>
              <w:br/>
              <w:t>3) ierobežotas atlases uzsākšana (2024.g. 3.ceturksnis);</w:t>
            </w:r>
            <w:r w:rsidRPr="00BF055E">
              <w:rPr>
                <w:rFonts w:eastAsia="Times New Roman" w:cs="Times New Roman"/>
                <w:sz w:val="18"/>
                <w:szCs w:val="18"/>
                <w:lang w:eastAsia="lv-LV"/>
              </w:rPr>
              <w:br/>
              <w:t>4) līgumu slēgšana un projektu īstenošana.</w:t>
            </w:r>
            <w:r w:rsidRPr="00BF055E">
              <w:rPr>
                <w:rFonts w:eastAsia="Times New Roman" w:cs="Times New Roman"/>
                <w:sz w:val="18"/>
                <w:szCs w:val="18"/>
                <w:lang w:eastAsia="lv-LV"/>
              </w:rPr>
              <w:br/>
            </w:r>
            <w:r w:rsidRPr="00BF055E">
              <w:rPr>
                <w:rFonts w:eastAsia="Times New Roman" w:cs="Times New Roman"/>
                <w:sz w:val="18"/>
                <w:szCs w:val="18"/>
                <w:u w:val="single"/>
                <w:lang w:eastAsia="lv-LV"/>
              </w:rPr>
              <w:br/>
              <w:t>2.kārtai: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1) MK noteikumu izstrāde un saskaņošanas uzsākšana TAP (30.07.2024.);</w:t>
            </w:r>
            <w:r w:rsidRPr="00BF055E">
              <w:rPr>
                <w:rFonts w:eastAsia="Times New Roman" w:cs="Times New Roman"/>
                <w:sz w:val="18"/>
                <w:szCs w:val="18"/>
                <w:lang w:eastAsia="lv-LV"/>
              </w:rPr>
              <w:br/>
              <w:t>2) MK noteikumu apstiprināšana (2024.g. 4.ceturksnis);</w:t>
            </w:r>
            <w:r w:rsidRPr="00BF055E">
              <w:rPr>
                <w:rFonts w:eastAsia="Times New Roman" w:cs="Times New Roman"/>
                <w:sz w:val="18"/>
                <w:szCs w:val="18"/>
                <w:lang w:eastAsia="lv-LV"/>
              </w:rPr>
              <w:br/>
              <w:t>3) projektu iesniegumu vērtēšanas kritēriju izskatīšana tematiskajā apakškomitejā (25.07.2024.);</w:t>
            </w:r>
            <w:r w:rsidRPr="00BF055E">
              <w:rPr>
                <w:rFonts w:eastAsia="Times New Roman" w:cs="Times New Roman"/>
                <w:sz w:val="18"/>
                <w:szCs w:val="18"/>
                <w:lang w:eastAsia="lv-LV"/>
              </w:rPr>
              <w:br/>
              <w:t>4) projektu iesniegumu vērtēšanas kritēriju apstiprināšana ES fondu Uzraudzības komitejā (2024.g. septembris);</w:t>
            </w:r>
            <w:r w:rsidRPr="00BF055E">
              <w:rPr>
                <w:rFonts w:eastAsia="Times New Roman" w:cs="Times New Roman"/>
                <w:sz w:val="18"/>
                <w:szCs w:val="18"/>
                <w:lang w:eastAsia="lv-LV"/>
              </w:rPr>
              <w:br/>
              <w:t>5) atklātas atlases uzsākšana (2024.g. 4.ceturksnis);</w:t>
            </w:r>
            <w:r w:rsidRPr="00BF055E">
              <w:rPr>
                <w:rFonts w:eastAsia="Times New Roman" w:cs="Times New Roman"/>
                <w:sz w:val="18"/>
                <w:szCs w:val="18"/>
                <w:lang w:eastAsia="lv-LV"/>
              </w:rPr>
              <w:br/>
              <w:t>6) līgumu slēgšana un projektu īstenošana.</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3.kārtai: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lastRenderedPageBreak/>
              <w:t>1) MK noteikumu izstrāde un saskaņošanas uzsākšana TAP (2026.g. 1.ceturksnis);</w:t>
            </w:r>
            <w:r w:rsidRPr="00BF055E">
              <w:rPr>
                <w:rFonts w:eastAsia="Times New Roman" w:cs="Times New Roman"/>
                <w:sz w:val="18"/>
                <w:szCs w:val="18"/>
                <w:lang w:eastAsia="lv-LV"/>
              </w:rPr>
              <w:br/>
              <w:t>2) MK noteikumu apstiprināšana (2026.g. 2.ceturksnis);</w:t>
            </w:r>
            <w:r w:rsidRPr="00BF055E">
              <w:rPr>
                <w:rFonts w:eastAsia="Times New Roman" w:cs="Times New Roman"/>
                <w:sz w:val="18"/>
                <w:szCs w:val="18"/>
                <w:lang w:eastAsia="lv-LV"/>
              </w:rPr>
              <w:br/>
              <w:t>3) projektu iesniegumu vērtēšanas kritēriju izskatīšana un apstiprināšana tematiskajā apakškomitejā (25.07.20242026.g. 1.ceturksnis);</w:t>
            </w:r>
            <w:r w:rsidRPr="00BF055E">
              <w:rPr>
                <w:rFonts w:eastAsia="Times New Roman" w:cs="Times New Roman"/>
                <w:sz w:val="18"/>
                <w:szCs w:val="18"/>
                <w:lang w:eastAsia="lv-LV"/>
              </w:rPr>
              <w:br/>
              <w:t>4) projektu iesniegumu vērtēšanas kritēriju apstiprināšana ES fondu Uzraudzības komitejā (2026.g. 2.ceturksnis);</w:t>
            </w:r>
            <w:r w:rsidRPr="00BF055E">
              <w:rPr>
                <w:rFonts w:eastAsia="Times New Roman" w:cs="Times New Roman"/>
                <w:sz w:val="18"/>
                <w:szCs w:val="18"/>
                <w:lang w:eastAsia="lv-LV"/>
              </w:rPr>
              <w:br/>
              <w:t>5) atklātas atlases uzsākšana (2026.g. 3.ceturksnis);</w:t>
            </w:r>
            <w:r w:rsidRPr="00BF055E">
              <w:rPr>
                <w:rFonts w:eastAsia="Times New Roman" w:cs="Times New Roman"/>
                <w:sz w:val="18"/>
                <w:szCs w:val="18"/>
                <w:lang w:eastAsia="lv-LV"/>
              </w:rPr>
              <w:br/>
              <w:t>6) līgumu slēgšana un projektu īstenošana.</w:t>
            </w:r>
          </w:p>
        </w:tc>
        <w:tc>
          <w:tcPr>
            <w:tcW w:w="1134" w:type="dxa"/>
            <w:tcBorders>
              <w:top w:val="nil"/>
              <w:left w:val="nil"/>
              <w:bottom w:val="single" w:sz="4" w:space="0" w:color="auto"/>
              <w:right w:val="single" w:sz="4" w:space="0" w:color="auto"/>
            </w:tcBorders>
            <w:shd w:val="clear" w:color="000000" w:fill="FFFFFF"/>
            <w:hideMark/>
          </w:tcPr>
          <w:p w14:paraId="2476BF0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01.01.2021.-31.12.2027.</w:t>
            </w:r>
          </w:p>
        </w:tc>
        <w:tc>
          <w:tcPr>
            <w:tcW w:w="1843" w:type="dxa"/>
            <w:tcBorders>
              <w:top w:val="nil"/>
              <w:left w:val="nil"/>
              <w:bottom w:val="single" w:sz="4" w:space="0" w:color="auto"/>
              <w:right w:val="single" w:sz="4" w:space="0" w:color="auto"/>
            </w:tcBorders>
            <w:shd w:val="clear" w:color="000000" w:fill="FFFFFF"/>
            <w:hideMark/>
          </w:tcPr>
          <w:p w14:paraId="7A8A2C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3 milj. ERAF; </w:t>
            </w:r>
            <w:r w:rsidRPr="00BF055E">
              <w:rPr>
                <w:rFonts w:eastAsia="Times New Roman" w:cs="Times New Roman"/>
                <w:sz w:val="18"/>
                <w:szCs w:val="18"/>
                <w:lang w:eastAsia="lv-LV"/>
              </w:rPr>
              <w:br/>
              <w:t>0,5 milj. nacionālais finansējums (pašvaldību budžets,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 xml:space="preserve">6,5 milj. ERAF; </w:t>
            </w:r>
            <w:r w:rsidRPr="00BF055E">
              <w:rPr>
                <w:rFonts w:eastAsia="Times New Roman" w:cs="Times New Roman"/>
                <w:sz w:val="18"/>
                <w:szCs w:val="18"/>
                <w:lang w:eastAsia="lv-LV"/>
              </w:rPr>
              <w:br/>
              <w:t>3,5 milj. nacionālais finansējums (pašvaldību budžets,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3.kārtai: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 xml:space="preserve">13 milj. ERAF (t.sk. 9,6 milj. elastības finansējums); </w:t>
            </w:r>
            <w:r w:rsidRPr="00BF055E">
              <w:rPr>
                <w:rFonts w:eastAsia="Times New Roman" w:cs="Times New Roman"/>
                <w:sz w:val="18"/>
                <w:szCs w:val="18"/>
                <w:lang w:eastAsia="lv-LV"/>
              </w:rPr>
              <w:br/>
              <w:t xml:space="preserve">2,3 milj. nacionālais finansējums (t.sk. 1,7 milj. elastības finansējums) </w:t>
            </w:r>
          </w:p>
        </w:tc>
        <w:tc>
          <w:tcPr>
            <w:tcW w:w="992" w:type="dxa"/>
            <w:tcBorders>
              <w:top w:val="nil"/>
              <w:left w:val="nil"/>
              <w:bottom w:val="single" w:sz="4" w:space="0" w:color="auto"/>
              <w:right w:val="single" w:sz="4" w:space="0" w:color="auto"/>
            </w:tcBorders>
            <w:shd w:val="clear" w:color="000000" w:fill="FFFFFF"/>
            <w:hideMark/>
          </w:tcPr>
          <w:p w14:paraId="21DA31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945" w:type="dxa"/>
            <w:tcBorders>
              <w:top w:val="nil"/>
              <w:left w:val="nil"/>
              <w:bottom w:val="single" w:sz="4" w:space="0" w:color="auto"/>
              <w:right w:val="single" w:sz="4" w:space="0" w:color="auto"/>
            </w:tcBorders>
            <w:shd w:val="clear" w:color="000000" w:fill="FFFFFF"/>
            <w:hideMark/>
          </w:tcPr>
          <w:p w14:paraId="4ABBE08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24A117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531314C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Enerģētikas drošība</w:t>
            </w:r>
          </w:p>
        </w:tc>
        <w:tc>
          <w:tcPr>
            <w:tcW w:w="850" w:type="dxa"/>
            <w:tcBorders>
              <w:top w:val="nil"/>
              <w:left w:val="nil"/>
              <w:bottom w:val="single" w:sz="4" w:space="0" w:color="auto"/>
              <w:right w:val="single" w:sz="4" w:space="0" w:color="auto"/>
            </w:tcBorders>
            <w:shd w:val="clear" w:color="000000" w:fill="FFFFFF"/>
            <w:hideMark/>
          </w:tcPr>
          <w:p w14:paraId="1E11327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14C9079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07E1CB92"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12F3BF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Krasta </w:t>
            </w:r>
            <w:proofErr w:type="spellStart"/>
            <w:r w:rsidRPr="00BF055E">
              <w:rPr>
                <w:rFonts w:eastAsia="Times New Roman" w:cs="Times New Roman"/>
                <w:sz w:val="18"/>
                <w:szCs w:val="18"/>
                <w:lang w:eastAsia="lv-LV"/>
              </w:rPr>
              <w:t>elektropieslēgumu</w:t>
            </w:r>
            <w:proofErr w:type="spellEnd"/>
            <w:r w:rsidRPr="00BF055E">
              <w:rPr>
                <w:rFonts w:eastAsia="Times New Roman" w:cs="Times New Roman"/>
                <w:sz w:val="18"/>
                <w:szCs w:val="18"/>
                <w:lang w:eastAsia="lv-LV"/>
              </w:rPr>
              <w:t xml:space="preserve"> izveide Ro-Ro pasažieru kuģu apkalpošanai Liepājas ostā</w:t>
            </w:r>
          </w:p>
        </w:tc>
        <w:tc>
          <w:tcPr>
            <w:tcW w:w="1418" w:type="dxa"/>
            <w:tcBorders>
              <w:top w:val="nil"/>
              <w:left w:val="nil"/>
              <w:bottom w:val="single" w:sz="4" w:space="0" w:color="auto"/>
              <w:right w:val="single" w:sz="4" w:space="0" w:color="auto"/>
            </w:tcBorders>
            <w:shd w:val="clear" w:color="000000" w:fill="FFFFFF"/>
            <w:hideMark/>
          </w:tcPr>
          <w:p w14:paraId="2C0E921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Atkarības mazināšana no fosilās degvielas</w:t>
            </w:r>
          </w:p>
        </w:tc>
        <w:tc>
          <w:tcPr>
            <w:tcW w:w="3402" w:type="dxa"/>
            <w:tcBorders>
              <w:top w:val="nil"/>
              <w:left w:val="nil"/>
              <w:bottom w:val="single" w:sz="4" w:space="0" w:color="auto"/>
              <w:right w:val="single" w:sz="4" w:space="0" w:color="auto"/>
            </w:tcBorders>
            <w:shd w:val="clear" w:color="000000" w:fill="FFFFFF"/>
            <w:hideMark/>
          </w:tcPr>
          <w:p w14:paraId="460768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Liepājas speciālās ekonomiskās zonās pārvalde krasta elektroapgādi veiks Eiropas Savienošanas Instrumenta (turpmāk – EISI) projekta “Ro-Ro prāmju drošas pietauvošanās nodrošināšana Liepājas ostā” (projekta akronīms 22-LV-TG-LPXRORO, tēmas ID - CEF-T-2022-COMPGEN-MARP-WORKS, projekta Nr.101122785) ietvaros. </w:t>
            </w:r>
          </w:p>
        </w:tc>
        <w:tc>
          <w:tcPr>
            <w:tcW w:w="1134" w:type="dxa"/>
            <w:tcBorders>
              <w:top w:val="nil"/>
              <w:left w:val="nil"/>
              <w:bottom w:val="single" w:sz="4" w:space="0" w:color="auto"/>
              <w:right w:val="single" w:sz="4" w:space="0" w:color="auto"/>
            </w:tcBorders>
            <w:shd w:val="clear" w:color="000000" w:fill="FFFFFF"/>
            <w:hideMark/>
          </w:tcPr>
          <w:p w14:paraId="2542CE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Līdz 2027. gada 31. decembrim</w:t>
            </w:r>
          </w:p>
        </w:tc>
        <w:tc>
          <w:tcPr>
            <w:tcW w:w="1843" w:type="dxa"/>
            <w:tcBorders>
              <w:top w:val="nil"/>
              <w:left w:val="nil"/>
              <w:bottom w:val="single" w:sz="4" w:space="0" w:color="auto"/>
              <w:right w:val="single" w:sz="4" w:space="0" w:color="auto"/>
            </w:tcBorders>
            <w:shd w:val="clear" w:color="auto" w:fill="auto"/>
            <w:hideMark/>
          </w:tcPr>
          <w:p w14:paraId="0EEB7B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Projekta īstenošanai piešķirtais EISI finansējums ir 6927015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piešķirtais finansējums 300000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992" w:type="dxa"/>
            <w:tcBorders>
              <w:top w:val="nil"/>
              <w:left w:val="nil"/>
              <w:bottom w:val="single" w:sz="4" w:space="0" w:color="auto"/>
              <w:right w:val="single" w:sz="4" w:space="0" w:color="auto"/>
            </w:tcBorders>
            <w:shd w:val="clear" w:color="000000" w:fill="FFFFFF"/>
            <w:hideMark/>
          </w:tcPr>
          <w:p w14:paraId="7AE7BC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LSEZ pārvalde, KEM, SM</w:t>
            </w:r>
          </w:p>
        </w:tc>
        <w:tc>
          <w:tcPr>
            <w:tcW w:w="945" w:type="dxa"/>
            <w:tcBorders>
              <w:top w:val="nil"/>
              <w:left w:val="nil"/>
              <w:bottom w:val="single" w:sz="4" w:space="0" w:color="auto"/>
              <w:right w:val="single" w:sz="4" w:space="0" w:color="auto"/>
            </w:tcBorders>
            <w:shd w:val="clear" w:color="000000" w:fill="FFFFFF"/>
            <w:hideMark/>
          </w:tcPr>
          <w:p w14:paraId="272DE8E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98" w:type="dxa"/>
            <w:tcBorders>
              <w:top w:val="nil"/>
              <w:left w:val="nil"/>
              <w:bottom w:val="single" w:sz="4" w:space="0" w:color="auto"/>
              <w:right w:val="single" w:sz="4" w:space="0" w:color="auto"/>
            </w:tcBorders>
            <w:shd w:val="clear" w:color="000000" w:fill="FFFFFF"/>
            <w:hideMark/>
          </w:tcPr>
          <w:p w14:paraId="274D81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6368F8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Eiropas Parlamenta un Padomes 2023. gada 13. septembra Regulas (ES) 2023/1804 par alternatīvo degvielu infrastruktūras ieviešanu, 9. panta </w:t>
            </w:r>
            <w:proofErr w:type="spellStart"/>
            <w:r w:rsidRPr="00BF055E">
              <w:rPr>
                <w:rFonts w:eastAsia="Times New Roman" w:cs="Times New Roman"/>
                <w:sz w:val="18"/>
                <w:szCs w:val="18"/>
                <w:lang w:eastAsia="lv-LV"/>
              </w:rPr>
              <w:t>mērķrādītāju</w:t>
            </w:r>
            <w:proofErr w:type="spellEnd"/>
            <w:r w:rsidRPr="00BF055E">
              <w:rPr>
                <w:rFonts w:eastAsia="Times New Roman" w:cs="Times New Roman"/>
                <w:sz w:val="18"/>
                <w:szCs w:val="18"/>
                <w:lang w:eastAsia="lv-LV"/>
              </w:rPr>
              <w:t xml:space="preserve"> izpilde, attiecībā uz krasta elektroapgādi jūras ostās; 3. Enerģētikas drošība</w:t>
            </w:r>
          </w:p>
        </w:tc>
        <w:tc>
          <w:tcPr>
            <w:tcW w:w="850" w:type="dxa"/>
            <w:tcBorders>
              <w:top w:val="nil"/>
              <w:left w:val="nil"/>
              <w:bottom w:val="single" w:sz="4" w:space="0" w:color="auto"/>
              <w:right w:val="single" w:sz="4" w:space="0" w:color="auto"/>
            </w:tcBorders>
            <w:shd w:val="clear" w:color="000000" w:fill="FFFFFF"/>
            <w:hideMark/>
          </w:tcPr>
          <w:p w14:paraId="4D242B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134" w:type="dxa"/>
            <w:tcBorders>
              <w:top w:val="nil"/>
              <w:left w:val="nil"/>
              <w:bottom w:val="single" w:sz="4" w:space="0" w:color="auto"/>
              <w:right w:val="single" w:sz="4" w:space="0" w:color="auto"/>
            </w:tcBorders>
            <w:shd w:val="clear" w:color="000000" w:fill="FFFFFF"/>
            <w:hideMark/>
          </w:tcPr>
          <w:p w14:paraId="7FAC165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6995C7E0" w14:textId="77777777" w:rsidTr="003B1594">
        <w:trPr>
          <w:trHeight w:val="20"/>
        </w:trPr>
        <w:tc>
          <w:tcPr>
            <w:tcW w:w="1418" w:type="dxa"/>
            <w:tcBorders>
              <w:top w:val="nil"/>
              <w:left w:val="single" w:sz="4" w:space="0" w:color="auto"/>
              <w:bottom w:val="single" w:sz="4" w:space="0" w:color="auto"/>
              <w:right w:val="single" w:sz="4" w:space="0" w:color="auto"/>
            </w:tcBorders>
            <w:shd w:val="clear" w:color="000000" w:fill="FFFFFF"/>
            <w:hideMark/>
          </w:tcPr>
          <w:p w14:paraId="7C4B49E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Krasta </w:t>
            </w:r>
            <w:proofErr w:type="spellStart"/>
            <w:r w:rsidRPr="00BF055E">
              <w:rPr>
                <w:rFonts w:eastAsia="Times New Roman" w:cs="Times New Roman"/>
                <w:sz w:val="18"/>
                <w:szCs w:val="18"/>
                <w:lang w:eastAsia="lv-LV"/>
              </w:rPr>
              <w:t>elektropieslēgumu</w:t>
            </w:r>
            <w:proofErr w:type="spellEnd"/>
            <w:r w:rsidRPr="00BF055E">
              <w:rPr>
                <w:rFonts w:eastAsia="Times New Roman" w:cs="Times New Roman"/>
                <w:sz w:val="18"/>
                <w:szCs w:val="18"/>
                <w:lang w:eastAsia="lv-LV"/>
              </w:rPr>
              <w:t xml:space="preserve"> izveide Ro-Ro pasažieru kuģu apkalpošanai Ventspils ostā</w:t>
            </w:r>
          </w:p>
        </w:tc>
        <w:tc>
          <w:tcPr>
            <w:tcW w:w="1418" w:type="dxa"/>
            <w:tcBorders>
              <w:top w:val="nil"/>
              <w:left w:val="nil"/>
              <w:bottom w:val="single" w:sz="4" w:space="0" w:color="auto"/>
              <w:right w:val="single" w:sz="4" w:space="0" w:color="auto"/>
            </w:tcBorders>
            <w:shd w:val="clear" w:color="000000" w:fill="FFFFFF"/>
            <w:hideMark/>
          </w:tcPr>
          <w:p w14:paraId="6F5FD1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Atkarības mazināšana no fosilās degvielas</w:t>
            </w:r>
          </w:p>
        </w:tc>
        <w:tc>
          <w:tcPr>
            <w:tcW w:w="3402" w:type="dxa"/>
            <w:tcBorders>
              <w:top w:val="nil"/>
              <w:left w:val="nil"/>
              <w:bottom w:val="single" w:sz="4" w:space="0" w:color="auto"/>
              <w:right w:val="single" w:sz="4" w:space="0" w:color="auto"/>
            </w:tcBorders>
            <w:shd w:val="clear" w:color="000000" w:fill="FFFFFF"/>
            <w:hideMark/>
          </w:tcPr>
          <w:p w14:paraId="49E8A1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Ventspils ostā līdz 2028. gada plānots izveidot krasta </w:t>
            </w:r>
            <w:proofErr w:type="spellStart"/>
            <w:r w:rsidRPr="00BF055E">
              <w:rPr>
                <w:rFonts w:eastAsia="Times New Roman" w:cs="Times New Roman"/>
                <w:sz w:val="18"/>
                <w:szCs w:val="18"/>
                <w:lang w:eastAsia="lv-LV"/>
              </w:rPr>
              <w:t>elektropieslēgumu</w:t>
            </w:r>
            <w:proofErr w:type="spellEnd"/>
            <w:r w:rsidRPr="00BF055E">
              <w:rPr>
                <w:rFonts w:eastAsia="Times New Roman" w:cs="Times New Roman"/>
                <w:sz w:val="18"/>
                <w:szCs w:val="18"/>
                <w:lang w:eastAsia="lv-LV"/>
              </w:rPr>
              <w:t xml:space="preserve"> Ro-Ro pasažieru kuģu apkalpošanai piestātnē Nr.16. Kopējais </w:t>
            </w:r>
            <w:proofErr w:type="spellStart"/>
            <w:r w:rsidRPr="00BF055E">
              <w:rPr>
                <w:rFonts w:eastAsia="Times New Roman" w:cs="Times New Roman"/>
                <w:sz w:val="18"/>
                <w:szCs w:val="18"/>
                <w:lang w:eastAsia="lv-LV"/>
              </w:rPr>
              <w:t>pieslēgumu</w:t>
            </w:r>
            <w:proofErr w:type="spellEnd"/>
            <w:r w:rsidRPr="00BF055E">
              <w:rPr>
                <w:rFonts w:eastAsia="Times New Roman" w:cs="Times New Roman"/>
                <w:sz w:val="18"/>
                <w:szCs w:val="18"/>
                <w:lang w:eastAsia="lv-LV"/>
              </w:rPr>
              <w:t xml:space="preserve"> skaits no 2 līdz 3 (</w:t>
            </w:r>
            <w:proofErr w:type="spellStart"/>
            <w:r w:rsidRPr="00BF055E">
              <w:rPr>
                <w:rFonts w:eastAsia="Times New Roman" w:cs="Times New Roman"/>
                <w:sz w:val="18"/>
                <w:szCs w:val="18"/>
                <w:lang w:eastAsia="lv-LV"/>
              </w:rPr>
              <w:t>pieslēgumus</w:t>
            </w:r>
            <w:proofErr w:type="spellEnd"/>
            <w:r w:rsidRPr="00BF055E">
              <w:rPr>
                <w:rFonts w:eastAsia="Times New Roman" w:cs="Times New Roman"/>
                <w:sz w:val="18"/>
                <w:szCs w:val="18"/>
                <w:lang w:eastAsia="lv-LV"/>
              </w:rPr>
              <w:t xml:space="preserve"> skaits tiks precizēts projektēšanas laikā). </w:t>
            </w:r>
            <w:proofErr w:type="spellStart"/>
            <w:r w:rsidRPr="00BF055E">
              <w:rPr>
                <w:rFonts w:eastAsia="Times New Roman" w:cs="Times New Roman"/>
                <w:sz w:val="18"/>
                <w:szCs w:val="18"/>
                <w:lang w:eastAsia="lv-LV"/>
              </w:rPr>
              <w:t>Pieslēgumu</w:t>
            </w:r>
            <w:proofErr w:type="spellEnd"/>
            <w:r w:rsidRPr="00BF055E">
              <w:rPr>
                <w:rFonts w:eastAsia="Times New Roman" w:cs="Times New Roman"/>
                <w:sz w:val="18"/>
                <w:szCs w:val="18"/>
                <w:lang w:eastAsia="lv-LV"/>
              </w:rPr>
              <w:t xml:space="preserve"> kopējā jauda - 4000 </w:t>
            </w:r>
            <w:proofErr w:type="spellStart"/>
            <w:r w:rsidRPr="00BF055E">
              <w:rPr>
                <w:rFonts w:eastAsia="Times New Roman" w:cs="Times New Roman"/>
                <w:sz w:val="18"/>
                <w:szCs w:val="18"/>
                <w:lang w:eastAsia="lv-LV"/>
              </w:rPr>
              <w:t>kW</w:t>
            </w:r>
            <w:proofErr w:type="spellEnd"/>
            <w:r w:rsidRPr="00BF055E">
              <w:rPr>
                <w:rFonts w:eastAsia="Times New Roman" w:cs="Times New Roman"/>
                <w:sz w:val="18"/>
                <w:szCs w:val="18"/>
                <w:lang w:eastAsia="lv-LV"/>
              </w:rPr>
              <w:t>.</w:t>
            </w:r>
          </w:p>
        </w:tc>
        <w:tc>
          <w:tcPr>
            <w:tcW w:w="1134" w:type="dxa"/>
            <w:tcBorders>
              <w:top w:val="nil"/>
              <w:left w:val="nil"/>
              <w:bottom w:val="single" w:sz="4" w:space="0" w:color="auto"/>
              <w:right w:val="single" w:sz="4" w:space="0" w:color="auto"/>
            </w:tcBorders>
            <w:shd w:val="clear" w:color="000000" w:fill="FFFFFF"/>
            <w:hideMark/>
          </w:tcPr>
          <w:p w14:paraId="7C8EA3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2028. gads</w:t>
            </w:r>
          </w:p>
        </w:tc>
        <w:tc>
          <w:tcPr>
            <w:tcW w:w="1843" w:type="dxa"/>
            <w:tcBorders>
              <w:top w:val="nil"/>
              <w:left w:val="nil"/>
              <w:bottom w:val="single" w:sz="4" w:space="0" w:color="auto"/>
              <w:right w:val="single" w:sz="4" w:space="0" w:color="auto"/>
            </w:tcBorders>
            <w:shd w:val="clear" w:color="auto" w:fill="auto"/>
            <w:hideMark/>
          </w:tcPr>
          <w:p w14:paraId="07119DE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Finansējumu no pasākuma 3.1.1.6. pasākuma “Lielo ostu publiskās infrastruktūras attīstība”. Finansējuma avots: kā daļa no SAM 3.1.1.6. pasākuma “Lielo ostu publiskās infrastruktūras attīstība” projekta, kur aptuveni 2,55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ES </w:t>
            </w:r>
            <w:r w:rsidRPr="00BF055E">
              <w:rPr>
                <w:rFonts w:eastAsia="Times New Roman" w:cs="Times New Roman"/>
                <w:sz w:val="18"/>
                <w:szCs w:val="18"/>
                <w:lang w:eastAsia="lv-LV"/>
              </w:rPr>
              <w:lastRenderedPageBreak/>
              <w:t xml:space="preserve">līdzfinansējums un aptuveni 0,45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Ventspils brīvostas pārvaldes līdzekļi. </w:t>
            </w:r>
          </w:p>
        </w:tc>
        <w:tc>
          <w:tcPr>
            <w:tcW w:w="992" w:type="dxa"/>
            <w:tcBorders>
              <w:top w:val="nil"/>
              <w:left w:val="nil"/>
              <w:bottom w:val="single" w:sz="4" w:space="0" w:color="auto"/>
              <w:right w:val="single" w:sz="4" w:space="0" w:color="auto"/>
            </w:tcBorders>
            <w:shd w:val="clear" w:color="000000" w:fill="FFFFFF"/>
            <w:hideMark/>
          </w:tcPr>
          <w:p w14:paraId="49E2CCA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VBP, KEM, SM</w:t>
            </w:r>
          </w:p>
        </w:tc>
        <w:tc>
          <w:tcPr>
            <w:tcW w:w="945" w:type="dxa"/>
            <w:tcBorders>
              <w:top w:val="nil"/>
              <w:left w:val="nil"/>
              <w:bottom w:val="single" w:sz="4" w:space="0" w:color="auto"/>
              <w:right w:val="single" w:sz="4" w:space="0" w:color="auto"/>
            </w:tcBorders>
            <w:shd w:val="clear" w:color="000000" w:fill="FFFFFF"/>
            <w:hideMark/>
          </w:tcPr>
          <w:p w14:paraId="1CD11B0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98" w:type="dxa"/>
            <w:tcBorders>
              <w:top w:val="nil"/>
              <w:left w:val="nil"/>
              <w:bottom w:val="single" w:sz="4" w:space="0" w:color="auto"/>
              <w:right w:val="single" w:sz="4" w:space="0" w:color="auto"/>
            </w:tcBorders>
            <w:shd w:val="clear" w:color="000000" w:fill="FFFFFF"/>
            <w:hideMark/>
          </w:tcPr>
          <w:p w14:paraId="1D077E0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 2024(4)</w:t>
            </w:r>
          </w:p>
        </w:tc>
        <w:tc>
          <w:tcPr>
            <w:tcW w:w="1134" w:type="dxa"/>
            <w:tcBorders>
              <w:top w:val="nil"/>
              <w:left w:val="nil"/>
              <w:bottom w:val="single" w:sz="4" w:space="0" w:color="auto"/>
              <w:right w:val="single" w:sz="4" w:space="0" w:color="auto"/>
            </w:tcBorders>
            <w:shd w:val="clear" w:color="000000" w:fill="FFFFFF"/>
            <w:hideMark/>
          </w:tcPr>
          <w:p w14:paraId="437B27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Eiropas Parlamenta un Padomes 2023. gada 13. septembra Regulas (ES) 2023/1804 par alternatīvo degvielu infrastruktūras </w:t>
            </w:r>
            <w:r w:rsidRPr="00BF055E">
              <w:rPr>
                <w:rFonts w:eastAsia="Times New Roman" w:cs="Times New Roman"/>
                <w:sz w:val="18"/>
                <w:szCs w:val="18"/>
                <w:lang w:eastAsia="lv-LV"/>
              </w:rPr>
              <w:lastRenderedPageBreak/>
              <w:t xml:space="preserve">ieviešanu, 9. panta </w:t>
            </w:r>
            <w:proofErr w:type="spellStart"/>
            <w:r w:rsidRPr="00BF055E">
              <w:rPr>
                <w:rFonts w:eastAsia="Times New Roman" w:cs="Times New Roman"/>
                <w:sz w:val="18"/>
                <w:szCs w:val="18"/>
                <w:lang w:eastAsia="lv-LV"/>
              </w:rPr>
              <w:t>mērķrādītāju</w:t>
            </w:r>
            <w:proofErr w:type="spellEnd"/>
            <w:r w:rsidRPr="00BF055E">
              <w:rPr>
                <w:rFonts w:eastAsia="Times New Roman" w:cs="Times New Roman"/>
                <w:sz w:val="18"/>
                <w:szCs w:val="18"/>
                <w:lang w:eastAsia="lv-LV"/>
              </w:rPr>
              <w:t xml:space="preserve"> izpilde, attiecībā uz krasta elektroapgādi jūras ostās; 3. Enerģētikas drošība</w:t>
            </w:r>
          </w:p>
        </w:tc>
        <w:tc>
          <w:tcPr>
            <w:tcW w:w="850" w:type="dxa"/>
            <w:tcBorders>
              <w:top w:val="nil"/>
              <w:left w:val="nil"/>
              <w:bottom w:val="single" w:sz="4" w:space="0" w:color="auto"/>
              <w:right w:val="single" w:sz="4" w:space="0" w:color="auto"/>
            </w:tcBorders>
            <w:shd w:val="clear" w:color="000000" w:fill="FFFFFF"/>
            <w:hideMark/>
          </w:tcPr>
          <w:p w14:paraId="66B808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1134" w:type="dxa"/>
            <w:tcBorders>
              <w:top w:val="nil"/>
              <w:left w:val="nil"/>
              <w:bottom w:val="single" w:sz="4" w:space="0" w:color="auto"/>
              <w:right w:val="single" w:sz="4" w:space="0" w:color="auto"/>
            </w:tcBorders>
            <w:shd w:val="clear" w:color="000000" w:fill="FFFFFF"/>
            <w:hideMark/>
          </w:tcPr>
          <w:p w14:paraId="3D1855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bl>
    <w:p w14:paraId="3221C02E" w14:textId="77777777" w:rsidR="00BF055E" w:rsidRPr="00BF055E" w:rsidRDefault="00BF055E" w:rsidP="006357B3">
      <w:pPr>
        <w:spacing w:after="0" w:line="240" w:lineRule="auto"/>
        <w:rPr>
          <w:rFonts w:eastAsia="Calibri" w:cs="Times New Roman"/>
          <w:kern w:val="2"/>
          <w:szCs w:val="24"/>
          <w14:ligatures w14:val="standardContextual"/>
        </w:rPr>
      </w:pPr>
    </w:p>
    <w:p w14:paraId="53D67C73" w14:textId="61E3E274"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.1.9. Mājokļu pieejamība</w:t>
      </w:r>
    </w:p>
    <w:p w14:paraId="66713C83" w14:textId="77777777" w:rsidR="00BF055E" w:rsidRPr="00BF055E" w:rsidRDefault="00BF055E" w:rsidP="003123DB">
      <w:pPr>
        <w:spacing w:before="120" w:after="24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Mājokļu pieejamības politikas virziena ietvaros Latvijas FSP paredz trīs galvenos pasākumus, kas ir saistīti ar finansēšanas fonda izveidi zemas īres mājokļu būvniecībai, sociālo mājokļu pieejamību īpaši nelabvēlīgā situācijā esošām personām un atbalsta pasākumiem cilvēku ar invaliditāti mājokļu vides pieejamības nodrošināšanai. Šie augstākminētie pasākumi tiek īstenoti ES fondu atbalsta programmas un Latvijas ANM plāna ietvaros.</w:t>
      </w:r>
    </w:p>
    <w:p w14:paraId="212B6DA5" w14:textId="5EF3D5CA"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Mājokļu pieejamība</w:t>
      </w:r>
    </w:p>
    <w:tbl>
      <w:tblPr>
        <w:tblW w:w="0" w:type="auto"/>
        <w:tblLook w:val="04A0" w:firstRow="1" w:lastRow="0" w:firstColumn="1" w:lastColumn="0" w:noHBand="0" w:noVBand="1"/>
      </w:tblPr>
      <w:tblGrid>
        <w:gridCol w:w="1876"/>
        <w:gridCol w:w="2043"/>
        <w:gridCol w:w="2054"/>
        <w:gridCol w:w="1107"/>
        <w:gridCol w:w="1242"/>
        <w:gridCol w:w="1177"/>
        <w:gridCol w:w="917"/>
        <w:gridCol w:w="786"/>
        <w:gridCol w:w="1086"/>
        <w:gridCol w:w="1026"/>
        <w:gridCol w:w="1246"/>
      </w:tblGrid>
      <w:tr w:rsidR="00BF055E" w:rsidRPr="00BF055E" w14:paraId="1440FB43" w14:textId="77777777" w:rsidTr="003B1594">
        <w:trPr>
          <w:trHeight w:val="20"/>
          <w:tblHeader/>
        </w:trPr>
        <w:tc>
          <w:tcPr>
            <w:tcW w:w="1696"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1A1A16A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2113" w:type="dxa"/>
            <w:tcBorders>
              <w:top w:val="single" w:sz="4" w:space="0" w:color="auto"/>
              <w:left w:val="nil"/>
              <w:bottom w:val="single" w:sz="4" w:space="0" w:color="auto"/>
              <w:right w:val="single" w:sz="4" w:space="0" w:color="auto"/>
            </w:tcBorders>
            <w:shd w:val="clear" w:color="000000" w:fill="95B3D7"/>
            <w:vAlign w:val="center"/>
            <w:hideMark/>
          </w:tcPr>
          <w:p w14:paraId="75E4CC7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164" w:type="dxa"/>
            <w:tcBorders>
              <w:top w:val="single" w:sz="4" w:space="0" w:color="auto"/>
              <w:left w:val="nil"/>
              <w:bottom w:val="single" w:sz="4" w:space="0" w:color="auto"/>
              <w:right w:val="single" w:sz="4" w:space="0" w:color="auto"/>
            </w:tcBorders>
            <w:shd w:val="clear" w:color="000000" w:fill="95B3D7"/>
            <w:vAlign w:val="center"/>
            <w:hideMark/>
          </w:tcPr>
          <w:p w14:paraId="6585582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107" w:type="dxa"/>
            <w:tcBorders>
              <w:top w:val="single" w:sz="4" w:space="0" w:color="auto"/>
              <w:left w:val="nil"/>
              <w:bottom w:val="single" w:sz="4" w:space="0" w:color="auto"/>
              <w:right w:val="single" w:sz="4" w:space="0" w:color="auto"/>
            </w:tcBorders>
            <w:shd w:val="clear" w:color="000000" w:fill="95B3D7"/>
            <w:vAlign w:val="center"/>
            <w:hideMark/>
          </w:tcPr>
          <w:p w14:paraId="4793EFD7"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1164E7D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6720048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525B1A9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ANM/ES budžets (MFF)</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0C18FC3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359165A9"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25F5D26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629549E7"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78B3F561" w14:textId="77777777" w:rsidTr="003B1594">
        <w:trPr>
          <w:trHeight w:val="20"/>
          <w:tblHeader/>
        </w:trPr>
        <w:tc>
          <w:tcPr>
            <w:tcW w:w="0" w:type="auto"/>
            <w:gridSpan w:val="11"/>
            <w:tcBorders>
              <w:top w:val="single" w:sz="4" w:space="0" w:color="auto"/>
              <w:left w:val="single" w:sz="4" w:space="0" w:color="auto"/>
              <w:bottom w:val="single" w:sz="4" w:space="0" w:color="auto"/>
              <w:right w:val="single" w:sz="4" w:space="0" w:color="auto"/>
            </w:tcBorders>
            <w:shd w:val="clear" w:color="000000" w:fill="F2DCDB"/>
            <w:hideMark/>
          </w:tcPr>
          <w:p w14:paraId="1BF3F2BD"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Mājokļu pieejamība</w:t>
            </w:r>
          </w:p>
        </w:tc>
      </w:tr>
      <w:tr w:rsidR="00BF055E" w:rsidRPr="00BF055E" w14:paraId="555BB2A1" w14:textId="77777777" w:rsidTr="003B1594">
        <w:trPr>
          <w:trHeight w:val="20"/>
        </w:trPr>
        <w:tc>
          <w:tcPr>
            <w:tcW w:w="1696" w:type="dxa"/>
            <w:tcBorders>
              <w:top w:val="nil"/>
              <w:left w:val="single" w:sz="4" w:space="0" w:color="auto"/>
              <w:bottom w:val="single" w:sz="4" w:space="0" w:color="auto"/>
              <w:right w:val="single" w:sz="4" w:space="0" w:color="auto"/>
            </w:tcBorders>
            <w:shd w:val="clear" w:color="000000" w:fill="FFFFFF"/>
            <w:hideMark/>
          </w:tcPr>
          <w:p w14:paraId="2AD9775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Finansēšanas fonda izveide zemas īres mājokļu būvniecībai </w:t>
            </w:r>
          </w:p>
        </w:tc>
        <w:tc>
          <w:tcPr>
            <w:tcW w:w="2113" w:type="dxa"/>
            <w:tcBorders>
              <w:top w:val="nil"/>
              <w:left w:val="nil"/>
              <w:bottom w:val="single" w:sz="4" w:space="0" w:color="auto"/>
              <w:right w:val="single" w:sz="4" w:space="0" w:color="auto"/>
            </w:tcBorders>
            <w:shd w:val="clear" w:color="000000" w:fill="FFFFFF"/>
            <w:hideMark/>
          </w:tcPr>
          <w:p w14:paraId="73C3E3B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Veicināt pieejamību būvniecības standartiem un energoefektivitātes prasībām atbilstošam un zemas īres maksas mājoklim mājsaimniecībām reģionos, kas nepietiekamu ieņēmumu dēļ nevar atļauties </w:t>
            </w:r>
            <w:r w:rsidRPr="00BF055E">
              <w:rPr>
                <w:rFonts w:eastAsia="Times New Roman" w:cs="Times New Roman"/>
                <w:sz w:val="18"/>
                <w:szCs w:val="18"/>
                <w:lang w:eastAsia="lv-LV"/>
              </w:rPr>
              <w:lastRenderedPageBreak/>
              <w:t xml:space="preserve">mājokli uz tirgus nosacījumiem </w:t>
            </w:r>
          </w:p>
        </w:tc>
        <w:tc>
          <w:tcPr>
            <w:tcW w:w="2164" w:type="dxa"/>
            <w:tcBorders>
              <w:top w:val="nil"/>
              <w:left w:val="nil"/>
              <w:bottom w:val="single" w:sz="4" w:space="0" w:color="auto"/>
              <w:right w:val="single" w:sz="4" w:space="0" w:color="auto"/>
            </w:tcBorders>
            <w:shd w:val="clear" w:color="000000" w:fill="FFFFFF"/>
            <w:hideMark/>
          </w:tcPr>
          <w:p w14:paraId="3D0332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Programmas īstenošana:</w:t>
            </w:r>
            <w:r w:rsidRPr="00BF055E">
              <w:rPr>
                <w:rFonts w:eastAsia="Times New Roman" w:cs="Times New Roman"/>
                <w:sz w:val="18"/>
                <w:szCs w:val="18"/>
                <w:lang w:eastAsia="lv-LV"/>
              </w:rPr>
              <w:br/>
              <w:t>1) 2024. IV cet. - Apstiprināti projekti par kopā 300 dzīvokļu izbūvi</w:t>
            </w:r>
            <w:r w:rsidRPr="00BF055E">
              <w:rPr>
                <w:rFonts w:eastAsia="Times New Roman" w:cs="Times New Roman"/>
                <w:sz w:val="18"/>
                <w:szCs w:val="18"/>
                <w:lang w:eastAsia="lv-LV"/>
              </w:rPr>
              <w:br/>
              <w:t>2) 2026. III cet. - Apstiprināti projekti par kopā 467 dzīvokļu izbūvi</w:t>
            </w:r>
            <w:r w:rsidRPr="00BF055E">
              <w:rPr>
                <w:rFonts w:eastAsia="Times New Roman" w:cs="Times New Roman"/>
                <w:sz w:val="18"/>
                <w:szCs w:val="18"/>
                <w:lang w:eastAsia="lv-LV"/>
              </w:rPr>
              <w:br/>
              <w:t>3) 2026. III cet. - Uzbūvēti kopā 300 dzīvokļi</w:t>
            </w:r>
          </w:p>
        </w:tc>
        <w:tc>
          <w:tcPr>
            <w:tcW w:w="1107" w:type="dxa"/>
            <w:tcBorders>
              <w:top w:val="nil"/>
              <w:left w:val="nil"/>
              <w:bottom w:val="single" w:sz="4" w:space="0" w:color="auto"/>
              <w:right w:val="single" w:sz="4" w:space="0" w:color="auto"/>
            </w:tcBorders>
            <w:shd w:val="clear" w:color="000000" w:fill="FFFFFF"/>
            <w:hideMark/>
          </w:tcPr>
          <w:p w14:paraId="3EB454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2022 - 2026</w:t>
            </w:r>
          </w:p>
        </w:tc>
        <w:tc>
          <w:tcPr>
            <w:tcW w:w="0" w:type="auto"/>
            <w:tcBorders>
              <w:top w:val="nil"/>
              <w:left w:val="nil"/>
              <w:bottom w:val="single" w:sz="4" w:space="0" w:color="auto"/>
              <w:right w:val="single" w:sz="4" w:space="0" w:color="auto"/>
            </w:tcBorders>
            <w:shd w:val="clear" w:color="auto" w:fill="auto"/>
            <w:hideMark/>
          </w:tcPr>
          <w:p w14:paraId="271104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42 900 000 (ANM)</w:t>
            </w:r>
            <w:r w:rsidRPr="00BF055E">
              <w:rPr>
                <w:rFonts w:eastAsia="Times New Roman" w:cs="Times New Roman"/>
                <w:sz w:val="18"/>
                <w:szCs w:val="18"/>
                <w:lang w:eastAsia="lv-LV"/>
              </w:rPr>
              <w:br/>
              <w:t xml:space="preserve">9 000 000 (cits - </w:t>
            </w:r>
            <w:proofErr w:type="spellStart"/>
            <w:r w:rsidRPr="00BF055E">
              <w:rPr>
                <w:rFonts w:eastAsia="Times New Roman" w:cs="Times New Roman"/>
                <w:sz w:val="18"/>
                <w:szCs w:val="18"/>
                <w:lang w:eastAsia="lv-LV"/>
              </w:rPr>
              <w:t>Altum</w:t>
            </w:r>
            <w:proofErr w:type="spellEnd"/>
            <w:r w:rsidRPr="00BF055E">
              <w:rPr>
                <w:rFonts w:eastAsia="Times New Roman" w:cs="Times New Roman"/>
                <w:sz w:val="18"/>
                <w:szCs w:val="18"/>
                <w:lang w:eastAsia="lv-LV"/>
              </w:rPr>
              <w:t xml:space="preserve"> atmaksu finansējums) </w:t>
            </w:r>
          </w:p>
        </w:tc>
        <w:tc>
          <w:tcPr>
            <w:tcW w:w="0" w:type="auto"/>
            <w:tcBorders>
              <w:top w:val="nil"/>
              <w:left w:val="nil"/>
              <w:bottom w:val="single" w:sz="4" w:space="0" w:color="auto"/>
              <w:right w:val="single" w:sz="4" w:space="0" w:color="auto"/>
            </w:tcBorders>
            <w:shd w:val="clear" w:color="000000" w:fill="FFFFFF"/>
            <w:hideMark/>
          </w:tcPr>
          <w:p w14:paraId="52EA4A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EM </w:t>
            </w:r>
          </w:p>
        </w:tc>
        <w:tc>
          <w:tcPr>
            <w:tcW w:w="0" w:type="auto"/>
            <w:tcBorders>
              <w:top w:val="nil"/>
              <w:left w:val="nil"/>
              <w:bottom w:val="single" w:sz="4" w:space="0" w:color="auto"/>
              <w:right w:val="single" w:sz="4" w:space="0" w:color="auto"/>
            </w:tcBorders>
            <w:shd w:val="clear" w:color="auto" w:fill="auto"/>
            <w:hideMark/>
          </w:tcPr>
          <w:p w14:paraId="012F96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19A5D70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w:t>
            </w:r>
          </w:p>
        </w:tc>
        <w:tc>
          <w:tcPr>
            <w:tcW w:w="0" w:type="auto"/>
            <w:tcBorders>
              <w:top w:val="nil"/>
              <w:left w:val="nil"/>
              <w:bottom w:val="single" w:sz="4" w:space="0" w:color="auto"/>
              <w:right w:val="single" w:sz="4" w:space="0" w:color="auto"/>
            </w:tcBorders>
            <w:shd w:val="clear" w:color="000000" w:fill="FFFFFF"/>
            <w:hideMark/>
          </w:tcPr>
          <w:p w14:paraId="0A36CC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735DE46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0" w:type="auto"/>
            <w:tcBorders>
              <w:top w:val="nil"/>
              <w:left w:val="nil"/>
              <w:bottom w:val="single" w:sz="4" w:space="0" w:color="auto"/>
              <w:right w:val="single" w:sz="4" w:space="0" w:color="auto"/>
            </w:tcBorders>
            <w:shd w:val="clear" w:color="000000" w:fill="FFFFFF"/>
            <w:hideMark/>
          </w:tcPr>
          <w:p w14:paraId="741143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w:t>
            </w:r>
          </w:p>
        </w:tc>
      </w:tr>
      <w:tr w:rsidR="00BF055E" w:rsidRPr="00BF055E" w14:paraId="1DD4578D" w14:textId="77777777" w:rsidTr="003B1594">
        <w:trPr>
          <w:trHeight w:val="20"/>
        </w:trPr>
        <w:tc>
          <w:tcPr>
            <w:tcW w:w="1696" w:type="dxa"/>
            <w:tcBorders>
              <w:top w:val="nil"/>
              <w:left w:val="single" w:sz="4" w:space="0" w:color="auto"/>
              <w:bottom w:val="single" w:sz="4" w:space="0" w:color="auto"/>
              <w:right w:val="single" w:sz="4" w:space="0" w:color="auto"/>
            </w:tcBorders>
            <w:shd w:val="clear" w:color="000000" w:fill="FFFFFF"/>
            <w:hideMark/>
          </w:tcPr>
          <w:p w14:paraId="39E0A7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Sociālo mājokļu pieejamība īpaši nelabvēlīgā situācijā esošām personām</w:t>
            </w:r>
          </w:p>
        </w:tc>
        <w:tc>
          <w:tcPr>
            <w:tcW w:w="2113" w:type="dxa"/>
            <w:tcBorders>
              <w:top w:val="nil"/>
              <w:left w:val="nil"/>
              <w:bottom w:val="single" w:sz="4" w:space="0" w:color="auto"/>
              <w:right w:val="single" w:sz="4" w:space="0" w:color="auto"/>
            </w:tcBorders>
            <w:shd w:val="clear" w:color="000000" w:fill="FFFFFF"/>
            <w:hideMark/>
          </w:tcPr>
          <w:p w14:paraId="7A7A374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Nodrošināt dzīves cienīgiem apstākļiem atbilstoša mājokļa pieejamību iedzīvotājiem ar viszemākajiem ienākumiem un samazināt rindas pašvaldībās šādu mājokļu izīrēšanai</w:t>
            </w:r>
          </w:p>
        </w:tc>
        <w:tc>
          <w:tcPr>
            <w:tcW w:w="2164" w:type="dxa"/>
            <w:tcBorders>
              <w:top w:val="nil"/>
              <w:left w:val="nil"/>
              <w:bottom w:val="single" w:sz="4" w:space="0" w:color="auto"/>
              <w:right w:val="single" w:sz="4" w:space="0" w:color="auto"/>
            </w:tcBorders>
            <w:shd w:val="clear" w:color="000000" w:fill="FFFFFF"/>
            <w:hideMark/>
          </w:tcPr>
          <w:p w14:paraId="3DA74E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Programmas īstenošana:</w:t>
            </w:r>
            <w:r w:rsidRPr="00BF055E">
              <w:rPr>
                <w:rFonts w:eastAsia="Times New Roman" w:cs="Times New Roman"/>
                <w:sz w:val="18"/>
                <w:szCs w:val="18"/>
                <w:lang w:eastAsia="lv-LV"/>
              </w:rPr>
              <w:br/>
              <w:t xml:space="preserve">1) 2024. g. I  cet. ir noslēgusies pasākuma 1. </w:t>
            </w:r>
            <w:proofErr w:type="spellStart"/>
            <w:r w:rsidRPr="00BF055E">
              <w:rPr>
                <w:rFonts w:eastAsia="Times New Roman" w:cs="Times New Roman"/>
                <w:sz w:val="18"/>
                <w:szCs w:val="18"/>
                <w:lang w:eastAsia="lv-LV"/>
              </w:rPr>
              <w:t>atklases</w:t>
            </w:r>
            <w:proofErr w:type="spellEnd"/>
            <w:r w:rsidRPr="00BF055E">
              <w:rPr>
                <w:rFonts w:eastAsia="Times New Roman" w:cs="Times New Roman"/>
                <w:sz w:val="18"/>
                <w:szCs w:val="18"/>
                <w:lang w:eastAsia="lv-LV"/>
              </w:rPr>
              <w:t xml:space="preserve"> kārta;</w:t>
            </w:r>
            <w:r w:rsidRPr="00BF055E">
              <w:rPr>
                <w:rFonts w:eastAsia="Times New Roman" w:cs="Times New Roman"/>
                <w:sz w:val="18"/>
                <w:szCs w:val="18"/>
                <w:lang w:eastAsia="lv-LV"/>
              </w:rPr>
              <w:br/>
              <w:t>2) Pasākuma 2. atlases kārta tiks izsludināta orientējoši 2025.g. pirmajā pusgadā pēc grozījumu Darbības programmā akcepta no Eiropas Komisijas puses</w:t>
            </w:r>
          </w:p>
        </w:tc>
        <w:tc>
          <w:tcPr>
            <w:tcW w:w="1107" w:type="dxa"/>
            <w:tcBorders>
              <w:top w:val="nil"/>
              <w:left w:val="nil"/>
              <w:bottom w:val="single" w:sz="4" w:space="0" w:color="auto"/>
              <w:right w:val="single" w:sz="4" w:space="0" w:color="auto"/>
            </w:tcBorders>
            <w:shd w:val="clear" w:color="000000" w:fill="FFFFFF"/>
            <w:hideMark/>
          </w:tcPr>
          <w:p w14:paraId="5681F90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2022 - 2029</w:t>
            </w:r>
          </w:p>
        </w:tc>
        <w:tc>
          <w:tcPr>
            <w:tcW w:w="0" w:type="auto"/>
            <w:tcBorders>
              <w:top w:val="nil"/>
              <w:left w:val="nil"/>
              <w:bottom w:val="single" w:sz="4" w:space="0" w:color="auto"/>
              <w:right w:val="single" w:sz="4" w:space="0" w:color="auto"/>
            </w:tcBorders>
            <w:shd w:val="clear" w:color="000000" w:fill="FFFFFF"/>
            <w:hideMark/>
          </w:tcPr>
          <w:p w14:paraId="533B1B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51 765 000 (ERAF)</w:t>
            </w:r>
            <w:r w:rsidRPr="00BF055E">
              <w:rPr>
                <w:rFonts w:eastAsia="Times New Roman" w:cs="Times New Roman"/>
                <w:sz w:val="18"/>
                <w:szCs w:val="18"/>
                <w:lang w:eastAsia="lv-LV"/>
              </w:rPr>
              <w:br/>
              <w:t xml:space="preserve">9 135 001 (VB) </w:t>
            </w:r>
          </w:p>
        </w:tc>
        <w:tc>
          <w:tcPr>
            <w:tcW w:w="0" w:type="auto"/>
            <w:tcBorders>
              <w:top w:val="nil"/>
              <w:left w:val="nil"/>
              <w:bottom w:val="single" w:sz="4" w:space="0" w:color="auto"/>
              <w:right w:val="single" w:sz="4" w:space="0" w:color="auto"/>
            </w:tcBorders>
            <w:shd w:val="clear" w:color="000000" w:fill="FFFFFF"/>
            <w:hideMark/>
          </w:tcPr>
          <w:p w14:paraId="1D8E1F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EM</w:t>
            </w:r>
          </w:p>
        </w:tc>
        <w:tc>
          <w:tcPr>
            <w:tcW w:w="0" w:type="auto"/>
            <w:tcBorders>
              <w:top w:val="nil"/>
              <w:left w:val="nil"/>
              <w:bottom w:val="single" w:sz="4" w:space="0" w:color="auto"/>
              <w:right w:val="single" w:sz="4" w:space="0" w:color="auto"/>
            </w:tcBorders>
            <w:shd w:val="clear" w:color="000000" w:fill="FFFFFF"/>
            <w:hideMark/>
          </w:tcPr>
          <w:p w14:paraId="704C2A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000000" w:fill="FFFFFF"/>
            <w:hideMark/>
          </w:tcPr>
          <w:p w14:paraId="350816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w:t>
            </w:r>
          </w:p>
        </w:tc>
        <w:tc>
          <w:tcPr>
            <w:tcW w:w="0" w:type="auto"/>
            <w:tcBorders>
              <w:top w:val="nil"/>
              <w:left w:val="nil"/>
              <w:bottom w:val="single" w:sz="4" w:space="0" w:color="auto"/>
              <w:right w:val="single" w:sz="4" w:space="0" w:color="auto"/>
            </w:tcBorders>
            <w:shd w:val="clear" w:color="000000" w:fill="FFFFFF"/>
            <w:hideMark/>
          </w:tcPr>
          <w:p w14:paraId="125D5C8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22B46BC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0" w:type="auto"/>
            <w:tcBorders>
              <w:top w:val="nil"/>
              <w:left w:val="nil"/>
              <w:bottom w:val="single" w:sz="4" w:space="0" w:color="auto"/>
              <w:right w:val="single" w:sz="4" w:space="0" w:color="auto"/>
            </w:tcBorders>
            <w:shd w:val="clear" w:color="000000" w:fill="FFFFFF"/>
            <w:hideMark/>
          </w:tcPr>
          <w:p w14:paraId="7E97BA5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 9. Ražošana, inovācijas un infrastruktūra; 10. Mazināta nevienlīdzība; 11. Ilgtspējīgas pilsētas un kopienas</w:t>
            </w:r>
          </w:p>
        </w:tc>
      </w:tr>
      <w:tr w:rsidR="00BF055E" w:rsidRPr="00BF055E" w14:paraId="714D7D02" w14:textId="77777777" w:rsidTr="003B1594">
        <w:trPr>
          <w:trHeight w:val="20"/>
        </w:trPr>
        <w:tc>
          <w:tcPr>
            <w:tcW w:w="1696" w:type="dxa"/>
            <w:tcBorders>
              <w:top w:val="nil"/>
              <w:left w:val="single" w:sz="4" w:space="0" w:color="auto"/>
              <w:bottom w:val="single" w:sz="4" w:space="0" w:color="auto"/>
              <w:right w:val="single" w:sz="4" w:space="0" w:color="auto"/>
            </w:tcBorders>
            <w:shd w:val="clear" w:color="000000" w:fill="FFFFFF"/>
            <w:hideMark/>
          </w:tcPr>
          <w:p w14:paraId="762F7B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Atbalsta pasākumi cilvēku ar invaliditāti mājokļu vides pieejamības nodrošināšanai</w:t>
            </w:r>
          </w:p>
        </w:tc>
        <w:tc>
          <w:tcPr>
            <w:tcW w:w="2113" w:type="dxa"/>
            <w:tcBorders>
              <w:top w:val="nil"/>
              <w:left w:val="nil"/>
              <w:bottom w:val="single" w:sz="4" w:space="0" w:color="auto"/>
              <w:right w:val="single" w:sz="4" w:space="0" w:color="auto"/>
            </w:tcBorders>
            <w:shd w:val="clear" w:color="000000" w:fill="FFFFFF"/>
            <w:hideMark/>
          </w:tcPr>
          <w:p w14:paraId="16A8E3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Nodrošināt atbalstu mājokļu pielāgošanai 259 personām ar invaliditāti, kurām ir kustību traucējumi, uzlabot nodarbinātības iespējas un pieejamību pakalpojumiem, tādējādi sekmējot dzīves kvalitāti un cilvēktiesību ievērošanu</w:t>
            </w:r>
          </w:p>
        </w:tc>
        <w:tc>
          <w:tcPr>
            <w:tcW w:w="2164" w:type="dxa"/>
            <w:tcBorders>
              <w:top w:val="nil"/>
              <w:left w:val="nil"/>
              <w:bottom w:val="single" w:sz="4" w:space="0" w:color="auto"/>
              <w:right w:val="single" w:sz="4" w:space="0" w:color="auto"/>
            </w:tcBorders>
            <w:shd w:val="clear" w:color="000000" w:fill="FFFFFF"/>
            <w:hideMark/>
          </w:tcPr>
          <w:p w14:paraId="6819961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3.1.2.1.i 2.kārtas investīcijas (05.09.2023. MKN Nr. 512) ietvaros: </w:t>
            </w:r>
            <w:r w:rsidRPr="00BF055E">
              <w:rPr>
                <w:rFonts w:eastAsia="Times New Roman" w:cs="Times New Roman"/>
                <w:sz w:val="18"/>
                <w:szCs w:val="18"/>
                <w:lang w:eastAsia="lv-LV"/>
              </w:rPr>
              <w:br/>
              <w:t xml:space="preserve">1. Līdz 2024. gada 31. martam – konkrētas mērķa grupas izvēle mājokļa fiziskās pieejamības uzlabošanai. </w:t>
            </w:r>
            <w:r w:rsidRPr="00BF055E">
              <w:rPr>
                <w:rFonts w:eastAsia="Times New Roman" w:cs="Times New Roman"/>
                <w:sz w:val="18"/>
                <w:szCs w:val="18"/>
                <w:lang w:eastAsia="lv-LV"/>
              </w:rPr>
              <w:br/>
              <w:t>2. Līdz 2025. gada 31. martam – iepirkumu līgumu noslēgšana personu ar invaliditāti mājokļu vides pieejamības pasākumu nodrošināšanai.</w:t>
            </w:r>
            <w:r w:rsidRPr="00BF055E">
              <w:rPr>
                <w:rFonts w:eastAsia="Times New Roman" w:cs="Times New Roman"/>
                <w:sz w:val="18"/>
                <w:szCs w:val="18"/>
                <w:lang w:eastAsia="lv-LV"/>
              </w:rPr>
              <w:br/>
              <w:t>3. Līdz 2026. gada 30. jūnijam nodrošināta pieejamība mājokļa videi 259 personām ar invaliditāti.</w:t>
            </w:r>
          </w:p>
        </w:tc>
        <w:tc>
          <w:tcPr>
            <w:tcW w:w="1107" w:type="dxa"/>
            <w:tcBorders>
              <w:top w:val="nil"/>
              <w:left w:val="nil"/>
              <w:bottom w:val="single" w:sz="4" w:space="0" w:color="auto"/>
              <w:right w:val="single" w:sz="4" w:space="0" w:color="auto"/>
            </w:tcBorders>
            <w:shd w:val="clear" w:color="000000" w:fill="FFFFFF"/>
            <w:hideMark/>
          </w:tcPr>
          <w:p w14:paraId="389F224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2023.-2026. I pusgads</w:t>
            </w:r>
          </w:p>
        </w:tc>
        <w:tc>
          <w:tcPr>
            <w:tcW w:w="0" w:type="auto"/>
            <w:tcBorders>
              <w:top w:val="nil"/>
              <w:left w:val="nil"/>
              <w:bottom w:val="single" w:sz="4" w:space="0" w:color="auto"/>
              <w:right w:val="single" w:sz="4" w:space="0" w:color="auto"/>
            </w:tcBorders>
            <w:shd w:val="clear" w:color="auto" w:fill="auto"/>
            <w:hideMark/>
          </w:tcPr>
          <w:p w14:paraId="4BF2F3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 finansējums</w:t>
            </w:r>
            <w:r w:rsidRPr="00BF055E">
              <w:rPr>
                <w:rFonts w:eastAsia="Times New Roman" w:cs="Times New Roman"/>
                <w:sz w:val="18"/>
                <w:szCs w:val="18"/>
                <w:lang w:eastAsia="lv-LV"/>
              </w:rPr>
              <w:br/>
              <w:t xml:space="preserve"> 4 739 441 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budžeta finansējums 995 283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(PVN)</w:t>
            </w:r>
          </w:p>
        </w:tc>
        <w:tc>
          <w:tcPr>
            <w:tcW w:w="0" w:type="auto"/>
            <w:tcBorders>
              <w:top w:val="nil"/>
              <w:left w:val="nil"/>
              <w:bottom w:val="single" w:sz="4" w:space="0" w:color="auto"/>
              <w:right w:val="single" w:sz="4" w:space="0" w:color="auto"/>
            </w:tcBorders>
            <w:shd w:val="clear" w:color="000000" w:fill="FFFFFF"/>
            <w:hideMark/>
          </w:tcPr>
          <w:p w14:paraId="427A43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LM </w:t>
            </w:r>
            <w:r w:rsidRPr="00BF055E">
              <w:rPr>
                <w:rFonts w:eastAsia="Times New Roman" w:cs="Times New Roman"/>
                <w:sz w:val="18"/>
                <w:szCs w:val="18"/>
                <w:lang w:eastAsia="lv-LV"/>
              </w:rPr>
              <w:br/>
              <w:t>pašvaldības</w:t>
            </w:r>
          </w:p>
        </w:tc>
        <w:tc>
          <w:tcPr>
            <w:tcW w:w="0" w:type="auto"/>
            <w:tcBorders>
              <w:top w:val="nil"/>
              <w:left w:val="nil"/>
              <w:bottom w:val="single" w:sz="4" w:space="0" w:color="auto"/>
              <w:right w:val="single" w:sz="4" w:space="0" w:color="auto"/>
            </w:tcBorders>
            <w:shd w:val="clear" w:color="auto" w:fill="auto"/>
            <w:hideMark/>
          </w:tcPr>
          <w:p w14:paraId="676F28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0" w:type="auto"/>
            <w:tcBorders>
              <w:top w:val="nil"/>
              <w:left w:val="nil"/>
              <w:bottom w:val="single" w:sz="4" w:space="0" w:color="auto"/>
              <w:right w:val="single" w:sz="4" w:space="0" w:color="auto"/>
            </w:tcBorders>
            <w:shd w:val="clear" w:color="000000" w:fill="FFFFFF"/>
            <w:hideMark/>
          </w:tcPr>
          <w:p w14:paraId="2E652D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000000" w:fill="FFFFFF"/>
            <w:hideMark/>
          </w:tcPr>
          <w:p w14:paraId="7A932BF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0" w:type="auto"/>
            <w:tcBorders>
              <w:top w:val="nil"/>
              <w:left w:val="nil"/>
              <w:bottom w:val="single" w:sz="4" w:space="0" w:color="auto"/>
              <w:right w:val="single" w:sz="4" w:space="0" w:color="auto"/>
            </w:tcBorders>
            <w:shd w:val="clear" w:color="000000" w:fill="FFFFFF"/>
            <w:hideMark/>
          </w:tcPr>
          <w:p w14:paraId="7B0A4CF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Sociālā aizsardzība un iekļaušana</w:t>
            </w:r>
          </w:p>
        </w:tc>
        <w:tc>
          <w:tcPr>
            <w:tcW w:w="0" w:type="auto"/>
            <w:tcBorders>
              <w:top w:val="nil"/>
              <w:left w:val="nil"/>
              <w:bottom w:val="single" w:sz="4" w:space="0" w:color="auto"/>
              <w:right w:val="single" w:sz="4" w:space="0" w:color="auto"/>
            </w:tcBorders>
            <w:shd w:val="clear" w:color="000000" w:fill="FFFFFF"/>
            <w:hideMark/>
          </w:tcPr>
          <w:p w14:paraId="553870D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 9. Ražošana, inovācijas un infrastruktūra; 10. Mazināta nevienlīdzība; 11. Ilgtspējīgas pilsētas un kopienas</w:t>
            </w:r>
          </w:p>
        </w:tc>
      </w:tr>
    </w:tbl>
    <w:p w14:paraId="44C1A991" w14:textId="77777777" w:rsidR="00BF055E" w:rsidRPr="00BF055E" w:rsidRDefault="00BF055E" w:rsidP="006357B3">
      <w:pPr>
        <w:spacing w:after="0" w:line="240" w:lineRule="auto"/>
        <w:rPr>
          <w:rFonts w:eastAsia="Calibri" w:cs="Times New Roman"/>
          <w:kern w:val="2"/>
          <w:szCs w:val="24"/>
          <w14:ligatures w14:val="standardContextual"/>
        </w:rPr>
      </w:pPr>
    </w:p>
    <w:p w14:paraId="26AD0729" w14:textId="77777777" w:rsidR="0058560C" w:rsidRDefault="0058560C">
      <w:pPr>
        <w:spacing w:after="160" w:line="259" w:lineRule="auto"/>
        <w:ind w:firstLine="0"/>
        <w:jc w:val="left"/>
        <w:rPr>
          <w:rFonts w:eastAsia="Calibri" w:cs="Times New Roman"/>
          <w:b/>
          <w:bCs/>
          <w:i/>
          <w:iCs/>
          <w:kern w:val="2"/>
          <w:szCs w:val="24"/>
          <w14:ligatures w14:val="standardContextual"/>
        </w:rPr>
      </w:pPr>
      <w:r>
        <w:rPr>
          <w:rFonts w:eastAsia="Calibri" w:cs="Times New Roman"/>
          <w:b/>
          <w:bCs/>
          <w:i/>
          <w:iCs/>
          <w:kern w:val="2"/>
          <w:szCs w:val="24"/>
          <w14:ligatures w14:val="standardContextual"/>
        </w:rPr>
        <w:br w:type="page"/>
      </w:r>
    </w:p>
    <w:p w14:paraId="5492F29F" w14:textId="07E992AF"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lastRenderedPageBreak/>
        <w:t>9</w:t>
      </w:r>
      <w:r w:rsidR="00BF055E" w:rsidRPr="00BF055E">
        <w:rPr>
          <w:rFonts w:eastAsia="Calibri" w:cs="Times New Roman"/>
          <w:b/>
          <w:bCs/>
          <w:i/>
          <w:iCs/>
          <w:kern w:val="2"/>
          <w:szCs w:val="24"/>
          <w14:ligatures w14:val="standardContextual"/>
        </w:rPr>
        <w:t>.1.10. Transporta ilgtspēja</w:t>
      </w:r>
    </w:p>
    <w:p w14:paraId="24729A86"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Transporta ilgtspējas nodrošināšanai Latvijas FSP pasākumi galvenokārt fokusējas uz dzelzceļa infrastruktūras uzlabošanu, t.sk. </w:t>
      </w:r>
      <w:r w:rsidRPr="00BF055E">
        <w:rPr>
          <w:rFonts w:eastAsia="Calibri" w:cs="Times New Roman"/>
          <w:i/>
          <w:iCs/>
          <w:kern w:val="2"/>
          <w:szCs w:val="24"/>
          <w14:ligatures w14:val="standardContextual"/>
        </w:rPr>
        <w:t xml:space="preserve">Rail </w:t>
      </w:r>
      <w:proofErr w:type="spellStart"/>
      <w:r w:rsidRPr="00BF055E">
        <w:rPr>
          <w:rFonts w:eastAsia="Calibri" w:cs="Times New Roman"/>
          <w:i/>
          <w:iCs/>
          <w:kern w:val="2"/>
          <w:szCs w:val="24"/>
          <w14:ligatures w14:val="standardContextual"/>
        </w:rPr>
        <w:t>Baltica</w:t>
      </w:r>
      <w:proofErr w:type="spellEnd"/>
      <w:r w:rsidRPr="00BF055E">
        <w:rPr>
          <w:rFonts w:eastAsia="Calibri" w:cs="Times New Roman"/>
          <w:kern w:val="2"/>
          <w:szCs w:val="24"/>
          <w14:ligatures w14:val="standardContextual"/>
        </w:rPr>
        <w:t xml:space="preserve"> projekta īstenošanu, dzelzceļa staciju un pieturu modernizāciju, paaugstināto peronu un dzelzceļa līniju izbūvi, tostarp arī elektrifikāciju, </w:t>
      </w:r>
      <w:proofErr w:type="spellStart"/>
      <w:r w:rsidRPr="00BF055E">
        <w:rPr>
          <w:rFonts w:eastAsia="Calibri" w:cs="Times New Roman"/>
          <w:kern w:val="2"/>
          <w:szCs w:val="24"/>
          <w14:ligatures w14:val="standardContextual"/>
        </w:rPr>
        <w:t>bezemisijas</w:t>
      </w:r>
      <w:proofErr w:type="spellEnd"/>
      <w:r w:rsidRPr="00BF055E">
        <w:rPr>
          <w:rFonts w:eastAsia="Calibri" w:cs="Times New Roman"/>
          <w:kern w:val="2"/>
          <w:szCs w:val="24"/>
          <w14:ligatures w14:val="standardContextual"/>
        </w:rPr>
        <w:t xml:space="preserve"> bateriju akumulatoru vilcienu iegādi, vienotā sabiedriskā transporta biļešu informācijas sistēmas attīstību.</w:t>
      </w:r>
    </w:p>
    <w:p w14:paraId="5B9EDB92"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Tāpat paredzēts īstenot pasākumus transporta enerģijas </w:t>
      </w:r>
      <w:proofErr w:type="spellStart"/>
      <w:r w:rsidRPr="00BF055E">
        <w:rPr>
          <w:rFonts w:eastAsia="Calibri" w:cs="Times New Roman"/>
          <w:kern w:val="2"/>
          <w:szCs w:val="24"/>
          <w14:ligatures w14:val="standardContextual"/>
        </w:rPr>
        <w:t>zaļināšanai</w:t>
      </w:r>
      <w:proofErr w:type="spellEnd"/>
      <w:r w:rsidRPr="00BF055E">
        <w:rPr>
          <w:rFonts w:eastAsia="Calibri" w:cs="Times New Roman"/>
          <w:kern w:val="2"/>
          <w:szCs w:val="24"/>
          <w14:ligatures w14:val="standardContextual"/>
        </w:rPr>
        <w:t xml:space="preserve"> ar mērķi gan diversificēt fosilās degvielas importu, gan mazināt atkarību no fosilās degvielas. Latvijas FSP iekļautie pasākumi paredz arī </w:t>
      </w:r>
      <w:proofErr w:type="spellStart"/>
      <w:r w:rsidRPr="00BF055E">
        <w:rPr>
          <w:rFonts w:eastAsia="Calibri" w:cs="Times New Roman"/>
          <w:kern w:val="2"/>
          <w:szCs w:val="24"/>
          <w14:ligatures w14:val="standardContextual"/>
        </w:rPr>
        <w:t>bezemisiju</w:t>
      </w:r>
      <w:proofErr w:type="spellEnd"/>
      <w:r w:rsidRPr="00BF055E">
        <w:rPr>
          <w:rFonts w:eastAsia="Calibri" w:cs="Times New Roman"/>
          <w:kern w:val="2"/>
          <w:szCs w:val="24"/>
          <w14:ligatures w14:val="standardContextual"/>
        </w:rPr>
        <w:t xml:space="preserve"> transportlīdzekļu iegādi pašvaldību funkciju īstenošanai, pakalpojumu sniegšanai un </w:t>
      </w:r>
      <w:proofErr w:type="spellStart"/>
      <w:r w:rsidRPr="00BF055E">
        <w:rPr>
          <w:rFonts w:eastAsia="Calibri" w:cs="Times New Roman"/>
          <w:kern w:val="2"/>
          <w:szCs w:val="24"/>
          <w14:ligatures w14:val="standardContextual"/>
        </w:rPr>
        <w:t>bezemisiju</w:t>
      </w:r>
      <w:proofErr w:type="spellEnd"/>
      <w:r w:rsidRPr="00BF055E">
        <w:rPr>
          <w:rFonts w:eastAsia="Calibri" w:cs="Times New Roman"/>
          <w:kern w:val="2"/>
          <w:szCs w:val="24"/>
          <w14:ligatures w14:val="standardContextual"/>
        </w:rPr>
        <w:t xml:space="preserve"> transportlīdzekļu izmantošanu pašvaldībās.</w:t>
      </w:r>
    </w:p>
    <w:p w14:paraId="785A6885"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Augstākminētie pasākumi tiks īstenoti galvenokārt ES fondu atbalsta programmu, Taisnīgas pārkārtošanās fonda un Latvijas ANM plāna ietvaros.</w:t>
      </w:r>
    </w:p>
    <w:p w14:paraId="3F68B984" w14:textId="31BA3083"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Transporta ilgtspēja</w:t>
      </w:r>
    </w:p>
    <w:tbl>
      <w:tblPr>
        <w:tblW w:w="0" w:type="auto"/>
        <w:tblLayout w:type="fixed"/>
        <w:tblLook w:val="04A0" w:firstRow="1" w:lastRow="0" w:firstColumn="1" w:lastColumn="0" w:noHBand="0" w:noVBand="1"/>
      </w:tblPr>
      <w:tblGrid>
        <w:gridCol w:w="2263"/>
        <w:gridCol w:w="1701"/>
        <w:gridCol w:w="2127"/>
        <w:gridCol w:w="992"/>
        <w:gridCol w:w="1701"/>
        <w:gridCol w:w="1134"/>
        <w:gridCol w:w="850"/>
        <w:gridCol w:w="851"/>
        <w:gridCol w:w="1134"/>
        <w:gridCol w:w="850"/>
        <w:gridCol w:w="957"/>
      </w:tblGrid>
      <w:tr w:rsidR="00BF055E" w:rsidRPr="00BF055E" w14:paraId="2451A5B8" w14:textId="77777777" w:rsidTr="003B1594">
        <w:trPr>
          <w:trHeight w:val="20"/>
          <w:tblHeader/>
        </w:trPr>
        <w:tc>
          <w:tcPr>
            <w:tcW w:w="2263"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2FA1D8E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1701" w:type="dxa"/>
            <w:tcBorders>
              <w:top w:val="single" w:sz="4" w:space="0" w:color="auto"/>
              <w:left w:val="nil"/>
              <w:bottom w:val="single" w:sz="4" w:space="0" w:color="auto"/>
              <w:right w:val="single" w:sz="4" w:space="0" w:color="auto"/>
            </w:tcBorders>
            <w:shd w:val="clear" w:color="000000" w:fill="95B3D7"/>
            <w:vAlign w:val="center"/>
            <w:hideMark/>
          </w:tcPr>
          <w:p w14:paraId="6F0A77C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127" w:type="dxa"/>
            <w:tcBorders>
              <w:top w:val="single" w:sz="4" w:space="0" w:color="auto"/>
              <w:left w:val="nil"/>
              <w:bottom w:val="single" w:sz="4" w:space="0" w:color="auto"/>
              <w:right w:val="single" w:sz="4" w:space="0" w:color="auto"/>
            </w:tcBorders>
            <w:shd w:val="clear" w:color="000000" w:fill="95B3D7"/>
            <w:vAlign w:val="center"/>
            <w:hideMark/>
          </w:tcPr>
          <w:p w14:paraId="7FA2A63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992" w:type="dxa"/>
            <w:tcBorders>
              <w:top w:val="single" w:sz="4" w:space="0" w:color="auto"/>
              <w:left w:val="nil"/>
              <w:bottom w:val="single" w:sz="4" w:space="0" w:color="auto"/>
              <w:right w:val="single" w:sz="4" w:space="0" w:color="auto"/>
            </w:tcBorders>
            <w:shd w:val="clear" w:color="000000" w:fill="95B3D7"/>
            <w:vAlign w:val="center"/>
            <w:hideMark/>
          </w:tcPr>
          <w:p w14:paraId="1DCECB5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701" w:type="dxa"/>
            <w:tcBorders>
              <w:top w:val="single" w:sz="4" w:space="0" w:color="auto"/>
              <w:left w:val="nil"/>
              <w:bottom w:val="single" w:sz="4" w:space="0" w:color="auto"/>
              <w:right w:val="single" w:sz="4" w:space="0" w:color="auto"/>
            </w:tcBorders>
            <w:shd w:val="clear" w:color="000000" w:fill="95B3D7"/>
            <w:vAlign w:val="center"/>
            <w:hideMark/>
          </w:tcPr>
          <w:p w14:paraId="215AC5B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325F7E1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1474B07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5BA3827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851" w:type="dxa"/>
            <w:tcBorders>
              <w:top w:val="single" w:sz="4" w:space="0" w:color="auto"/>
              <w:left w:val="nil"/>
              <w:bottom w:val="single" w:sz="4" w:space="0" w:color="auto"/>
              <w:right w:val="single" w:sz="4" w:space="0" w:color="auto"/>
            </w:tcBorders>
            <w:shd w:val="clear" w:color="000000" w:fill="95B3D7"/>
            <w:vAlign w:val="center"/>
            <w:hideMark/>
          </w:tcPr>
          <w:p w14:paraId="2AD15EB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3D2B1E2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3A313E59"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957" w:type="dxa"/>
            <w:tcBorders>
              <w:top w:val="single" w:sz="4" w:space="0" w:color="auto"/>
              <w:left w:val="nil"/>
              <w:bottom w:val="single" w:sz="4" w:space="0" w:color="auto"/>
              <w:right w:val="single" w:sz="4" w:space="0" w:color="auto"/>
            </w:tcBorders>
            <w:shd w:val="clear" w:color="000000" w:fill="95B3D7"/>
            <w:vAlign w:val="center"/>
            <w:hideMark/>
          </w:tcPr>
          <w:p w14:paraId="0E31B74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5B34DD80" w14:textId="77777777" w:rsidTr="003B1594">
        <w:trPr>
          <w:trHeight w:val="20"/>
          <w:tblHeader/>
        </w:trPr>
        <w:tc>
          <w:tcPr>
            <w:tcW w:w="14560"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6B4F45C7"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Transporta ilgtspēja</w:t>
            </w:r>
          </w:p>
        </w:tc>
      </w:tr>
      <w:tr w:rsidR="00BF055E" w:rsidRPr="00BF055E" w14:paraId="342187CE"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16225B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i/>
                <w:iCs/>
                <w:sz w:val="18"/>
                <w:szCs w:val="18"/>
                <w:lang w:eastAsia="lv-LV"/>
              </w:rPr>
              <w:t xml:space="preserve">Rail </w:t>
            </w:r>
            <w:proofErr w:type="spellStart"/>
            <w:r w:rsidRPr="00BF055E">
              <w:rPr>
                <w:rFonts w:eastAsia="Times New Roman" w:cs="Times New Roman"/>
                <w:i/>
                <w:iCs/>
                <w:sz w:val="18"/>
                <w:szCs w:val="18"/>
                <w:lang w:eastAsia="lv-LV"/>
              </w:rPr>
              <w:t>Baltica</w:t>
            </w:r>
            <w:proofErr w:type="spellEnd"/>
            <w:r w:rsidRPr="00BF055E">
              <w:rPr>
                <w:rFonts w:eastAsia="Times New Roman" w:cs="Times New Roman"/>
                <w:sz w:val="18"/>
                <w:szCs w:val="18"/>
                <w:lang w:eastAsia="lv-LV"/>
              </w:rPr>
              <w:t xml:space="preserve"> projekta īstenošana</w:t>
            </w:r>
          </w:p>
        </w:tc>
        <w:tc>
          <w:tcPr>
            <w:tcW w:w="1701" w:type="dxa"/>
            <w:tcBorders>
              <w:top w:val="nil"/>
              <w:left w:val="nil"/>
              <w:bottom w:val="single" w:sz="4" w:space="0" w:color="auto"/>
              <w:right w:val="single" w:sz="4" w:space="0" w:color="auto"/>
            </w:tcBorders>
            <w:shd w:val="clear" w:color="000000" w:fill="FFFFFF"/>
            <w:hideMark/>
          </w:tcPr>
          <w:p w14:paraId="3F12B73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Dzelzceļa transporta projekts ar augstu stratēģisko nozīmi, jo tā uzlabos militāro mobilitāti reģionā un būtiski veicinās Baltijas valstu drošību, veicinot vienmērīgāku militāro mobilitāti un loģistiku sabiedroto karaspēkam, kas mēģina izvietoties reģionā no savām bāzēm Polijā un Vācijā, un ir daļa no ES militārā tīkla.</w:t>
            </w:r>
          </w:p>
        </w:tc>
        <w:tc>
          <w:tcPr>
            <w:tcW w:w="2127" w:type="dxa"/>
            <w:tcBorders>
              <w:top w:val="nil"/>
              <w:left w:val="nil"/>
              <w:bottom w:val="single" w:sz="4" w:space="0" w:color="auto"/>
              <w:right w:val="single" w:sz="4" w:space="0" w:color="auto"/>
            </w:tcBorders>
            <w:shd w:val="clear" w:color="000000" w:fill="FFFFFF"/>
            <w:hideMark/>
          </w:tcPr>
          <w:p w14:paraId="4C0B3E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w:t>
            </w:r>
            <w:proofErr w:type="spellStart"/>
            <w:r w:rsidRPr="00BF055E">
              <w:rPr>
                <w:rFonts w:eastAsia="Times New Roman" w:cs="Times New Roman"/>
                <w:sz w:val="18"/>
                <w:szCs w:val="18"/>
                <w:lang w:eastAsia="lv-LV"/>
              </w:rPr>
              <w:t>Pamattrases</w:t>
            </w:r>
            <w:proofErr w:type="spellEnd"/>
            <w:r w:rsidRPr="00BF055E">
              <w:rPr>
                <w:rFonts w:eastAsia="Times New Roman" w:cs="Times New Roman"/>
                <w:sz w:val="18"/>
                <w:szCs w:val="18"/>
                <w:lang w:eastAsia="lv-LV"/>
              </w:rPr>
              <w:t xml:space="preserve"> detalizētā tehniskā projekta izstrādes pabeigšana</w:t>
            </w:r>
            <w:r w:rsidRPr="00BF055E">
              <w:rPr>
                <w:rFonts w:eastAsia="Times New Roman" w:cs="Times New Roman"/>
                <w:sz w:val="18"/>
                <w:szCs w:val="18"/>
                <w:lang w:eastAsia="lv-LV"/>
              </w:rPr>
              <w:br/>
              <w:t xml:space="preserve">2. </w:t>
            </w:r>
            <w:proofErr w:type="spellStart"/>
            <w:r w:rsidRPr="00BF055E">
              <w:rPr>
                <w:rFonts w:eastAsia="Times New Roman" w:cs="Times New Roman"/>
                <w:sz w:val="18"/>
                <w:szCs w:val="18"/>
                <w:lang w:eastAsia="lv-LV"/>
              </w:rPr>
              <w:t>Pamattrases</w:t>
            </w:r>
            <w:proofErr w:type="spellEnd"/>
            <w:r w:rsidRPr="00BF055E">
              <w:rPr>
                <w:rFonts w:eastAsia="Times New Roman" w:cs="Times New Roman"/>
                <w:sz w:val="18"/>
                <w:szCs w:val="18"/>
                <w:lang w:eastAsia="lv-LV"/>
              </w:rPr>
              <w:t xml:space="preserve"> būvniecības uzsākšana</w:t>
            </w:r>
            <w:r w:rsidRPr="00BF055E">
              <w:rPr>
                <w:rFonts w:eastAsia="Times New Roman" w:cs="Times New Roman"/>
                <w:sz w:val="18"/>
                <w:szCs w:val="18"/>
                <w:lang w:eastAsia="lv-LV"/>
              </w:rPr>
              <w:br/>
              <w:t>3. Vilcienu vadības un signalizācijas iekārtu apakšsistēmas izstrāde</w:t>
            </w:r>
            <w:r w:rsidRPr="00BF055E">
              <w:rPr>
                <w:rFonts w:eastAsia="Times New Roman" w:cs="Times New Roman"/>
                <w:sz w:val="18"/>
                <w:szCs w:val="18"/>
                <w:lang w:eastAsia="lv-LV"/>
              </w:rPr>
              <w:br/>
              <w:t>4. Dzelzceļa līnijas elektrifikācija</w:t>
            </w:r>
            <w:r w:rsidRPr="00BF055E">
              <w:rPr>
                <w:rFonts w:eastAsia="Times New Roman" w:cs="Times New Roman"/>
                <w:sz w:val="18"/>
                <w:szCs w:val="18"/>
                <w:lang w:eastAsia="lv-LV"/>
              </w:rPr>
              <w:br/>
              <w:t>5. Rīgas centrālās stacijas un Rīgas lidostas stacijas būvniecība un būvuzraudzība</w:t>
            </w:r>
          </w:p>
        </w:tc>
        <w:tc>
          <w:tcPr>
            <w:tcW w:w="992" w:type="dxa"/>
            <w:tcBorders>
              <w:top w:val="nil"/>
              <w:left w:val="nil"/>
              <w:bottom w:val="single" w:sz="4" w:space="0" w:color="auto"/>
              <w:right w:val="single" w:sz="4" w:space="0" w:color="auto"/>
            </w:tcBorders>
            <w:shd w:val="clear" w:color="000000" w:fill="FFFFFF"/>
            <w:hideMark/>
          </w:tcPr>
          <w:p w14:paraId="667325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2014.-2030.g.</w:t>
            </w:r>
          </w:p>
        </w:tc>
        <w:tc>
          <w:tcPr>
            <w:tcW w:w="1701" w:type="dxa"/>
            <w:tcBorders>
              <w:top w:val="nil"/>
              <w:left w:val="nil"/>
              <w:bottom w:val="single" w:sz="4" w:space="0" w:color="auto"/>
              <w:right w:val="single" w:sz="4" w:space="0" w:color="auto"/>
            </w:tcBorders>
            <w:shd w:val="clear" w:color="auto" w:fill="auto"/>
            <w:hideMark/>
          </w:tcPr>
          <w:p w14:paraId="6A61C46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1 276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 796milj.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 ES fondi, 480 -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w:t>
            </w:r>
          </w:p>
        </w:tc>
        <w:tc>
          <w:tcPr>
            <w:tcW w:w="1134" w:type="dxa"/>
            <w:tcBorders>
              <w:top w:val="nil"/>
              <w:left w:val="nil"/>
              <w:bottom w:val="single" w:sz="4" w:space="0" w:color="auto"/>
              <w:right w:val="single" w:sz="4" w:space="0" w:color="auto"/>
            </w:tcBorders>
            <w:shd w:val="clear" w:color="000000" w:fill="FFFFFF"/>
            <w:hideMark/>
          </w:tcPr>
          <w:p w14:paraId="43B9A63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SM</w:t>
            </w:r>
          </w:p>
        </w:tc>
        <w:tc>
          <w:tcPr>
            <w:tcW w:w="850" w:type="dxa"/>
            <w:tcBorders>
              <w:top w:val="nil"/>
              <w:left w:val="nil"/>
              <w:bottom w:val="single" w:sz="4" w:space="0" w:color="auto"/>
              <w:right w:val="single" w:sz="4" w:space="0" w:color="auto"/>
            </w:tcBorders>
            <w:shd w:val="clear" w:color="000000" w:fill="FFFFFF"/>
            <w:hideMark/>
          </w:tcPr>
          <w:p w14:paraId="4429BE2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106FDC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2E66D1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 4. Aizsardzības spēju veidošana</w:t>
            </w:r>
          </w:p>
        </w:tc>
        <w:tc>
          <w:tcPr>
            <w:tcW w:w="850" w:type="dxa"/>
            <w:tcBorders>
              <w:top w:val="nil"/>
              <w:left w:val="nil"/>
              <w:bottom w:val="single" w:sz="4" w:space="0" w:color="auto"/>
              <w:right w:val="single" w:sz="4" w:space="0" w:color="auto"/>
            </w:tcBorders>
            <w:shd w:val="clear" w:color="000000" w:fill="FFFFFF"/>
            <w:hideMark/>
          </w:tcPr>
          <w:p w14:paraId="397E22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370E215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10. Mazināta nevienlīdzība; 11. Ilgtspējīgas pilsētas un kopienas</w:t>
            </w:r>
          </w:p>
        </w:tc>
      </w:tr>
      <w:tr w:rsidR="00BF055E" w:rsidRPr="00BF055E" w14:paraId="1C5D404F"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0563C01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fondu plānošanas perioda 2014.-2020.gadam Darbības programmas "Izaugsme un nodarbinātība" prioritārā virziena "Ilgtspējīga </w:t>
            </w:r>
            <w:r w:rsidRPr="00BF055E">
              <w:rPr>
                <w:rFonts w:eastAsia="Times New Roman" w:cs="Times New Roman"/>
                <w:sz w:val="18"/>
                <w:szCs w:val="18"/>
                <w:lang w:eastAsia="lv-LV"/>
              </w:rPr>
              <w:lastRenderedPageBreak/>
              <w:t xml:space="preserve">transporta sistēma" 6.2.1. specifiskā atbalsta mērķa "Nodrošināt konkurētspējīgu un videi draudzīgu TEN-T dzelzceļa tīklu, veicinot tā drošību, kvalitāti un kapacitāti" 6.2.1.2. pasākuma "Dzelzceļa infrastruktūras modernizācija un izbūve" īstenošana. </w:t>
            </w:r>
          </w:p>
        </w:tc>
        <w:tc>
          <w:tcPr>
            <w:tcW w:w="1701" w:type="dxa"/>
            <w:tcBorders>
              <w:top w:val="nil"/>
              <w:left w:val="nil"/>
              <w:bottom w:val="single" w:sz="4" w:space="0" w:color="auto"/>
              <w:right w:val="single" w:sz="4" w:space="0" w:color="auto"/>
            </w:tcBorders>
            <w:shd w:val="clear" w:color="000000" w:fill="FFFFFF"/>
            <w:hideMark/>
          </w:tcPr>
          <w:p w14:paraId="5ECC9B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Staciju skaits, kurās uzbūvēti paaugstinātie peroni</w:t>
            </w:r>
            <w:r w:rsidRPr="00BF055E">
              <w:rPr>
                <w:rFonts w:eastAsia="Times New Roman" w:cs="Times New Roman"/>
                <w:sz w:val="18"/>
                <w:szCs w:val="18"/>
                <w:lang w:eastAsia="lv-LV"/>
              </w:rPr>
              <w:br/>
            </w:r>
            <w:r w:rsidRPr="00BF055E">
              <w:rPr>
                <w:rFonts w:eastAsia="Times New Roman" w:cs="Times New Roman"/>
                <w:sz w:val="18"/>
                <w:szCs w:val="18"/>
                <w:lang w:eastAsia="lv-LV"/>
              </w:rPr>
              <w:br/>
              <w:t xml:space="preserve">Rekonstruēto vai modernizēto </w:t>
            </w:r>
            <w:r w:rsidRPr="00BF055E">
              <w:rPr>
                <w:rFonts w:eastAsia="Times New Roman" w:cs="Times New Roman"/>
                <w:sz w:val="18"/>
                <w:szCs w:val="18"/>
                <w:lang w:eastAsia="lv-LV"/>
              </w:rPr>
              <w:lastRenderedPageBreak/>
              <w:t>dzelzceļa līniju kopējais garums</w:t>
            </w:r>
          </w:p>
        </w:tc>
        <w:tc>
          <w:tcPr>
            <w:tcW w:w="2127" w:type="dxa"/>
            <w:tcBorders>
              <w:top w:val="nil"/>
              <w:left w:val="nil"/>
              <w:bottom w:val="single" w:sz="4" w:space="0" w:color="auto"/>
              <w:right w:val="single" w:sz="4" w:space="0" w:color="auto"/>
            </w:tcBorders>
            <w:shd w:val="clear" w:color="000000" w:fill="FFFFFF"/>
            <w:hideMark/>
          </w:tcPr>
          <w:p w14:paraId="6A7F0D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45 stacijas un pieturas punkti</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lang w:eastAsia="lv-LV"/>
              </w:rPr>
              <w:br/>
              <w:t>100 km</w:t>
            </w:r>
          </w:p>
        </w:tc>
        <w:tc>
          <w:tcPr>
            <w:tcW w:w="992" w:type="dxa"/>
            <w:tcBorders>
              <w:top w:val="nil"/>
              <w:left w:val="nil"/>
              <w:bottom w:val="single" w:sz="4" w:space="0" w:color="auto"/>
              <w:right w:val="single" w:sz="4" w:space="0" w:color="auto"/>
            </w:tcBorders>
            <w:shd w:val="clear" w:color="000000" w:fill="FFFFFF"/>
            <w:hideMark/>
          </w:tcPr>
          <w:p w14:paraId="27472C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06.2024</w:t>
            </w:r>
          </w:p>
        </w:tc>
        <w:tc>
          <w:tcPr>
            <w:tcW w:w="1701" w:type="dxa"/>
            <w:tcBorders>
              <w:top w:val="nil"/>
              <w:left w:val="nil"/>
              <w:bottom w:val="single" w:sz="4" w:space="0" w:color="auto"/>
              <w:right w:val="single" w:sz="4" w:space="0" w:color="auto"/>
            </w:tcBorders>
            <w:shd w:val="clear" w:color="000000" w:fill="FFFFFF"/>
            <w:hideMark/>
          </w:tcPr>
          <w:p w14:paraId="7079483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KF 95 325 588,   </w:t>
            </w:r>
            <w:proofErr w:type="spellStart"/>
            <w:r w:rsidRPr="00BF055E">
              <w:rPr>
                <w:rFonts w:eastAsia="Times New Roman" w:cs="Times New Roman"/>
                <w:sz w:val="18"/>
                <w:szCs w:val="18"/>
                <w:lang w:eastAsia="lv-LV"/>
              </w:rPr>
              <w:t>LDz</w:t>
            </w:r>
            <w:proofErr w:type="spellEnd"/>
            <w:r w:rsidRPr="00BF055E">
              <w:rPr>
                <w:rFonts w:eastAsia="Times New Roman" w:cs="Times New Roman"/>
                <w:sz w:val="18"/>
                <w:szCs w:val="18"/>
                <w:lang w:eastAsia="lv-LV"/>
              </w:rPr>
              <w:t xml:space="preserve"> 16 822 163</w:t>
            </w:r>
          </w:p>
        </w:tc>
        <w:tc>
          <w:tcPr>
            <w:tcW w:w="1134" w:type="dxa"/>
            <w:tcBorders>
              <w:top w:val="nil"/>
              <w:left w:val="nil"/>
              <w:bottom w:val="single" w:sz="4" w:space="0" w:color="auto"/>
              <w:right w:val="single" w:sz="4" w:space="0" w:color="auto"/>
            </w:tcBorders>
            <w:shd w:val="clear" w:color="000000" w:fill="FFFFFF"/>
            <w:hideMark/>
          </w:tcPr>
          <w:p w14:paraId="77D49C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VAS "Latvijas dzelzceļš", SM </w:t>
            </w:r>
          </w:p>
        </w:tc>
        <w:tc>
          <w:tcPr>
            <w:tcW w:w="850" w:type="dxa"/>
            <w:tcBorders>
              <w:top w:val="nil"/>
              <w:left w:val="nil"/>
              <w:bottom w:val="single" w:sz="4" w:space="0" w:color="auto"/>
              <w:right w:val="single" w:sz="4" w:space="0" w:color="auto"/>
            </w:tcBorders>
            <w:shd w:val="clear" w:color="000000" w:fill="FFFFFF"/>
            <w:hideMark/>
          </w:tcPr>
          <w:p w14:paraId="328AACE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0D16F1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442C699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 Sociālā un ekonomikas noturība, t.sk. Eiropas Sociālo </w:t>
            </w:r>
            <w:r w:rsidRPr="00BF055E">
              <w:rPr>
                <w:rFonts w:eastAsia="Times New Roman" w:cs="Times New Roman"/>
                <w:sz w:val="18"/>
                <w:szCs w:val="18"/>
                <w:lang w:eastAsia="lv-LV"/>
              </w:rPr>
              <w:lastRenderedPageBreak/>
              <w:t>tiesību pīlārs</w:t>
            </w:r>
          </w:p>
        </w:tc>
        <w:tc>
          <w:tcPr>
            <w:tcW w:w="850" w:type="dxa"/>
            <w:tcBorders>
              <w:top w:val="nil"/>
              <w:left w:val="nil"/>
              <w:bottom w:val="single" w:sz="4" w:space="0" w:color="auto"/>
              <w:right w:val="single" w:sz="4" w:space="0" w:color="auto"/>
            </w:tcBorders>
            <w:shd w:val="clear" w:color="000000" w:fill="FFFFFF"/>
            <w:hideMark/>
          </w:tcPr>
          <w:p w14:paraId="76DB4B9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957" w:type="dxa"/>
            <w:tcBorders>
              <w:top w:val="nil"/>
              <w:left w:val="nil"/>
              <w:bottom w:val="single" w:sz="4" w:space="0" w:color="auto"/>
              <w:right w:val="single" w:sz="4" w:space="0" w:color="auto"/>
            </w:tcBorders>
            <w:shd w:val="clear" w:color="000000" w:fill="FFFFFF"/>
            <w:hideMark/>
          </w:tcPr>
          <w:p w14:paraId="55F1127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inovācijas un infrastruktūra; 11. </w:t>
            </w:r>
            <w:r w:rsidRPr="00BF055E">
              <w:rPr>
                <w:rFonts w:eastAsia="Times New Roman" w:cs="Times New Roman"/>
                <w:sz w:val="18"/>
                <w:szCs w:val="18"/>
                <w:lang w:eastAsia="lv-LV"/>
              </w:rPr>
              <w:lastRenderedPageBreak/>
              <w:t>Ilgtspējīgas pilsētas un kopienas</w:t>
            </w:r>
          </w:p>
        </w:tc>
      </w:tr>
      <w:tr w:rsidR="00BF055E" w:rsidRPr="00BF055E" w14:paraId="389EB61A"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4078E69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ES kohēzijas politikas programmas 2021.–2027.gadam  3.politikas mērķa “Ciešāk savienota Eiropa, uzlabojot mobilitāti” 3.1.1.1.pasākuma “Dzelzceļa transporta attīstība un energoefektivitātes uzlabošana sabiedriskajos pasažieru pārvadājumos” un 3.1.1.3.pasākuma “Eiropas transporta tīklā esošās dzelzceļa infrastruktūras attīstība” īstenošana</w:t>
            </w:r>
          </w:p>
        </w:tc>
        <w:tc>
          <w:tcPr>
            <w:tcW w:w="1701" w:type="dxa"/>
            <w:tcBorders>
              <w:top w:val="nil"/>
              <w:left w:val="nil"/>
              <w:bottom w:val="single" w:sz="4" w:space="0" w:color="auto"/>
              <w:right w:val="single" w:sz="4" w:space="0" w:color="auto"/>
            </w:tcBorders>
            <w:shd w:val="clear" w:color="000000" w:fill="FFFFFF"/>
            <w:hideMark/>
          </w:tcPr>
          <w:p w14:paraId="7932610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Jaunu vai modernizētu dzelzceļa sliežu garums – TEN-T</w:t>
            </w:r>
            <w:r w:rsidRPr="00BF055E">
              <w:rPr>
                <w:rFonts w:eastAsia="Times New Roman" w:cs="Times New Roman"/>
                <w:sz w:val="18"/>
                <w:szCs w:val="18"/>
                <w:lang w:eastAsia="lv-LV"/>
              </w:rPr>
              <w:br/>
            </w:r>
            <w:r w:rsidRPr="00BF055E">
              <w:rPr>
                <w:rFonts w:eastAsia="Times New Roman" w:cs="Times New Roman"/>
                <w:sz w:val="18"/>
                <w:szCs w:val="18"/>
                <w:lang w:eastAsia="lv-LV"/>
              </w:rPr>
              <w:br/>
              <w:t>Jaunas  vai modernizētas dzelzceļa stacijas un pieturas</w:t>
            </w:r>
          </w:p>
        </w:tc>
        <w:tc>
          <w:tcPr>
            <w:tcW w:w="2127" w:type="dxa"/>
            <w:tcBorders>
              <w:top w:val="nil"/>
              <w:left w:val="nil"/>
              <w:bottom w:val="single" w:sz="4" w:space="0" w:color="auto"/>
              <w:right w:val="single" w:sz="4" w:space="0" w:color="auto"/>
            </w:tcBorders>
            <w:shd w:val="clear" w:color="000000" w:fill="FFFFFF"/>
            <w:hideMark/>
          </w:tcPr>
          <w:p w14:paraId="1CC047C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130 km</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lang w:eastAsia="lv-LV"/>
              </w:rPr>
              <w:br/>
              <w:t>40  stacijas un pieturas punkti</w:t>
            </w:r>
          </w:p>
        </w:tc>
        <w:tc>
          <w:tcPr>
            <w:tcW w:w="992" w:type="dxa"/>
            <w:tcBorders>
              <w:top w:val="nil"/>
              <w:left w:val="nil"/>
              <w:bottom w:val="single" w:sz="4" w:space="0" w:color="auto"/>
              <w:right w:val="single" w:sz="4" w:space="0" w:color="auto"/>
            </w:tcBorders>
            <w:shd w:val="clear" w:color="000000" w:fill="FFFFFF"/>
            <w:hideMark/>
          </w:tcPr>
          <w:p w14:paraId="178E135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12.2029</w:t>
            </w:r>
          </w:p>
        </w:tc>
        <w:tc>
          <w:tcPr>
            <w:tcW w:w="1701" w:type="dxa"/>
            <w:tcBorders>
              <w:top w:val="nil"/>
              <w:left w:val="nil"/>
              <w:bottom w:val="single" w:sz="4" w:space="0" w:color="auto"/>
              <w:right w:val="single" w:sz="4" w:space="0" w:color="auto"/>
            </w:tcBorders>
            <w:shd w:val="clear" w:color="000000" w:fill="FFFFFF"/>
            <w:hideMark/>
          </w:tcPr>
          <w:p w14:paraId="4088514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KF - 305 182 445, </w:t>
            </w:r>
            <w:proofErr w:type="spellStart"/>
            <w:r w:rsidRPr="00BF055E">
              <w:rPr>
                <w:rFonts w:eastAsia="Times New Roman" w:cs="Times New Roman"/>
                <w:sz w:val="18"/>
                <w:szCs w:val="18"/>
                <w:lang w:eastAsia="lv-LV"/>
              </w:rPr>
              <w:t>LDz</w:t>
            </w:r>
            <w:proofErr w:type="spellEnd"/>
            <w:r w:rsidRPr="00BF055E">
              <w:rPr>
                <w:rFonts w:eastAsia="Times New Roman" w:cs="Times New Roman"/>
                <w:sz w:val="18"/>
                <w:szCs w:val="18"/>
                <w:lang w:eastAsia="lv-LV"/>
              </w:rPr>
              <w:t xml:space="preserve"> - 53 855 726</w:t>
            </w:r>
          </w:p>
        </w:tc>
        <w:tc>
          <w:tcPr>
            <w:tcW w:w="1134" w:type="dxa"/>
            <w:tcBorders>
              <w:top w:val="nil"/>
              <w:left w:val="nil"/>
              <w:bottom w:val="single" w:sz="4" w:space="0" w:color="auto"/>
              <w:right w:val="single" w:sz="4" w:space="0" w:color="auto"/>
            </w:tcBorders>
            <w:shd w:val="clear" w:color="000000" w:fill="FFFFFF"/>
            <w:hideMark/>
          </w:tcPr>
          <w:p w14:paraId="48A33A3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VAS "Latvijas dzelzceļš", SM </w:t>
            </w:r>
          </w:p>
        </w:tc>
        <w:tc>
          <w:tcPr>
            <w:tcW w:w="850" w:type="dxa"/>
            <w:tcBorders>
              <w:top w:val="nil"/>
              <w:left w:val="nil"/>
              <w:bottom w:val="single" w:sz="4" w:space="0" w:color="auto"/>
              <w:right w:val="single" w:sz="4" w:space="0" w:color="auto"/>
            </w:tcBorders>
            <w:shd w:val="clear" w:color="000000" w:fill="FFFFFF"/>
            <w:hideMark/>
          </w:tcPr>
          <w:p w14:paraId="38FCD12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5F1A7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32C5181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850" w:type="dxa"/>
            <w:tcBorders>
              <w:top w:val="nil"/>
              <w:left w:val="nil"/>
              <w:bottom w:val="single" w:sz="4" w:space="0" w:color="auto"/>
              <w:right w:val="single" w:sz="4" w:space="0" w:color="auto"/>
            </w:tcBorders>
            <w:shd w:val="clear" w:color="000000" w:fill="FFFFFF"/>
            <w:hideMark/>
          </w:tcPr>
          <w:p w14:paraId="4E3A7CD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34D3B39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10. Mazināta nevienlīdzība; 11. Ilgtspējīgas pilsētas un kopienas</w:t>
            </w:r>
          </w:p>
        </w:tc>
      </w:tr>
      <w:tr w:rsidR="00BF055E" w:rsidRPr="00BF055E" w14:paraId="0E1312AD"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3BBCC7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ANM plāna komponentes Nr.1 “Klimata pārmaiņas un vides ilgtspēja” reformu un investīciju virziena 1.1 “Emisiju samazināšana transporta sektorā” 1.1.1.r. reformas “Rīgas metropoles areāla transporta sistēmas </w:t>
            </w:r>
            <w:proofErr w:type="spellStart"/>
            <w:r w:rsidRPr="00BF055E">
              <w:rPr>
                <w:rFonts w:eastAsia="Times New Roman" w:cs="Times New Roman"/>
                <w:sz w:val="18"/>
                <w:szCs w:val="18"/>
                <w:lang w:eastAsia="lv-LV"/>
              </w:rPr>
              <w:t>zaļināšana</w:t>
            </w:r>
            <w:proofErr w:type="spellEnd"/>
            <w:r w:rsidRPr="00BF055E">
              <w:rPr>
                <w:rFonts w:eastAsia="Times New Roman" w:cs="Times New Roman"/>
                <w:sz w:val="18"/>
                <w:szCs w:val="18"/>
                <w:lang w:eastAsia="lv-LV"/>
              </w:rPr>
              <w:t xml:space="preserve">” 1.1.1.1.i. investīcijas “Konkurētspējīgs dzelzceļa </w:t>
            </w:r>
            <w:r w:rsidRPr="00BF055E">
              <w:rPr>
                <w:rFonts w:eastAsia="Times New Roman" w:cs="Times New Roman"/>
                <w:sz w:val="18"/>
                <w:szCs w:val="18"/>
                <w:lang w:eastAsia="lv-LV"/>
              </w:rPr>
              <w:lastRenderedPageBreak/>
              <w:t>pasažieru transports kopējā Rīgas pilsētas sabiedriskā transporta sistēmā” 1.1.1.1.i.2. un 1.1.1.1.i.3. saistīto pasākumu īstenošana</w:t>
            </w:r>
          </w:p>
        </w:tc>
        <w:tc>
          <w:tcPr>
            <w:tcW w:w="1701" w:type="dxa"/>
            <w:tcBorders>
              <w:top w:val="nil"/>
              <w:left w:val="nil"/>
              <w:bottom w:val="single" w:sz="4" w:space="0" w:color="auto"/>
              <w:right w:val="single" w:sz="4" w:space="0" w:color="auto"/>
            </w:tcBorders>
            <w:shd w:val="clear" w:color="000000" w:fill="FFFFFF"/>
            <w:hideMark/>
          </w:tcPr>
          <w:p w14:paraId="542C51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Izveidoto elektrificēto dzelzceļa līniju un modernizēto esošo dzelzceļa līniju garums pasažieru pārvadāšanai  </w:t>
            </w:r>
          </w:p>
        </w:tc>
        <w:tc>
          <w:tcPr>
            <w:tcW w:w="2127" w:type="dxa"/>
            <w:tcBorders>
              <w:top w:val="nil"/>
              <w:left w:val="nil"/>
              <w:bottom w:val="single" w:sz="4" w:space="0" w:color="auto"/>
              <w:right w:val="single" w:sz="4" w:space="0" w:color="auto"/>
            </w:tcBorders>
            <w:shd w:val="clear" w:color="000000" w:fill="FFFFFF"/>
            <w:hideMark/>
          </w:tcPr>
          <w:p w14:paraId="434356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100 km</w:t>
            </w:r>
          </w:p>
        </w:tc>
        <w:tc>
          <w:tcPr>
            <w:tcW w:w="992" w:type="dxa"/>
            <w:tcBorders>
              <w:top w:val="nil"/>
              <w:left w:val="nil"/>
              <w:bottom w:val="single" w:sz="4" w:space="0" w:color="auto"/>
              <w:right w:val="single" w:sz="4" w:space="0" w:color="auto"/>
            </w:tcBorders>
            <w:shd w:val="clear" w:color="000000" w:fill="FFFFFF"/>
            <w:hideMark/>
          </w:tcPr>
          <w:p w14:paraId="096089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03.2026</w:t>
            </w:r>
          </w:p>
        </w:tc>
        <w:tc>
          <w:tcPr>
            <w:tcW w:w="1701" w:type="dxa"/>
            <w:tcBorders>
              <w:top w:val="nil"/>
              <w:left w:val="nil"/>
              <w:bottom w:val="single" w:sz="4" w:space="0" w:color="auto"/>
              <w:right w:val="single" w:sz="4" w:space="0" w:color="auto"/>
            </w:tcBorders>
            <w:shd w:val="clear" w:color="000000" w:fill="FFFFFF"/>
            <w:hideMark/>
          </w:tcPr>
          <w:p w14:paraId="579379B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 72 700 000</w:t>
            </w:r>
          </w:p>
        </w:tc>
        <w:tc>
          <w:tcPr>
            <w:tcW w:w="1134" w:type="dxa"/>
            <w:tcBorders>
              <w:top w:val="nil"/>
              <w:left w:val="nil"/>
              <w:bottom w:val="single" w:sz="4" w:space="0" w:color="auto"/>
              <w:right w:val="single" w:sz="4" w:space="0" w:color="auto"/>
            </w:tcBorders>
            <w:shd w:val="clear" w:color="000000" w:fill="FFFFFF"/>
            <w:hideMark/>
          </w:tcPr>
          <w:p w14:paraId="4FB0CE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VAS "Latvijas dzelzceļš", SM </w:t>
            </w:r>
          </w:p>
        </w:tc>
        <w:tc>
          <w:tcPr>
            <w:tcW w:w="850" w:type="dxa"/>
            <w:tcBorders>
              <w:top w:val="nil"/>
              <w:left w:val="nil"/>
              <w:bottom w:val="single" w:sz="4" w:space="0" w:color="auto"/>
              <w:right w:val="single" w:sz="4" w:space="0" w:color="auto"/>
            </w:tcBorders>
            <w:shd w:val="clear" w:color="auto" w:fill="auto"/>
            <w:hideMark/>
          </w:tcPr>
          <w:p w14:paraId="4CEA06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49083D3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5C21ED6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850" w:type="dxa"/>
            <w:tcBorders>
              <w:top w:val="nil"/>
              <w:left w:val="nil"/>
              <w:bottom w:val="single" w:sz="4" w:space="0" w:color="auto"/>
              <w:right w:val="single" w:sz="4" w:space="0" w:color="auto"/>
            </w:tcBorders>
            <w:shd w:val="clear" w:color="000000" w:fill="FFFFFF"/>
            <w:hideMark/>
          </w:tcPr>
          <w:p w14:paraId="1C9C80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3AEC15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inovācijas un infrastruktūra; 10. Mazināta nevienlīdzība; 11. Ilgtspējīgas pilsētas </w:t>
            </w:r>
            <w:r w:rsidRPr="00BF055E">
              <w:rPr>
                <w:rFonts w:eastAsia="Times New Roman" w:cs="Times New Roman"/>
                <w:sz w:val="18"/>
                <w:szCs w:val="18"/>
                <w:lang w:eastAsia="lv-LV"/>
              </w:rPr>
              <w:lastRenderedPageBreak/>
              <w:t>un kopienas</w:t>
            </w:r>
          </w:p>
        </w:tc>
      </w:tr>
      <w:tr w:rsidR="00BF055E" w:rsidRPr="00BF055E" w14:paraId="15229F10"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0CC032F2" w14:textId="77777777" w:rsidR="00BF055E" w:rsidRPr="00BF055E" w:rsidRDefault="00BF055E" w:rsidP="006357B3">
            <w:pPr>
              <w:spacing w:after="0" w:line="240" w:lineRule="auto"/>
              <w:ind w:firstLine="0"/>
              <w:jc w:val="left"/>
              <w:rPr>
                <w:rFonts w:eastAsia="Times New Roman" w:cs="Times New Roman"/>
                <w:sz w:val="18"/>
                <w:szCs w:val="18"/>
                <w:lang w:eastAsia="lv-LV"/>
              </w:rPr>
            </w:pPr>
            <w:proofErr w:type="spellStart"/>
            <w:r w:rsidRPr="00BF055E">
              <w:rPr>
                <w:rFonts w:eastAsia="Times New Roman" w:cs="Times New Roman"/>
                <w:sz w:val="18"/>
                <w:szCs w:val="18"/>
                <w:lang w:eastAsia="lv-LV"/>
              </w:rPr>
              <w:lastRenderedPageBreak/>
              <w:t>Bezemisijas</w:t>
            </w:r>
            <w:proofErr w:type="spellEnd"/>
            <w:r w:rsidRPr="00BF055E">
              <w:rPr>
                <w:rFonts w:eastAsia="Times New Roman" w:cs="Times New Roman"/>
                <w:sz w:val="18"/>
                <w:szCs w:val="18"/>
                <w:lang w:eastAsia="lv-LV"/>
              </w:rPr>
              <w:t xml:space="preserve"> bateriju akumulatoru vilcienu iegāde</w:t>
            </w:r>
          </w:p>
        </w:tc>
        <w:tc>
          <w:tcPr>
            <w:tcW w:w="1701" w:type="dxa"/>
            <w:tcBorders>
              <w:top w:val="nil"/>
              <w:left w:val="nil"/>
              <w:bottom w:val="single" w:sz="4" w:space="0" w:color="auto"/>
              <w:right w:val="single" w:sz="4" w:space="0" w:color="auto"/>
            </w:tcBorders>
            <w:shd w:val="clear" w:color="000000" w:fill="FFFFFF"/>
            <w:hideMark/>
          </w:tcPr>
          <w:p w14:paraId="446F14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Iegādāties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bateriju akumulatoru vilcienus, lai veicinātu ilgtspējīgu </w:t>
            </w:r>
            <w:proofErr w:type="spellStart"/>
            <w:r w:rsidRPr="00BF055E">
              <w:rPr>
                <w:rFonts w:eastAsia="Times New Roman" w:cs="Times New Roman"/>
                <w:sz w:val="18"/>
                <w:szCs w:val="18"/>
                <w:lang w:eastAsia="lv-LV"/>
              </w:rPr>
              <w:t>daudzveidu</w:t>
            </w:r>
            <w:proofErr w:type="spellEnd"/>
            <w:r w:rsidRPr="00BF055E">
              <w:rPr>
                <w:rFonts w:eastAsia="Times New Roman" w:cs="Times New Roman"/>
                <w:sz w:val="18"/>
                <w:szCs w:val="18"/>
                <w:lang w:eastAsia="lv-LV"/>
              </w:rPr>
              <w:t xml:space="preserve"> mobilitāti pilsētās</w:t>
            </w:r>
          </w:p>
        </w:tc>
        <w:tc>
          <w:tcPr>
            <w:tcW w:w="2127" w:type="dxa"/>
            <w:tcBorders>
              <w:top w:val="nil"/>
              <w:left w:val="nil"/>
              <w:bottom w:val="single" w:sz="4" w:space="0" w:color="auto"/>
              <w:right w:val="single" w:sz="4" w:space="0" w:color="auto"/>
            </w:tcBorders>
            <w:shd w:val="clear" w:color="000000" w:fill="FFFFFF"/>
            <w:hideMark/>
          </w:tcPr>
          <w:p w14:paraId="7483A07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Iepirkuma veikšana</w:t>
            </w:r>
            <w:r w:rsidRPr="00BF055E">
              <w:rPr>
                <w:rFonts w:eastAsia="Times New Roman" w:cs="Times New Roman"/>
                <w:sz w:val="18"/>
                <w:szCs w:val="18"/>
                <w:lang w:eastAsia="lv-LV"/>
              </w:rPr>
              <w:br/>
              <w:t>2) Inženiertehniska uzraudzība</w:t>
            </w:r>
            <w:r w:rsidRPr="00BF055E">
              <w:rPr>
                <w:rFonts w:eastAsia="Times New Roman" w:cs="Times New Roman"/>
                <w:sz w:val="18"/>
                <w:szCs w:val="18"/>
                <w:lang w:eastAsia="lv-LV"/>
              </w:rPr>
              <w:br/>
              <w:t xml:space="preserve">3) nodošana un ekspluatācija </w:t>
            </w:r>
          </w:p>
        </w:tc>
        <w:tc>
          <w:tcPr>
            <w:tcW w:w="992" w:type="dxa"/>
            <w:tcBorders>
              <w:top w:val="nil"/>
              <w:left w:val="nil"/>
              <w:bottom w:val="single" w:sz="4" w:space="0" w:color="auto"/>
              <w:right w:val="single" w:sz="4" w:space="0" w:color="auto"/>
            </w:tcBorders>
            <w:shd w:val="clear" w:color="000000" w:fill="FFFFFF"/>
            <w:hideMark/>
          </w:tcPr>
          <w:p w14:paraId="78AFEE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2025.-2029.</w:t>
            </w:r>
          </w:p>
        </w:tc>
        <w:tc>
          <w:tcPr>
            <w:tcW w:w="1701" w:type="dxa"/>
            <w:tcBorders>
              <w:top w:val="nil"/>
              <w:left w:val="nil"/>
              <w:bottom w:val="single" w:sz="4" w:space="0" w:color="auto"/>
              <w:right w:val="single" w:sz="4" w:space="0" w:color="auto"/>
            </w:tcBorders>
            <w:shd w:val="clear" w:color="auto" w:fill="auto"/>
            <w:hideMark/>
          </w:tcPr>
          <w:p w14:paraId="105F00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21 287 963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Eiropas Reģionālās attīstības fonda finansējums – 18 094 768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nacionālais finansējums – 3 193 195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134" w:type="dxa"/>
            <w:tcBorders>
              <w:top w:val="nil"/>
              <w:left w:val="nil"/>
              <w:bottom w:val="single" w:sz="4" w:space="0" w:color="auto"/>
              <w:right w:val="single" w:sz="4" w:space="0" w:color="auto"/>
            </w:tcBorders>
            <w:shd w:val="clear" w:color="000000" w:fill="FFFFFF"/>
            <w:hideMark/>
          </w:tcPr>
          <w:p w14:paraId="27B506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SM</w:t>
            </w:r>
          </w:p>
        </w:tc>
        <w:tc>
          <w:tcPr>
            <w:tcW w:w="850" w:type="dxa"/>
            <w:tcBorders>
              <w:top w:val="nil"/>
              <w:left w:val="nil"/>
              <w:bottom w:val="single" w:sz="4" w:space="0" w:color="auto"/>
              <w:right w:val="single" w:sz="4" w:space="0" w:color="auto"/>
            </w:tcBorders>
            <w:shd w:val="clear" w:color="000000" w:fill="FFFFFF"/>
            <w:hideMark/>
          </w:tcPr>
          <w:p w14:paraId="66B535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0E0AB7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561ECCF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850" w:type="dxa"/>
            <w:tcBorders>
              <w:top w:val="nil"/>
              <w:left w:val="nil"/>
              <w:bottom w:val="single" w:sz="4" w:space="0" w:color="auto"/>
              <w:right w:val="single" w:sz="4" w:space="0" w:color="auto"/>
            </w:tcBorders>
            <w:shd w:val="clear" w:color="000000" w:fill="FFFFFF"/>
            <w:hideMark/>
          </w:tcPr>
          <w:p w14:paraId="76A93C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55756E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13. Rīcība klimata jomā</w:t>
            </w:r>
          </w:p>
        </w:tc>
      </w:tr>
      <w:tr w:rsidR="00BF055E" w:rsidRPr="00BF055E" w14:paraId="56D6893A"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6C3CEA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Vienotā sabiedriskā transporta biļešu informācijas sistēmas attīstība</w:t>
            </w:r>
          </w:p>
        </w:tc>
        <w:tc>
          <w:tcPr>
            <w:tcW w:w="1701" w:type="dxa"/>
            <w:tcBorders>
              <w:top w:val="nil"/>
              <w:left w:val="nil"/>
              <w:bottom w:val="single" w:sz="4" w:space="0" w:color="auto"/>
              <w:right w:val="single" w:sz="4" w:space="0" w:color="auto"/>
            </w:tcBorders>
            <w:shd w:val="clear" w:color="000000" w:fill="FFFFFF"/>
            <w:hideMark/>
          </w:tcPr>
          <w:p w14:paraId="7800DB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Pilnveidot Vienoto sabiedriskā transporta biļešu informācijas sistēmas funkcionalitāti, lai tā:</w:t>
            </w:r>
            <w:r w:rsidRPr="00BF055E">
              <w:rPr>
                <w:rFonts w:eastAsia="Times New Roman" w:cs="Times New Roman"/>
                <w:sz w:val="18"/>
                <w:szCs w:val="18"/>
                <w:lang w:eastAsia="lv-LV"/>
              </w:rPr>
              <w:br/>
              <w:t xml:space="preserve">- atbilstu modulāra tehniskā risinājuma un </w:t>
            </w:r>
            <w:proofErr w:type="spellStart"/>
            <w:r w:rsidRPr="00BF055E">
              <w:rPr>
                <w:rFonts w:eastAsia="Times New Roman" w:cs="Times New Roman"/>
                <w:sz w:val="18"/>
                <w:szCs w:val="18"/>
                <w:lang w:eastAsia="lv-LV"/>
              </w:rPr>
              <w:t>mikroservisu</w:t>
            </w:r>
            <w:proofErr w:type="spellEnd"/>
            <w:r w:rsidRPr="00BF055E">
              <w:rPr>
                <w:rFonts w:eastAsia="Times New Roman" w:cs="Times New Roman"/>
                <w:sz w:val="18"/>
                <w:szCs w:val="18"/>
                <w:lang w:eastAsia="lv-LV"/>
              </w:rPr>
              <w:t xml:space="preserve"> arhitektūras principiem,</w:t>
            </w:r>
            <w:r w:rsidRPr="00BF055E">
              <w:rPr>
                <w:rFonts w:eastAsia="Times New Roman" w:cs="Times New Roman"/>
                <w:sz w:val="18"/>
                <w:szCs w:val="18"/>
                <w:lang w:eastAsia="lv-LV"/>
              </w:rPr>
              <w:br/>
              <w:t>- tiktu pielāgota principam “mobilitāte kā pakalpojums”,</w:t>
            </w:r>
            <w:r w:rsidRPr="00BF055E">
              <w:rPr>
                <w:rFonts w:eastAsia="Times New Roman" w:cs="Times New Roman"/>
                <w:sz w:val="18"/>
                <w:szCs w:val="18"/>
                <w:lang w:eastAsia="lv-LV"/>
              </w:rPr>
              <w:br/>
              <w:t>- atbilstu un būtu integrēta ar visiem iespējamiem transporta veidiem,</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 tiktu pielāgota ar tajā esošo datu atkārtotas izmantošanas pakalpojumu komponentēm un Latvijas</w:t>
            </w:r>
            <w:r w:rsidRPr="00BF055E">
              <w:rPr>
                <w:rFonts w:eastAsia="Times New Roman" w:cs="Times New Roman"/>
                <w:sz w:val="18"/>
                <w:szCs w:val="18"/>
                <w:lang w:eastAsia="lv-LV"/>
              </w:rPr>
              <w:br/>
              <w:t>transporta nozares nacionālā piekļuves punkta prasībām.</w:t>
            </w:r>
          </w:p>
        </w:tc>
        <w:tc>
          <w:tcPr>
            <w:tcW w:w="2127" w:type="dxa"/>
            <w:tcBorders>
              <w:top w:val="nil"/>
              <w:left w:val="nil"/>
              <w:bottom w:val="single" w:sz="4" w:space="0" w:color="auto"/>
              <w:right w:val="single" w:sz="4" w:space="0" w:color="auto"/>
            </w:tcBorders>
            <w:shd w:val="clear" w:color="000000" w:fill="FFFFFF"/>
            <w:hideMark/>
          </w:tcPr>
          <w:p w14:paraId="53FF26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Iepirkuma veikšana</w:t>
            </w:r>
            <w:r w:rsidRPr="00BF055E">
              <w:rPr>
                <w:rFonts w:eastAsia="Times New Roman" w:cs="Times New Roman"/>
                <w:sz w:val="18"/>
                <w:szCs w:val="18"/>
                <w:lang w:eastAsia="lv-LV"/>
              </w:rPr>
              <w:br/>
              <w:t>2) IS pilnveide</w:t>
            </w:r>
            <w:r w:rsidRPr="00BF055E">
              <w:rPr>
                <w:rFonts w:eastAsia="Times New Roman" w:cs="Times New Roman"/>
                <w:sz w:val="18"/>
                <w:szCs w:val="18"/>
                <w:lang w:eastAsia="lv-LV"/>
              </w:rPr>
              <w:br/>
              <w:t>3) Integrāciju un e-pakalpojumu pilnveide</w:t>
            </w:r>
            <w:r w:rsidRPr="00BF055E">
              <w:rPr>
                <w:rFonts w:eastAsia="Times New Roman" w:cs="Times New Roman"/>
                <w:sz w:val="18"/>
                <w:szCs w:val="18"/>
                <w:lang w:eastAsia="lv-LV"/>
              </w:rPr>
              <w:br/>
              <w:t>4) Vienotas biļetes principa ieviešana</w:t>
            </w:r>
          </w:p>
        </w:tc>
        <w:tc>
          <w:tcPr>
            <w:tcW w:w="992" w:type="dxa"/>
            <w:tcBorders>
              <w:top w:val="nil"/>
              <w:left w:val="nil"/>
              <w:bottom w:val="single" w:sz="4" w:space="0" w:color="auto"/>
              <w:right w:val="single" w:sz="4" w:space="0" w:color="auto"/>
            </w:tcBorders>
            <w:shd w:val="clear" w:color="000000" w:fill="FFFFFF"/>
            <w:hideMark/>
          </w:tcPr>
          <w:p w14:paraId="7E680F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2025-2028</w:t>
            </w:r>
          </w:p>
        </w:tc>
        <w:tc>
          <w:tcPr>
            <w:tcW w:w="1701" w:type="dxa"/>
            <w:tcBorders>
              <w:top w:val="nil"/>
              <w:left w:val="nil"/>
              <w:bottom w:val="single" w:sz="4" w:space="0" w:color="auto"/>
              <w:right w:val="single" w:sz="4" w:space="0" w:color="auto"/>
            </w:tcBorders>
            <w:shd w:val="clear" w:color="auto" w:fill="auto"/>
            <w:hideMark/>
          </w:tcPr>
          <w:p w14:paraId="792FE6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3 500 000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Eiropas Reģionālās attīstības fonda finansējums – 2 000 000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nacionālais finansējums – 1 500 000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134" w:type="dxa"/>
            <w:tcBorders>
              <w:top w:val="nil"/>
              <w:left w:val="nil"/>
              <w:bottom w:val="single" w:sz="4" w:space="0" w:color="auto"/>
              <w:right w:val="single" w:sz="4" w:space="0" w:color="auto"/>
            </w:tcBorders>
            <w:shd w:val="clear" w:color="000000" w:fill="FFFFFF"/>
            <w:hideMark/>
          </w:tcPr>
          <w:p w14:paraId="3DA4E2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SM</w:t>
            </w:r>
          </w:p>
        </w:tc>
        <w:tc>
          <w:tcPr>
            <w:tcW w:w="850" w:type="dxa"/>
            <w:tcBorders>
              <w:top w:val="nil"/>
              <w:left w:val="nil"/>
              <w:bottom w:val="single" w:sz="4" w:space="0" w:color="auto"/>
              <w:right w:val="single" w:sz="4" w:space="0" w:color="auto"/>
            </w:tcBorders>
            <w:shd w:val="clear" w:color="000000" w:fill="FFFFFF"/>
            <w:hideMark/>
          </w:tcPr>
          <w:p w14:paraId="799B309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1A513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44FA9F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850" w:type="dxa"/>
            <w:tcBorders>
              <w:top w:val="nil"/>
              <w:left w:val="nil"/>
              <w:bottom w:val="single" w:sz="4" w:space="0" w:color="auto"/>
              <w:right w:val="single" w:sz="4" w:space="0" w:color="auto"/>
            </w:tcBorders>
            <w:shd w:val="clear" w:color="000000" w:fill="FFFFFF"/>
            <w:hideMark/>
          </w:tcPr>
          <w:p w14:paraId="5DC3E0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3E8D89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189A2E36"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7F5B6C6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Transporta enerģijas </w:t>
            </w:r>
            <w:proofErr w:type="spellStart"/>
            <w:r w:rsidRPr="00BF055E">
              <w:rPr>
                <w:rFonts w:eastAsia="Times New Roman" w:cs="Times New Roman"/>
                <w:sz w:val="18"/>
                <w:szCs w:val="18"/>
                <w:lang w:eastAsia="lv-LV"/>
              </w:rPr>
              <w:t>zaļināšana</w:t>
            </w:r>
            <w:proofErr w:type="spellEnd"/>
          </w:p>
        </w:tc>
        <w:tc>
          <w:tcPr>
            <w:tcW w:w="1701" w:type="dxa"/>
            <w:tcBorders>
              <w:top w:val="nil"/>
              <w:left w:val="nil"/>
              <w:bottom w:val="single" w:sz="4" w:space="0" w:color="auto"/>
              <w:right w:val="single" w:sz="4" w:space="0" w:color="auto"/>
            </w:tcBorders>
            <w:shd w:val="clear" w:color="000000" w:fill="FFFFFF"/>
            <w:hideMark/>
          </w:tcPr>
          <w:p w14:paraId="7159BE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Fosilās degvielas importa diversifikācija;</w:t>
            </w:r>
            <w:r w:rsidRPr="00BF055E">
              <w:rPr>
                <w:rFonts w:eastAsia="Times New Roman" w:cs="Times New Roman"/>
                <w:sz w:val="18"/>
                <w:szCs w:val="18"/>
                <w:lang w:eastAsia="lv-LV"/>
              </w:rPr>
              <w:br/>
              <w:t>Atkarības mazināšana no fosilās degvielas</w:t>
            </w:r>
          </w:p>
        </w:tc>
        <w:tc>
          <w:tcPr>
            <w:tcW w:w="2127" w:type="dxa"/>
            <w:tcBorders>
              <w:top w:val="nil"/>
              <w:left w:val="nil"/>
              <w:bottom w:val="single" w:sz="4" w:space="0" w:color="auto"/>
              <w:right w:val="single" w:sz="4" w:space="0" w:color="auto"/>
            </w:tcBorders>
            <w:shd w:val="clear" w:color="000000" w:fill="FFFFFF"/>
            <w:hideMark/>
          </w:tcPr>
          <w:p w14:paraId="1AE17E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Tiesiskā ietvara izstrāde un pieņemšana (Transporta enerģijas likums un tam pakārtotie MK noteikumi) - 2024.-2025.g.;</w:t>
            </w:r>
            <w:r w:rsidRPr="00BF055E">
              <w:rPr>
                <w:rFonts w:eastAsia="Times New Roman" w:cs="Times New Roman"/>
                <w:sz w:val="18"/>
                <w:szCs w:val="18"/>
                <w:lang w:eastAsia="lv-LV"/>
              </w:rPr>
              <w:br/>
              <w:t xml:space="preserve">2.) MK 2021. gada 21. decembra noteikumi Nr. 896 "Emisijas kvotu izsolīšanas instrumenta finansēto projektu atklāta konkursa "Siltumnīcefekta gāzu emisijas samazināšana transporta sektorā – atbalsts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un </w:t>
            </w:r>
            <w:proofErr w:type="spellStart"/>
            <w:r w:rsidRPr="00BF055E">
              <w:rPr>
                <w:rFonts w:eastAsia="Times New Roman" w:cs="Times New Roman"/>
                <w:sz w:val="18"/>
                <w:szCs w:val="18"/>
                <w:lang w:eastAsia="lv-LV"/>
              </w:rPr>
              <w:t>mazemisiju</w:t>
            </w:r>
            <w:proofErr w:type="spellEnd"/>
            <w:r w:rsidRPr="00BF055E">
              <w:rPr>
                <w:rFonts w:eastAsia="Times New Roman" w:cs="Times New Roman"/>
                <w:sz w:val="18"/>
                <w:szCs w:val="18"/>
                <w:lang w:eastAsia="lv-LV"/>
              </w:rPr>
              <w:t xml:space="preserve"> transportlīdzekļu iegādei" nolikums" - konkursa ietvaros atbalstāmo aktivitāšu īstenošana līdz 2024. gada 31. decembrim vai kamēr ir pieejams konkursa ietvaros noteiktais finansējums;</w:t>
            </w:r>
            <w:r w:rsidRPr="00BF055E">
              <w:rPr>
                <w:rFonts w:eastAsia="Times New Roman" w:cs="Times New Roman"/>
                <w:sz w:val="18"/>
                <w:szCs w:val="18"/>
                <w:lang w:eastAsia="lv-LV"/>
              </w:rPr>
              <w:br/>
              <w:t xml:space="preserve">3.) MK noteikumu "Modernizācijas fonda finansēto projektu atklāta </w:t>
            </w:r>
            <w:r w:rsidRPr="00BF055E">
              <w:rPr>
                <w:rFonts w:eastAsia="Times New Roman" w:cs="Times New Roman"/>
                <w:sz w:val="18"/>
                <w:szCs w:val="18"/>
                <w:lang w:eastAsia="lv-LV"/>
              </w:rPr>
              <w:lastRenderedPageBreak/>
              <w:t>konkursa "Energoefektivitātes paaugstināšana transporta sektorā – atbalsts elektromobiļu un to uzlādes infrastruktūras ieviešanai" nolikums" sagatavošana, MK noteikumu apstiprināšana - 2024. gada 3. ceturksnis, projektu iesniegumu atlases izsludināšana - 2024. gada 4. ceturksnis, konkursa ietvaros apstiprināto projektu īstenošanas termiņš - atbilstoši katrā noslēgtajā projekta līgumā noteiktajam;</w:t>
            </w:r>
          </w:p>
        </w:tc>
        <w:tc>
          <w:tcPr>
            <w:tcW w:w="992" w:type="dxa"/>
            <w:tcBorders>
              <w:top w:val="nil"/>
              <w:left w:val="nil"/>
              <w:bottom w:val="single" w:sz="4" w:space="0" w:color="auto"/>
              <w:right w:val="single" w:sz="4" w:space="0" w:color="auto"/>
            </w:tcBorders>
            <w:shd w:val="clear" w:color="000000" w:fill="FFFFFF"/>
            <w:hideMark/>
          </w:tcPr>
          <w:p w14:paraId="57BBA00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2024.-2027.</w:t>
            </w:r>
          </w:p>
        </w:tc>
        <w:tc>
          <w:tcPr>
            <w:tcW w:w="1701" w:type="dxa"/>
            <w:tcBorders>
              <w:top w:val="nil"/>
              <w:left w:val="nil"/>
              <w:bottom w:val="single" w:sz="4" w:space="0" w:color="auto"/>
              <w:right w:val="single" w:sz="4" w:space="0" w:color="auto"/>
            </w:tcBorders>
            <w:shd w:val="clear" w:color="auto" w:fill="auto"/>
            <w:hideMark/>
          </w:tcPr>
          <w:p w14:paraId="53F6AE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 konkursa ietvaros pieejamais kopējais finanšu instrumenta finansējums (ieskaitot jau izmaksāto finansējumu atbilstoši noslēgtajiem projektu līgumiem) - 15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 valsts budžets (EKII)</w:t>
            </w:r>
            <w:r w:rsidRPr="00BF055E">
              <w:rPr>
                <w:rFonts w:eastAsia="Times New Roman" w:cs="Times New Roman"/>
                <w:sz w:val="18"/>
                <w:szCs w:val="18"/>
                <w:lang w:eastAsia="lv-LV"/>
              </w:rPr>
              <w:br/>
              <w:t xml:space="preserve">3.) 5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1134" w:type="dxa"/>
            <w:tcBorders>
              <w:top w:val="nil"/>
              <w:left w:val="nil"/>
              <w:bottom w:val="single" w:sz="4" w:space="0" w:color="auto"/>
              <w:right w:val="single" w:sz="4" w:space="0" w:color="auto"/>
            </w:tcBorders>
            <w:shd w:val="clear" w:color="000000" w:fill="FFFFFF"/>
            <w:hideMark/>
          </w:tcPr>
          <w:p w14:paraId="399C66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KEM</w:t>
            </w:r>
          </w:p>
        </w:tc>
        <w:tc>
          <w:tcPr>
            <w:tcW w:w="850" w:type="dxa"/>
            <w:tcBorders>
              <w:top w:val="nil"/>
              <w:left w:val="nil"/>
              <w:bottom w:val="single" w:sz="4" w:space="0" w:color="auto"/>
              <w:right w:val="single" w:sz="4" w:space="0" w:color="auto"/>
            </w:tcBorders>
            <w:shd w:val="clear" w:color="000000" w:fill="FFFFFF"/>
            <w:hideMark/>
          </w:tcPr>
          <w:p w14:paraId="40135F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51" w:type="dxa"/>
            <w:tcBorders>
              <w:top w:val="nil"/>
              <w:left w:val="nil"/>
              <w:bottom w:val="single" w:sz="4" w:space="0" w:color="auto"/>
              <w:right w:val="single" w:sz="4" w:space="0" w:color="auto"/>
            </w:tcBorders>
            <w:shd w:val="clear" w:color="000000" w:fill="FFFFFF"/>
            <w:hideMark/>
          </w:tcPr>
          <w:p w14:paraId="4248AE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795A7C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 3. Enerģētikas drošība</w:t>
            </w:r>
          </w:p>
        </w:tc>
        <w:tc>
          <w:tcPr>
            <w:tcW w:w="850" w:type="dxa"/>
            <w:tcBorders>
              <w:top w:val="nil"/>
              <w:left w:val="nil"/>
              <w:bottom w:val="single" w:sz="4" w:space="0" w:color="auto"/>
              <w:right w:val="single" w:sz="4" w:space="0" w:color="auto"/>
            </w:tcBorders>
            <w:shd w:val="clear" w:color="000000" w:fill="FFFFFF"/>
            <w:hideMark/>
          </w:tcPr>
          <w:p w14:paraId="1F61501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734AD35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w:t>
            </w:r>
          </w:p>
        </w:tc>
      </w:tr>
      <w:tr w:rsidR="00BF055E" w:rsidRPr="00BF055E" w14:paraId="2AE5A0E6"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6DEB884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Pašvaldību funkciju īstenošanai un pakalpojumu sniegšanai nepieciešamo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transportlīdzekļu iegāde</w:t>
            </w:r>
          </w:p>
        </w:tc>
        <w:tc>
          <w:tcPr>
            <w:tcW w:w="1701" w:type="dxa"/>
            <w:tcBorders>
              <w:top w:val="nil"/>
              <w:left w:val="nil"/>
              <w:bottom w:val="single" w:sz="4" w:space="0" w:color="auto"/>
              <w:right w:val="single" w:sz="4" w:space="0" w:color="auto"/>
            </w:tcBorders>
            <w:shd w:val="clear" w:color="auto" w:fill="auto"/>
            <w:hideMark/>
          </w:tcPr>
          <w:p w14:paraId="7FD83AF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nevienlīdzības mazināšanā, lai uzlabotu pašvaldību funkciju īstenošanu un sniegtos pakalpojumus, galveno uzmanību pievēršot izglītojamo mobilitātei un vienlaikus veicinot skolu tīkla sasniedzamību, kā arī - lai veicinātu publiskā sektora transporta </w:t>
            </w:r>
            <w:proofErr w:type="spellStart"/>
            <w:r w:rsidRPr="00BF055E">
              <w:rPr>
                <w:rFonts w:eastAsia="Times New Roman" w:cs="Times New Roman"/>
                <w:sz w:val="18"/>
                <w:szCs w:val="18"/>
                <w:lang w:eastAsia="lv-LV"/>
              </w:rPr>
              <w:t>zaļināšanu</w:t>
            </w:r>
            <w:proofErr w:type="spellEnd"/>
            <w:r w:rsidRPr="00BF055E">
              <w:rPr>
                <w:rFonts w:eastAsia="Times New Roman" w:cs="Times New Roman"/>
                <w:sz w:val="18"/>
                <w:szCs w:val="18"/>
                <w:lang w:eastAsia="lv-LV"/>
              </w:rPr>
              <w:t xml:space="preserve"> Latvijā, investējot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lastRenderedPageBreak/>
              <w:t>transportlīdzekļos.</w:t>
            </w:r>
            <w:r w:rsidRPr="00BF055E">
              <w:rPr>
                <w:rFonts w:eastAsia="Times New Roman" w:cs="Times New Roman"/>
                <w:sz w:val="18"/>
                <w:szCs w:val="18"/>
                <w:lang w:eastAsia="lv-LV"/>
              </w:rPr>
              <w:br/>
              <w:t>Sasniedzamie mērķi un atskaites punkti:</w:t>
            </w:r>
            <w:r w:rsidRPr="00BF055E">
              <w:rPr>
                <w:rFonts w:eastAsia="Times New Roman" w:cs="Times New Roman"/>
                <w:sz w:val="18"/>
                <w:szCs w:val="18"/>
                <w:lang w:eastAsia="lv-LV"/>
              </w:rPr>
              <w:br/>
              <w:t xml:space="preserve">1) līdz 31.12.2022. vietējām pašvaldībām ir pieņemta atbalsta programma </w:t>
            </w:r>
            <w:proofErr w:type="spellStart"/>
            <w:r w:rsidRPr="00BF055E">
              <w:rPr>
                <w:rFonts w:eastAsia="Times New Roman" w:cs="Times New Roman"/>
                <w:sz w:val="18"/>
                <w:szCs w:val="18"/>
                <w:lang w:eastAsia="lv-LV"/>
              </w:rPr>
              <w:t>elektroautobusu</w:t>
            </w:r>
            <w:proofErr w:type="spellEnd"/>
            <w:r w:rsidRPr="00BF055E">
              <w:rPr>
                <w:rFonts w:eastAsia="Times New Roman" w:cs="Times New Roman"/>
                <w:sz w:val="18"/>
                <w:szCs w:val="18"/>
                <w:lang w:eastAsia="lv-LV"/>
              </w:rPr>
              <w:t xml:space="preserve"> iegādei pašvaldību funkciju un saistīto pakalpojumu veikšanai;</w:t>
            </w:r>
            <w:r w:rsidRPr="00BF055E">
              <w:rPr>
                <w:rFonts w:eastAsia="Times New Roman" w:cs="Times New Roman"/>
                <w:sz w:val="18"/>
                <w:szCs w:val="18"/>
                <w:lang w:eastAsia="lv-LV"/>
              </w:rPr>
              <w:br/>
              <w:t xml:space="preserve">2) līdz 31.12.2024. noslēgti civiltiesiskie līgumi vai vienošanās par projektu īstenošanas tiesību piešķiršanu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transportlīdzekļu iegādei vietējo pašvaldību funkciju veikšanai un pārvaldes uzdevumu izpildei par kopējo vērtību vismaz 8 300 000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3) līdz 31.12.2025.iegādāti 15 elektriskie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transportlīdzekļi un veikta to piegāde pašvaldībām kā finansējuma saņēmējām izglītojamo pašvaldības transportam.</w:t>
            </w:r>
          </w:p>
        </w:tc>
        <w:tc>
          <w:tcPr>
            <w:tcW w:w="2127" w:type="dxa"/>
            <w:tcBorders>
              <w:top w:val="nil"/>
              <w:left w:val="nil"/>
              <w:bottom w:val="single" w:sz="4" w:space="0" w:color="auto"/>
              <w:right w:val="single" w:sz="4" w:space="0" w:color="auto"/>
            </w:tcBorders>
            <w:shd w:val="clear" w:color="000000" w:fill="FFFFFF"/>
            <w:hideMark/>
          </w:tcPr>
          <w:p w14:paraId="255B56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(25.10.2022.);</w:t>
            </w:r>
            <w:r w:rsidRPr="00BF055E">
              <w:rPr>
                <w:rFonts w:eastAsia="Times New Roman" w:cs="Times New Roman"/>
                <w:sz w:val="18"/>
                <w:szCs w:val="18"/>
                <w:lang w:eastAsia="lv-LV"/>
              </w:rPr>
              <w:br/>
              <w:t>2) atklātas atlases (21.11.2022.-28.02.2023.) un papildu uzsaukums (28.03.2023.-28.06.2023.) īstenošana;</w:t>
            </w:r>
            <w:r w:rsidRPr="00BF055E">
              <w:rPr>
                <w:rFonts w:eastAsia="Times New Roman" w:cs="Times New Roman"/>
                <w:sz w:val="18"/>
                <w:szCs w:val="18"/>
                <w:lang w:eastAsia="lv-LV"/>
              </w:rPr>
              <w:br/>
              <w:t>3) līgumu slēgšana un projektu īstenošana.</w:t>
            </w:r>
          </w:p>
        </w:tc>
        <w:tc>
          <w:tcPr>
            <w:tcW w:w="992" w:type="dxa"/>
            <w:tcBorders>
              <w:top w:val="nil"/>
              <w:left w:val="nil"/>
              <w:bottom w:val="single" w:sz="4" w:space="0" w:color="auto"/>
              <w:right w:val="single" w:sz="4" w:space="0" w:color="auto"/>
            </w:tcBorders>
            <w:shd w:val="clear" w:color="000000" w:fill="FFFFFF"/>
            <w:hideMark/>
          </w:tcPr>
          <w:p w14:paraId="3C0D545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01.02.2020.-31.12.2025.</w:t>
            </w:r>
          </w:p>
        </w:tc>
        <w:tc>
          <w:tcPr>
            <w:tcW w:w="1701" w:type="dxa"/>
            <w:tcBorders>
              <w:top w:val="nil"/>
              <w:left w:val="nil"/>
              <w:bottom w:val="single" w:sz="4" w:space="0" w:color="auto"/>
              <w:right w:val="single" w:sz="4" w:space="0" w:color="auto"/>
            </w:tcBorders>
            <w:shd w:val="clear" w:color="000000" w:fill="FFFFFF"/>
            <w:hideMark/>
          </w:tcPr>
          <w:p w14:paraId="6669D25D" w14:textId="4AE21E95"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8,79 milj. </w:t>
            </w:r>
            <w:r w:rsidR="00BF53B6">
              <w:rPr>
                <w:rFonts w:eastAsia="Times New Roman" w:cs="Times New Roman"/>
                <w:sz w:val="18"/>
                <w:szCs w:val="18"/>
                <w:lang w:eastAsia="lv-LV"/>
              </w:rPr>
              <w:t>ANM</w:t>
            </w:r>
          </w:p>
        </w:tc>
        <w:tc>
          <w:tcPr>
            <w:tcW w:w="1134" w:type="dxa"/>
            <w:tcBorders>
              <w:top w:val="nil"/>
              <w:left w:val="nil"/>
              <w:bottom w:val="single" w:sz="4" w:space="0" w:color="auto"/>
              <w:right w:val="single" w:sz="4" w:space="0" w:color="auto"/>
            </w:tcBorders>
            <w:shd w:val="clear" w:color="000000" w:fill="FFFFFF"/>
            <w:hideMark/>
          </w:tcPr>
          <w:p w14:paraId="04B8398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auto" w:fill="auto"/>
            <w:hideMark/>
          </w:tcPr>
          <w:p w14:paraId="2A84315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r w:rsidRPr="00BF055E">
              <w:rPr>
                <w:rFonts w:eastAsia="Times New Roman" w:cs="Times New Roman"/>
                <w:sz w:val="18"/>
                <w:szCs w:val="18"/>
                <w:lang w:eastAsia="lv-LV"/>
              </w:rPr>
              <w:br/>
              <w:t>(CID pielikumā - investīcija 3.1.1.6.i zem "KOMPONENTS NR. 3 NEVIENLĪDZĪBAS MAZINĀŠANA")</w:t>
            </w:r>
          </w:p>
        </w:tc>
        <w:tc>
          <w:tcPr>
            <w:tcW w:w="851" w:type="dxa"/>
            <w:tcBorders>
              <w:top w:val="nil"/>
              <w:left w:val="nil"/>
              <w:bottom w:val="single" w:sz="4" w:space="0" w:color="auto"/>
              <w:right w:val="single" w:sz="4" w:space="0" w:color="auto"/>
            </w:tcBorders>
            <w:shd w:val="clear" w:color="000000" w:fill="FFFFFF"/>
            <w:hideMark/>
          </w:tcPr>
          <w:p w14:paraId="2C6662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6ED124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 3. Enerģētikas drošība</w:t>
            </w:r>
          </w:p>
        </w:tc>
        <w:tc>
          <w:tcPr>
            <w:tcW w:w="850" w:type="dxa"/>
            <w:tcBorders>
              <w:top w:val="nil"/>
              <w:left w:val="nil"/>
              <w:bottom w:val="single" w:sz="4" w:space="0" w:color="auto"/>
              <w:right w:val="single" w:sz="4" w:space="0" w:color="auto"/>
            </w:tcBorders>
            <w:shd w:val="clear" w:color="000000" w:fill="FFFFFF"/>
            <w:hideMark/>
          </w:tcPr>
          <w:p w14:paraId="686B650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7B0FDED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13. Rīcība klimata jomā</w:t>
            </w:r>
          </w:p>
        </w:tc>
      </w:tr>
      <w:tr w:rsidR="00BF055E" w:rsidRPr="00BF055E" w14:paraId="660059FF" w14:textId="77777777" w:rsidTr="003B1594">
        <w:trPr>
          <w:trHeight w:val="20"/>
        </w:trPr>
        <w:tc>
          <w:tcPr>
            <w:tcW w:w="2263" w:type="dxa"/>
            <w:tcBorders>
              <w:top w:val="nil"/>
              <w:left w:val="single" w:sz="4" w:space="0" w:color="auto"/>
              <w:bottom w:val="single" w:sz="4" w:space="0" w:color="auto"/>
              <w:right w:val="single" w:sz="4" w:space="0" w:color="auto"/>
            </w:tcBorders>
            <w:shd w:val="clear" w:color="000000" w:fill="FFFFFF"/>
            <w:hideMark/>
          </w:tcPr>
          <w:p w14:paraId="465A5E83" w14:textId="77777777" w:rsidR="00BF055E" w:rsidRPr="00BF055E" w:rsidRDefault="00BF055E" w:rsidP="006357B3">
            <w:pPr>
              <w:spacing w:after="0" w:line="240" w:lineRule="auto"/>
              <w:ind w:firstLine="0"/>
              <w:jc w:val="left"/>
              <w:rPr>
                <w:rFonts w:eastAsia="Times New Roman" w:cs="Times New Roman"/>
                <w:sz w:val="18"/>
                <w:szCs w:val="18"/>
                <w:lang w:eastAsia="lv-LV"/>
              </w:rPr>
            </w:pPr>
            <w:proofErr w:type="spellStart"/>
            <w:r w:rsidRPr="00BF055E">
              <w:rPr>
                <w:rFonts w:eastAsia="Times New Roman" w:cs="Times New Roman"/>
                <w:sz w:val="18"/>
                <w:szCs w:val="18"/>
                <w:lang w:eastAsia="lv-LV"/>
              </w:rPr>
              <w:lastRenderedPageBreak/>
              <w:t>Bezemisiju</w:t>
            </w:r>
            <w:proofErr w:type="spellEnd"/>
            <w:r w:rsidRPr="00BF055E">
              <w:rPr>
                <w:rFonts w:eastAsia="Times New Roman" w:cs="Times New Roman"/>
                <w:sz w:val="18"/>
                <w:szCs w:val="18"/>
                <w:lang w:eastAsia="lv-LV"/>
              </w:rPr>
              <w:t xml:space="preserve"> transportlīdzekļu izmantošanas veicināšana pašvaldībās (Programma (TPTP)</w:t>
            </w:r>
            <w:r w:rsidRPr="00BF055E">
              <w:rPr>
                <w:rFonts w:eastAsia="Times New Roman" w:cs="Times New Roman"/>
                <w:sz w:val="18"/>
                <w:szCs w:val="18"/>
                <w:lang w:eastAsia="lv-LV"/>
              </w:rPr>
              <w:br/>
              <w:t>6.1.1.6. (bez elastības finansējuma rādītājos un finansēs))</w:t>
            </w:r>
          </w:p>
        </w:tc>
        <w:tc>
          <w:tcPr>
            <w:tcW w:w="1701" w:type="dxa"/>
            <w:tcBorders>
              <w:top w:val="nil"/>
              <w:left w:val="nil"/>
              <w:bottom w:val="single" w:sz="4" w:space="0" w:color="auto"/>
              <w:right w:val="single" w:sz="4" w:space="0" w:color="auto"/>
            </w:tcBorders>
            <w:shd w:val="clear" w:color="000000" w:fill="FFFFFF"/>
            <w:hideMark/>
          </w:tcPr>
          <w:p w14:paraId="13E8A1F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pašvaldībām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transportlīdzekļu iegādes veicināšanai, veicinot pāreju uz </w:t>
            </w:r>
            <w:proofErr w:type="spellStart"/>
            <w:r w:rsidRPr="00BF055E">
              <w:rPr>
                <w:rFonts w:eastAsia="Times New Roman" w:cs="Times New Roman"/>
                <w:sz w:val="18"/>
                <w:szCs w:val="18"/>
                <w:lang w:eastAsia="lv-LV"/>
              </w:rPr>
              <w:t>klimatneitrālu</w:t>
            </w:r>
            <w:proofErr w:type="spellEnd"/>
            <w:r w:rsidRPr="00BF055E">
              <w:rPr>
                <w:rFonts w:eastAsia="Times New Roman" w:cs="Times New Roman"/>
                <w:sz w:val="18"/>
                <w:szCs w:val="18"/>
                <w:lang w:eastAsia="lv-LV"/>
              </w:rPr>
              <w:t xml:space="preserve"> ekonomiku.</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 xml:space="preserve">1) iegādāti vismaz 35 </w:t>
            </w:r>
            <w:proofErr w:type="spellStart"/>
            <w:r w:rsidRPr="00BF055E">
              <w:rPr>
                <w:rFonts w:eastAsia="Times New Roman" w:cs="Times New Roman"/>
                <w:sz w:val="18"/>
                <w:szCs w:val="18"/>
                <w:lang w:eastAsia="lv-LV"/>
              </w:rPr>
              <w:t>bezemisiju</w:t>
            </w:r>
            <w:proofErr w:type="spellEnd"/>
            <w:r w:rsidRPr="00BF055E">
              <w:rPr>
                <w:rFonts w:eastAsia="Times New Roman" w:cs="Times New Roman"/>
                <w:sz w:val="18"/>
                <w:szCs w:val="18"/>
                <w:lang w:eastAsia="lv-LV"/>
              </w:rPr>
              <w:t xml:space="preserve"> transportlīdzekļi pašvaldību funkciju īstenošanai un pakalpojumu nodrošināšanai;</w:t>
            </w:r>
            <w:r w:rsidRPr="00BF055E">
              <w:rPr>
                <w:rFonts w:eastAsia="Times New Roman" w:cs="Times New Roman"/>
                <w:sz w:val="18"/>
                <w:szCs w:val="18"/>
                <w:lang w:eastAsia="lv-LV"/>
              </w:rPr>
              <w:br/>
              <w:t>2) jaunā vai modernizētā publiskā transporta lietotāji – vismaz 301 786 lietotāji gadā.</w:t>
            </w:r>
          </w:p>
        </w:tc>
        <w:tc>
          <w:tcPr>
            <w:tcW w:w="2127" w:type="dxa"/>
            <w:tcBorders>
              <w:top w:val="nil"/>
              <w:left w:val="nil"/>
              <w:bottom w:val="single" w:sz="4" w:space="0" w:color="auto"/>
              <w:right w:val="single" w:sz="4" w:space="0" w:color="auto"/>
            </w:tcBorders>
            <w:shd w:val="clear" w:color="000000" w:fill="FFFFFF"/>
            <w:hideMark/>
          </w:tcPr>
          <w:p w14:paraId="5E99E9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(23.01.2024.);</w:t>
            </w:r>
            <w:r w:rsidRPr="00BF055E">
              <w:rPr>
                <w:rFonts w:eastAsia="Times New Roman" w:cs="Times New Roman"/>
                <w:sz w:val="18"/>
                <w:szCs w:val="18"/>
                <w:lang w:eastAsia="lv-LV"/>
              </w:rPr>
              <w:br/>
              <w:t>2) projektu iesniegumu vērtēšanas kritēriju apstiprināšana ES fondu Uzraudzības komitejā (16.11.2023.);</w:t>
            </w:r>
            <w:r w:rsidRPr="00BF055E">
              <w:rPr>
                <w:rFonts w:eastAsia="Times New Roman" w:cs="Times New Roman"/>
                <w:sz w:val="18"/>
                <w:szCs w:val="18"/>
                <w:lang w:eastAsia="lv-LV"/>
              </w:rPr>
              <w:br/>
              <w:t>3) atklātas atlases uzsākšana (29.02.2024.);</w:t>
            </w:r>
            <w:r w:rsidRPr="00BF055E">
              <w:rPr>
                <w:rFonts w:eastAsia="Times New Roman" w:cs="Times New Roman"/>
                <w:sz w:val="18"/>
                <w:szCs w:val="18"/>
                <w:lang w:eastAsia="lv-LV"/>
              </w:rPr>
              <w:br/>
              <w:t>4) līgumu slēgšana un projektu īstenošana.</w:t>
            </w:r>
          </w:p>
        </w:tc>
        <w:tc>
          <w:tcPr>
            <w:tcW w:w="992" w:type="dxa"/>
            <w:tcBorders>
              <w:top w:val="nil"/>
              <w:left w:val="nil"/>
              <w:bottom w:val="single" w:sz="4" w:space="0" w:color="auto"/>
              <w:right w:val="single" w:sz="4" w:space="0" w:color="auto"/>
            </w:tcBorders>
            <w:shd w:val="clear" w:color="000000" w:fill="FFFFFF"/>
            <w:hideMark/>
          </w:tcPr>
          <w:p w14:paraId="51A867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01.01.2021.-31.12.2029.</w:t>
            </w:r>
          </w:p>
        </w:tc>
        <w:tc>
          <w:tcPr>
            <w:tcW w:w="1701" w:type="dxa"/>
            <w:tcBorders>
              <w:top w:val="nil"/>
              <w:left w:val="nil"/>
              <w:bottom w:val="single" w:sz="4" w:space="0" w:color="auto"/>
              <w:right w:val="single" w:sz="4" w:space="0" w:color="auto"/>
            </w:tcBorders>
            <w:shd w:val="clear" w:color="000000" w:fill="FFFFFF"/>
            <w:hideMark/>
          </w:tcPr>
          <w:p w14:paraId="449684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19,8 milj. TPF; </w:t>
            </w:r>
            <w:r w:rsidRPr="00BF055E">
              <w:rPr>
                <w:rFonts w:eastAsia="Times New Roman" w:cs="Times New Roman"/>
                <w:sz w:val="18"/>
                <w:szCs w:val="18"/>
                <w:lang w:eastAsia="lv-LV"/>
              </w:rPr>
              <w:br/>
              <w:t>3,5 milj. nacionālais finansējums (pašvaldību budžets)</w:t>
            </w:r>
          </w:p>
        </w:tc>
        <w:tc>
          <w:tcPr>
            <w:tcW w:w="1134" w:type="dxa"/>
            <w:tcBorders>
              <w:top w:val="nil"/>
              <w:left w:val="nil"/>
              <w:bottom w:val="single" w:sz="4" w:space="0" w:color="auto"/>
              <w:right w:val="single" w:sz="4" w:space="0" w:color="auto"/>
            </w:tcBorders>
            <w:shd w:val="clear" w:color="000000" w:fill="FFFFFF"/>
            <w:hideMark/>
          </w:tcPr>
          <w:p w14:paraId="5D593F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VARAM/CFLA/pašvaldības</w:t>
            </w:r>
          </w:p>
        </w:tc>
        <w:tc>
          <w:tcPr>
            <w:tcW w:w="850" w:type="dxa"/>
            <w:tcBorders>
              <w:top w:val="nil"/>
              <w:left w:val="nil"/>
              <w:bottom w:val="single" w:sz="4" w:space="0" w:color="auto"/>
              <w:right w:val="single" w:sz="4" w:space="0" w:color="auto"/>
            </w:tcBorders>
            <w:shd w:val="clear" w:color="000000" w:fill="FFFFFF"/>
            <w:hideMark/>
          </w:tcPr>
          <w:p w14:paraId="43D6043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 (JTF)</w:t>
            </w:r>
          </w:p>
        </w:tc>
        <w:tc>
          <w:tcPr>
            <w:tcW w:w="851" w:type="dxa"/>
            <w:tcBorders>
              <w:top w:val="nil"/>
              <w:left w:val="nil"/>
              <w:bottom w:val="single" w:sz="4" w:space="0" w:color="auto"/>
              <w:right w:val="single" w:sz="4" w:space="0" w:color="auto"/>
            </w:tcBorders>
            <w:shd w:val="clear" w:color="000000" w:fill="FFFFFF"/>
            <w:hideMark/>
          </w:tcPr>
          <w:p w14:paraId="046B6D1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2022(4); 2023(4)</w:t>
            </w:r>
          </w:p>
        </w:tc>
        <w:tc>
          <w:tcPr>
            <w:tcW w:w="1134" w:type="dxa"/>
            <w:tcBorders>
              <w:top w:val="nil"/>
              <w:left w:val="nil"/>
              <w:bottom w:val="single" w:sz="4" w:space="0" w:color="auto"/>
              <w:right w:val="single" w:sz="4" w:space="0" w:color="auto"/>
            </w:tcBorders>
            <w:shd w:val="clear" w:color="000000" w:fill="FFFFFF"/>
            <w:hideMark/>
          </w:tcPr>
          <w:p w14:paraId="284417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 3. Enerģētikas drošība</w:t>
            </w:r>
          </w:p>
        </w:tc>
        <w:tc>
          <w:tcPr>
            <w:tcW w:w="850" w:type="dxa"/>
            <w:tcBorders>
              <w:top w:val="nil"/>
              <w:left w:val="nil"/>
              <w:bottom w:val="single" w:sz="4" w:space="0" w:color="auto"/>
              <w:right w:val="single" w:sz="4" w:space="0" w:color="auto"/>
            </w:tcBorders>
            <w:shd w:val="clear" w:color="000000" w:fill="FFFFFF"/>
            <w:hideMark/>
          </w:tcPr>
          <w:p w14:paraId="5755633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01CB0E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13. Rīcība klimata jomā</w:t>
            </w:r>
          </w:p>
        </w:tc>
      </w:tr>
    </w:tbl>
    <w:p w14:paraId="36896B79" w14:textId="77777777" w:rsidR="00BF055E" w:rsidRPr="00BF055E" w:rsidRDefault="00BF055E" w:rsidP="006357B3">
      <w:pPr>
        <w:spacing w:after="0" w:line="240" w:lineRule="auto"/>
        <w:ind w:firstLine="0"/>
        <w:rPr>
          <w:rFonts w:eastAsia="Calibri" w:cs="Times New Roman"/>
          <w:b/>
          <w:bCs/>
          <w:i/>
          <w:iCs/>
          <w:kern w:val="2"/>
          <w:szCs w:val="24"/>
          <w14:ligatures w14:val="standardContextual"/>
        </w:rPr>
      </w:pPr>
    </w:p>
    <w:p w14:paraId="50ECD7A6" w14:textId="4EB1B55F"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.1.11. Digitālā infrastruktūra</w:t>
      </w:r>
    </w:p>
    <w:p w14:paraId="2919DB37"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Šis Latvijas FSP politikas virziens ir arī cieši saistīts ar ES kopīgu prioritāti par taisnīgu zaļo un digitālo pāreju. Galvenie digitālās infrastruktūras politikas virziena pasākumi paredz modernizēt valsts procesus un pakalpojumus, īstenot reformas, kas ir vērstas uz valsts IKT resursu izmantošanas efektivitātes un </w:t>
      </w:r>
      <w:proofErr w:type="spellStart"/>
      <w:r w:rsidRPr="00BF055E">
        <w:rPr>
          <w:rFonts w:eastAsia="Calibri" w:cs="Times New Roman"/>
          <w:kern w:val="2"/>
          <w:szCs w:val="24"/>
          <w14:ligatures w14:val="standardContextual"/>
        </w:rPr>
        <w:t>sadarbspējas</w:t>
      </w:r>
      <w:proofErr w:type="spellEnd"/>
      <w:r w:rsidRPr="00BF055E">
        <w:rPr>
          <w:rFonts w:eastAsia="Calibri" w:cs="Times New Roman"/>
          <w:kern w:val="2"/>
          <w:szCs w:val="24"/>
          <w14:ligatures w14:val="standardContextual"/>
        </w:rPr>
        <w:t xml:space="preserve"> paaugstināšanu un tautsaimniecības datu un digitālo pakalpojumu ekonomikas attīstību u.c.</w:t>
      </w:r>
    </w:p>
    <w:p w14:paraId="5FFB93A3"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Tāpat plānots pilnveidot </w:t>
      </w:r>
      <w:proofErr w:type="spellStart"/>
      <w:r w:rsidRPr="00BF055E">
        <w:rPr>
          <w:rFonts w:eastAsia="Calibri" w:cs="Times New Roman"/>
          <w:kern w:val="2"/>
          <w:szCs w:val="24"/>
          <w14:ligatures w14:val="standardContextual"/>
        </w:rPr>
        <w:t>pirmstiesas</w:t>
      </w:r>
      <w:proofErr w:type="spellEnd"/>
      <w:r w:rsidRPr="00BF055E">
        <w:rPr>
          <w:rFonts w:eastAsia="Calibri" w:cs="Times New Roman"/>
          <w:kern w:val="2"/>
          <w:szCs w:val="24"/>
          <w14:ligatures w14:val="standardContextual"/>
        </w:rPr>
        <w:t xml:space="preserve">, tiesvedības un nolēmumu izpildes elektronisko procesu, kas ļaus samazināt gan </w:t>
      </w:r>
      <w:proofErr w:type="spellStart"/>
      <w:r w:rsidRPr="00BF055E">
        <w:rPr>
          <w:rFonts w:eastAsia="Calibri" w:cs="Times New Roman"/>
          <w:kern w:val="2"/>
          <w:szCs w:val="24"/>
          <w14:ligatures w14:val="standardContextual"/>
        </w:rPr>
        <w:t>pirmstiesas</w:t>
      </w:r>
      <w:proofErr w:type="spellEnd"/>
      <w:r w:rsidRPr="00BF055E">
        <w:rPr>
          <w:rFonts w:eastAsia="Calibri" w:cs="Times New Roman"/>
          <w:kern w:val="2"/>
          <w:szCs w:val="24"/>
          <w14:ligatures w14:val="standardContextual"/>
        </w:rPr>
        <w:t>, gan tiesvedības termiņus, nodrošināt informācijas pieejamību un atklātību. Pilnveidojumu pamata mērķis ir padarīt administratīvo procesu, civilprocesu, kriminālprocesu, administratīvo pārkāpumu procesu un nolēmumu izpildes procesu ātrāku, lētāku, efektīvāku, caurskatāmāku un drošāku.</w:t>
      </w:r>
    </w:p>
    <w:p w14:paraId="515BB911"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lastRenderedPageBreak/>
        <w:t xml:space="preserve">Latvijas ostās plānots ieviest Eiropas Jūras </w:t>
      </w:r>
      <w:proofErr w:type="spellStart"/>
      <w:r w:rsidRPr="00BF055E">
        <w:rPr>
          <w:rFonts w:eastAsia="Calibri" w:cs="Times New Roman"/>
          <w:kern w:val="2"/>
          <w:szCs w:val="24"/>
          <w14:ligatures w14:val="standardContextual"/>
        </w:rPr>
        <w:t>vienloga</w:t>
      </w:r>
      <w:proofErr w:type="spellEnd"/>
      <w:r w:rsidRPr="00BF055E">
        <w:rPr>
          <w:rFonts w:eastAsia="Calibri" w:cs="Times New Roman"/>
          <w:kern w:val="2"/>
          <w:szCs w:val="24"/>
          <w14:ligatures w14:val="standardContextual"/>
        </w:rPr>
        <w:t xml:space="preserve"> sistēmu </w:t>
      </w:r>
      <w:proofErr w:type="spellStart"/>
      <w:r w:rsidRPr="00BF055E">
        <w:rPr>
          <w:rFonts w:eastAsia="Calibri" w:cs="Times New Roman"/>
          <w:i/>
          <w:iCs/>
          <w:kern w:val="2"/>
          <w:szCs w:val="24"/>
          <w14:ligatures w14:val="standardContextual"/>
        </w:rPr>
        <w:t>EMSWe</w:t>
      </w:r>
      <w:proofErr w:type="spellEnd"/>
      <w:r w:rsidRPr="00BF055E">
        <w:rPr>
          <w:rFonts w:eastAsia="Calibri" w:cs="Times New Roman"/>
          <w:kern w:val="2"/>
          <w:szCs w:val="24"/>
          <w14:ligatures w14:val="standardContextual"/>
        </w:rPr>
        <w:t xml:space="preserve">, lai nodrošinātu visās Latvijas ostās ar visām citām ES dalībvalstu ostām vienādus un saskaņotus noteikumus attiecībā uz tās informācijas sniegšanu, kas vajadzīga kuģa piestāšanai ostā, jo īpaši, nodrošinot lai par tām pašām datu kopām varētu ziņot katrai ES dalībvalsts jūras </w:t>
      </w:r>
      <w:proofErr w:type="spellStart"/>
      <w:r w:rsidRPr="00BF055E">
        <w:rPr>
          <w:rFonts w:eastAsia="Calibri" w:cs="Times New Roman"/>
          <w:kern w:val="2"/>
          <w:szCs w:val="24"/>
          <w14:ligatures w14:val="standardContextual"/>
        </w:rPr>
        <w:t>vienloga</w:t>
      </w:r>
      <w:proofErr w:type="spellEnd"/>
      <w:r w:rsidRPr="00BF055E">
        <w:rPr>
          <w:rFonts w:eastAsia="Calibri" w:cs="Times New Roman"/>
          <w:kern w:val="2"/>
          <w:szCs w:val="24"/>
          <w14:ligatures w14:val="standardContextual"/>
        </w:rPr>
        <w:t xml:space="preserve"> sistēmai vienā un tajā pašā veidā un apjomā u.tml.</w:t>
      </w:r>
    </w:p>
    <w:p w14:paraId="46D7ADBF"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Latvijas FSP digitālās infrastruktūras politikas virziena ietvaros plānots īstenot arī pasākumu platjoslas jeb ļoti augstas veiktspējas tīklu "pēdējās jūdzes" infrastruktūras attīstībai.</w:t>
      </w:r>
    </w:p>
    <w:p w14:paraId="5B3159CB" w14:textId="77777777" w:rsidR="00BF055E" w:rsidRPr="00BF055E" w:rsidRDefault="00BF055E" w:rsidP="0058560C">
      <w:pPr>
        <w:spacing w:before="120" w:after="24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Augstākminētie pasākumi tiks īstenoti galvenokārt ES fondu atbalsta programmu un Latvijas ANM plāna ietvaros.</w:t>
      </w:r>
      <w:bookmarkStart w:id="58" w:name="_Hlk179045709"/>
    </w:p>
    <w:p w14:paraId="0F4E9FAF" w14:textId="6F29B0A7"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Digitālā infrastruktūra</w:t>
      </w:r>
    </w:p>
    <w:tbl>
      <w:tblPr>
        <w:tblW w:w="0" w:type="auto"/>
        <w:tblLayout w:type="fixed"/>
        <w:tblLook w:val="04A0" w:firstRow="1" w:lastRow="0" w:firstColumn="1" w:lastColumn="0" w:noHBand="0" w:noVBand="1"/>
      </w:tblPr>
      <w:tblGrid>
        <w:gridCol w:w="1877"/>
        <w:gridCol w:w="2371"/>
        <w:gridCol w:w="1843"/>
        <w:gridCol w:w="1134"/>
        <w:gridCol w:w="1275"/>
        <w:gridCol w:w="1276"/>
        <w:gridCol w:w="992"/>
        <w:gridCol w:w="851"/>
        <w:gridCol w:w="1134"/>
        <w:gridCol w:w="850"/>
        <w:gridCol w:w="957"/>
      </w:tblGrid>
      <w:tr w:rsidR="00BF055E" w:rsidRPr="00BF055E" w14:paraId="43B1B9C1" w14:textId="77777777" w:rsidTr="003B1594">
        <w:trPr>
          <w:trHeight w:val="20"/>
          <w:tblHeader/>
        </w:trPr>
        <w:tc>
          <w:tcPr>
            <w:tcW w:w="1877" w:type="dxa"/>
            <w:tcBorders>
              <w:top w:val="single" w:sz="4" w:space="0" w:color="auto"/>
              <w:left w:val="single" w:sz="4" w:space="0" w:color="auto"/>
              <w:bottom w:val="single" w:sz="4" w:space="0" w:color="auto"/>
              <w:right w:val="single" w:sz="4" w:space="0" w:color="auto"/>
            </w:tcBorders>
            <w:shd w:val="clear" w:color="000000" w:fill="95B3D7"/>
            <w:vAlign w:val="center"/>
            <w:hideMark/>
          </w:tcPr>
          <w:bookmarkEnd w:id="58"/>
          <w:p w14:paraId="5650B55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reformas/investīcijas) nosaukums</w:t>
            </w:r>
          </w:p>
        </w:tc>
        <w:tc>
          <w:tcPr>
            <w:tcW w:w="2371" w:type="dxa"/>
            <w:tcBorders>
              <w:top w:val="single" w:sz="4" w:space="0" w:color="auto"/>
              <w:left w:val="nil"/>
              <w:bottom w:val="single" w:sz="4" w:space="0" w:color="auto"/>
              <w:right w:val="single" w:sz="4" w:space="0" w:color="auto"/>
            </w:tcBorders>
            <w:shd w:val="clear" w:color="000000" w:fill="95B3D7"/>
            <w:vAlign w:val="center"/>
            <w:hideMark/>
          </w:tcPr>
          <w:p w14:paraId="714ACB3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1843" w:type="dxa"/>
            <w:tcBorders>
              <w:top w:val="single" w:sz="4" w:space="0" w:color="auto"/>
              <w:left w:val="nil"/>
              <w:bottom w:val="single" w:sz="4" w:space="0" w:color="auto"/>
              <w:right w:val="single" w:sz="4" w:space="0" w:color="auto"/>
            </w:tcBorders>
            <w:shd w:val="clear" w:color="000000" w:fill="95B3D7"/>
            <w:vAlign w:val="center"/>
            <w:hideMark/>
          </w:tcPr>
          <w:p w14:paraId="5D62BE5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302C124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275" w:type="dxa"/>
            <w:tcBorders>
              <w:top w:val="single" w:sz="4" w:space="0" w:color="auto"/>
              <w:left w:val="nil"/>
              <w:bottom w:val="single" w:sz="4" w:space="0" w:color="auto"/>
              <w:right w:val="single" w:sz="4" w:space="0" w:color="auto"/>
            </w:tcBorders>
            <w:shd w:val="clear" w:color="000000" w:fill="95B3D7"/>
            <w:vAlign w:val="center"/>
            <w:hideMark/>
          </w:tcPr>
          <w:p w14:paraId="25C4FF83"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276" w:type="dxa"/>
            <w:tcBorders>
              <w:top w:val="single" w:sz="4" w:space="0" w:color="auto"/>
              <w:left w:val="nil"/>
              <w:bottom w:val="single" w:sz="4" w:space="0" w:color="auto"/>
              <w:right w:val="single" w:sz="4" w:space="0" w:color="auto"/>
            </w:tcBorders>
            <w:shd w:val="clear" w:color="000000" w:fill="95B3D7"/>
            <w:vAlign w:val="center"/>
            <w:hideMark/>
          </w:tcPr>
          <w:p w14:paraId="118B0B6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992" w:type="dxa"/>
            <w:tcBorders>
              <w:top w:val="single" w:sz="4" w:space="0" w:color="auto"/>
              <w:left w:val="nil"/>
              <w:bottom w:val="single" w:sz="4" w:space="0" w:color="auto"/>
              <w:right w:val="single" w:sz="4" w:space="0" w:color="auto"/>
            </w:tcBorders>
            <w:shd w:val="clear" w:color="000000" w:fill="95B3D7"/>
            <w:vAlign w:val="center"/>
            <w:hideMark/>
          </w:tcPr>
          <w:p w14:paraId="1E41147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ANM/ES budžets (MFF)</w:t>
            </w:r>
          </w:p>
        </w:tc>
        <w:tc>
          <w:tcPr>
            <w:tcW w:w="851" w:type="dxa"/>
            <w:tcBorders>
              <w:top w:val="single" w:sz="4" w:space="0" w:color="auto"/>
              <w:left w:val="nil"/>
              <w:bottom w:val="single" w:sz="4" w:space="0" w:color="auto"/>
              <w:right w:val="single" w:sz="4" w:space="0" w:color="auto"/>
            </w:tcBorders>
            <w:shd w:val="clear" w:color="000000" w:fill="95B3D7"/>
            <w:vAlign w:val="center"/>
            <w:hideMark/>
          </w:tcPr>
          <w:p w14:paraId="41BB9703"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549D303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2D50B8C7"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957" w:type="dxa"/>
            <w:tcBorders>
              <w:top w:val="single" w:sz="4" w:space="0" w:color="auto"/>
              <w:left w:val="nil"/>
              <w:bottom w:val="single" w:sz="4" w:space="0" w:color="auto"/>
              <w:right w:val="single" w:sz="4" w:space="0" w:color="auto"/>
            </w:tcBorders>
            <w:shd w:val="clear" w:color="000000" w:fill="95B3D7"/>
            <w:vAlign w:val="center"/>
            <w:hideMark/>
          </w:tcPr>
          <w:p w14:paraId="0CCD869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1247B6F5" w14:textId="77777777" w:rsidTr="003B1594">
        <w:trPr>
          <w:trHeight w:val="20"/>
          <w:tblHeader/>
        </w:trPr>
        <w:tc>
          <w:tcPr>
            <w:tcW w:w="14560"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14300BF7"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Digitālā infrastruktūra</w:t>
            </w:r>
          </w:p>
        </w:tc>
      </w:tr>
      <w:tr w:rsidR="00BF055E" w:rsidRPr="00BF055E" w14:paraId="79719982" w14:textId="77777777" w:rsidTr="003B1594">
        <w:trPr>
          <w:trHeight w:val="20"/>
        </w:trPr>
        <w:tc>
          <w:tcPr>
            <w:tcW w:w="1877" w:type="dxa"/>
            <w:tcBorders>
              <w:top w:val="nil"/>
              <w:left w:val="single" w:sz="4" w:space="0" w:color="auto"/>
              <w:bottom w:val="single" w:sz="4" w:space="0" w:color="auto"/>
              <w:right w:val="single" w:sz="4" w:space="0" w:color="auto"/>
            </w:tcBorders>
            <w:shd w:val="clear" w:color="000000" w:fill="FFFFFF"/>
            <w:hideMark/>
          </w:tcPr>
          <w:p w14:paraId="64429FA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pārvaldes, tai skaitā pašvaldību, digitālā transformācija</w:t>
            </w:r>
          </w:p>
        </w:tc>
        <w:tc>
          <w:tcPr>
            <w:tcW w:w="2371" w:type="dxa"/>
            <w:tcBorders>
              <w:top w:val="nil"/>
              <w:left w:val="nil"/>
              <w:bottom w:val="single" w:sz="4" w:space="0" w:color="auto"/>
              <w:right w:val="single" w:sz="4" w:space="0" w:color="auto"/>
            </w:tcBorders>
            <w:shd w:val="clear" w:color="000000" w:fill="FFFFFF"/>
            <w:hideMark/>
          </w:tcPr>
          <w:p w14:paraId="6AF2E0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Reformas "Valsts procesu un pakalpojumu modernizācija un digitālā transformācija" mērķi:</w:t>
            </w:r>
            <w:r w:rsidRPr="00BF055E">
              <w:rPr>
                <w:rFonts w:eastAsia="Times New Roman" w:cs="Times New Roman"/>
                <w:sz w:val="18"/>
                <w:szCs w:val="18"/>
                <w:lang w:eastAsia="lv-LV"/>
              </w:rPr>
              <w:br/>
              <w:t>- modernizēt valsts pārvaldes pakalpojumus, tos digitāli transformējot un fokusējoties uz nozīmīgām valsts pārvaldes funkcijām, procesiem un pakalpojumiem, kas vēl nav digitāli transformēti vai tiek attīstīti no jauna vai būtiski nostiprināti;</w:t>
            </w:r>
            <w:r w:rsidRPr="00BF055E">
              <w:rPr>
                <w:rFonts w:eastAsia="Times New Roman" w:cs="Times New Roman"/>
                <w:sz w:val="18"/>
                <w:szCs w:val="18"/>
                <w:lang w:eastAsia="lv-LV"/>
              </w:rPr>
              <w:br/>
              <w:t>- paredzēt valsts pārvaldes pakalpojumu nodrošināšanas sistēmas konceptuālajā modelī noteiktās pakalpojumu kvalitatīvās un kvantitatīvās metrikas.</w:t>
            </w:r>
            <w:r w:rsidRPr="00BF055E">
              <w:rPr>
                <w:rFonts w:eastAsia="Times New Roman" w:cs="Times New Roman"/>
                <w:sz w:val="18"/>
                <w:szCs w:val="18"/>
                <w:lang w:eastAsia="lv-LV"/>
              </w:rPr>
              <w:br/>
              <w:t xml:space="preserve">2) Reformas "Valsts IKT resursu izmantošanas efektivitātes un </w:t>
            </w:r>
            <w:proofErr w:type="spellStart"/>
            <w:r w:rsidRPr="00BF055E">
              <w:rPr>
                <w:rFonts w:eastAsia="Times New Roman" w:cs="Times New Roman"/>
                <w:sz w:val="18"/>
                <w:szCs w:val="18"/>
                <w:lang w:eastAsia="lv-LV"/>
              </w:rPr>
              <w:t>sadarbspējas</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sz w:val="18"/>
                <w:szCs w:val="18"/>
                <w:lang w:eastAsia="lv-LV"/>
              </w:rPr>
              <w:t>paaugstināšana"mērķi</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 xml:space="preserve">- transformēt IKT </w:t>
            </w:r>
            <w:r w:rsidRPr="00BF055E">
              <w:rPr>
                <w:rFonts w:eastAsia="Times New Roman" w:cs="Times New Roman"/>
                <w:sz w:val="18"/>
                <w:szCs w:val="18"/>
                <w:lang w:eastAsia="lv-LV"/>
              </w:rPr>
              <w:lastRenderedPageBreak/>
              <w:t>nodrošināšanas pieeju valsts pārvaldē, centralizējot kompetences centros vienveidīgu vairāku iestāžu atbalstam nepieciešamo IKT koplietošanas pakalpojumu sniegšanu;</w:t>
            </w:r>
            <w:r w:rsidRPr="00BF055E">
              <w:rPr>
                <w:rFonts w:eastAsia="Times New Roman" w:cs="Times New Roman"/>
                <w:sz w:val="18"/>
                <w:szCs w:val="18"/>
                <w:lang w:eastAsia="lv-LV"/>
              </w:rPr>
              <w:br/>
              <w:t xml:space="preserve">- attīstīt valsts pārvaldes centralizētās platformas, informācijas sistēmas un koplietošanas pakalpojumus un konsolidēt skaitļošanas infrastruktūras pakalpojumus, automatizējot un </w:t>
            </w:r>
            <w:proofErr w:type="spellStart"/>
            <w:r w:rsidRPr="00BF055E">
              <w:rPr>
                <w:rFonts w:eastAsia="Times New Roman" w:cs="Times New Roman"/>
                <w:sz w:val="18"/>
                <w:szCs w:val="18"/>
                <w:lang w:eastAsia="lv-LV"/>
              </w:rPr>
              <w:t>efektivizējot</w:t>
            </w:r>
            <w:proofErr w:type="spellEnd"/>
            <w:r w:rsidRPr="00BF055E">
              <w:rPr>
                <w:rFonts w:eastAsia="Times New Roman" w:cs="Times New Roman"/>
                <w:sz w:val="18"/>
                <w:szCs w:val="18"/>
                <w:lang w:eastAsia="lv-LV"/>
              </w:rPr>
              <w:t xml:space="preserve"> piegādes procesus, lai veicinātu pārrobežu piekļuvi valsts pārvaldes pakalpojumiem, kā arī konsolidēt valsts pārvaldes skaitļošanas un datu glabāšanas infrastruktūras pakalpojumus.</w:t>
            </w:r>
            <w:r w:rsidRPr="00BF055E">
              <w:rPr>
                <w:rFonts w:eastAsia="Times New Roman" w:cs="Times New Roman"/>
                <w:sz w:val="18"/>
                <w:szCs w:val="18"/>
                <w:lang w:eastAsia="lv-LV"/>
              </w:rPr>
              <w:br/>
              <w:t>3) Reformas "Tautsaimniecības datu un digitālo pakalpojumu ekonomikas attīstība" mērķi:</w:t>
            </w:r>
            <w:r w:rsidRPr="00BF055E">
              <w:rPr>
                <w:rFonts w:eastAsia="Times New Roman" w:cs="Times New Roman"/>
                <w:sz w:val="18"/>
                <w:szCs w:val="18"/>
                <w:lang w:eastAsia="lv-LV"/>
              </w:rPr>
              <w:br/>
              <w:t>- nodrošināt valsts un privātā sektora datu un pakalpojumu pieejamību un koplietošanu, izveidojot pamatu datu un platformu ekonomikas attīstībai un savietojamībai ar Eiropas datu telpām un nodrošinot datu kopīgošanu ES ietvaros;</w:t>
            </w:r>
            <w:r w:rsidRPr="00BF055E">
              <w:rPr>
                <w:rFonts w:eastAsia="Times New Roman" w:cs="Times New Roman"/>
                <w:sz w:val="18"/>
                <w:szCs w:val="18"/>
                <w:lang w:eastAsia="lv-LV"/>
              </w:rPr>
              <w:br/>
              <w:t xml:space="preserve">- attīstīt dažādu publiskā sektora nozaru spēju pārvaldīt, koplietot un </w:t>
            </w:r>
            <w:r w:rsidRPr="00BF055E">
              <w:rPr>
                <w:rFonts w:eastAsia="Times New Roman" w:cs="Times New Roman"/>
                <w:sz w:val="18"/>
                <w:szCs w:val="18"/>
                <w:lang w:eastAsia="lv-LV"/>
              </w:rPr>
              <w:lastRenderedPageBreak/>
              <w:t>publicēt atkārtotai izmantošanai tās rīcībā esošās datu kopas.</w:t>
            </w:r>
          </w:p>
        </w:tc>
        <w:tc>
          <w:tcPr>
            <w:tcW w:w="1843" w:type="dxa"/>
            <w:tcBorders>
              <w:top w:val="nil"/>
              <w:left w:val="nil"/>
              <w:bottom w:val="single" w:sz="4" w:space="0" w:color="auto"/>
              <w:right w:val="single" w:sz="4" w:space="0" w:color="auto"/>
            </w:tcBorders>
            <w:shd w:val="clear" w:color="000000" w:fill="FFFFFF"/>
            <w:hideMark/>
          </w:tcPr>
          <w:p w14:paraId="029754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- 14.07.2022.</w:t>
            </w:r>
            <w:r w:rsidRPr="00BF055E">
              <w:rPr>
                <w:rFonts w:eastAsia="Times New Roman" w:cs="Times New Roman"/>
                <w:sz w:val="18"/>
                <w:szCs w:val="18"/>
                <w:lang w:eastAsia="lv-LV"/>
              </w:rPr>
              <w:br/>
              <w:t>2) Projektu pases apstiprināšana MK - no 14.07.2022.</w:t>
            </w:r>
            <w:r w:rsidRPr="00BF055E">
              <w:rPr>
                <w:rFonts w:eastAsia="Times New Roman" w:cs="Times New Roman"/>
                <w:sz w:val="18"/>
                <w:szCs w:val="18"/>
                <w:lang w:eastAsia="lv-LV"/>
              </w:rPr>
              <w:br/>
              <w:t>3) Projekta ietvaros attīstāmo IKT risinājuma aprakstu saskaņošana no 14.07.2022.</w:t>
            </w:r>
            <w:r w:rsidRPr="00BF055E">
              <w:rPr>
                <w:rFonts w:eastAsia="Times New Roman" w:cs="Times New Roman"/>
                <w:sz w:val="18"/>
                <w:szCs w:val="18"/>
                <w:lang w:eastAsia="lv-LV"/>
              </w:rPr>
              <w:br/>
              <w:t>4) Vienošanās par projekta īstenošanu slēgšana un projektu īstenošana.</w:t>
            </w:r>
          </w:p>
        </w:tc>
        <w:tc>
          <w:tcPr>
            <w:tcW w:w="1134" w:type="dxa"/>
            <w:tcBorders>
              <w:top w:val="nil"/>
              <w:left w:val="nil"/>
              <w:bottom w:val="single" w:sz="4" w:space="0" w:color="auto"/>
              <w:right w:val="single" w:sz="4" w:space="0" w:color="auto"/>
            </w:tcBorders>
            <w:shd w:val="clear" w:color="000000" w:fill="FFFFFF"/>
            <w:hideMark/>
          </w:tcPr>
          <w:p w14:paraId="0297CC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14.07.2022. - 31.08.2026.</w:t>
            </w:r>
          </w:p>
        </w:tc>
        <w:tc>
          <w:tcPr>
            <w:tcW w:w="1275" w:type="dxa"/>
            <w:tcBorders>
              <w:top w:val="nil"/>
              <w:left w:val="nil"/>
              <w:bottom w:val="single" w:sz="4" w:space="0" w:color="auto"/>
              <w:right w:val="single" w:sz="4" w:space="0" w:color="auto"/>
            </w:tcBorders>
            <w:shd w:val="clear" w:color="auto" w:fill="auto"/>
            <w:hideMark/>
          </w:tcPr>
          <w:p w14:paraId="1498EC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128,86 milj. </w:t>
            </w:r>
            <w:proofErr w:type="spellStart"/>
            <w:r w:rsidRPr="00BF055E">
              <w:rPr>
                <w:rFonts w:eastAsia="Times New Roman" w:cs="Times New Roman"/>
                <w:i/>
                <w:sz w:val="18"/>
                <w:szCs w:val="18"/>
                <w:lang w:eastAsia="lv-LV"/>
              </w:rPr>
              <w:t>euro</w:t>
            </w:r>
            <w:proofErr w:type="spellEnd"/>
          </w:p>
        </w:tc>
        <w:tc>
          <w:tcPr>
            <w:tcW w:w="1276" w:type="dxa"/>
            <w:tcBorders>
              <w:top w:val="nil"/>
              <w:left w:val="nil"/>
              <w:bottom w:val="single" w:sz="4" w:space="0" w:color="auto"/>
              <w:right w:val="single" w:sz="4" w:space="0" w:color="auto"/>
            </w:tcBorders>
            <w:shd w:val="clear" w:color="000000" w:fill="FFFFFF"/>
            <w:hideMark/>
          </w:tcPr>
          <w:p w14:paraId="49C44F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w:t>
            </w:r>
          </w:p>
        </w:tc>
        <w:tc>
          <w:tcPr>
            <w:tcW w:w="992" w:type="dxa"/>
            <w:tcBorders>
              <w:top w:val="nil"/>
              <w:left w:val="nil"/>
              <w:bottom w:val="single" w:sz="4" w:space="0" w:color="auto"/>
              <w:right w:val="single" w:sz="4" w:space="0" w:color="auto"/>
            </w:tcBorders>
            <w:shd w:val="clear" w:color="auto" w:fill="auto"/>
            <w:hideMark/>
          </w:tcPr>
          <w:p w14:paraId="0B3426B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6ABD80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2022(1); 2023(1)</w:t>
            </w:r>
          </w:p>
        </w:tc>
        <w:tc>
          <w:tcPr>
            <w:tcW w:w="1134" w:type="dxa"/>
            <w:tcBorders>
              <w:top w:val="nil"/>
              <w:left w:val="nil"/>
              <w:bottom w:val="single" w:sz="4" w:space="0" w:color="auto"/>
              <w:right w:val="single" w:sz="4" w:space="0" w:color="auto"/>
            </w:tcBorders>
            <w:shd w:val="clear" w:color="000000" w:fill="FFFFFF"/>
            <w:hideMark/>
          </w:tcPr>
          <w:p w14:paraId="02EE5F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850" w:type="dxa"/>
            <w:tcBorders>
              <w:top w:val="nil"/>
              <w:left w:val="nil"/>
              <w:bottom w:val="single" w:sz="4" w:space="0" w:color="auto"/>
              <w:right w:val="single" w:sz="4" w:space="0" w:color="auto"/>
            </w:tcBorders>
            <w:shd w:val="clear" w:color="000000" w:fill="FFFFFF"/>
            <w:hideMark/>
          </w:tcPr>
          <w:p w14:paraId="0DBFB34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0E4EA0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16. Miers, taisnīgums, laba pārvaldība</w:t>
            </w:r>
          </w:p>
        </w:tc>
      </w:tr>
      <w:tr w:rsidR="00BF055E" w:rsidRPr="00BF055E" w14:paraId="5E20D0AC" w14:textId="77777777" w:rsidTr="003B1594">
        <w:trPr>
          <w:trHeight w:val="20"/>
        </w:trPr>
        <w:tc>
          <w:tcPr>
            <w:tcW w:w="1877" w:type="dxa"/>
            <w:tcBorders>
              <w:top w:val="nil"/>
              <w:left w:val="single" w:sz="4" w:space="0" w:color="auto"/>
              <w:bottom w:val="single" w:sz="4" w:space="0" w:color="auto"/>
              <w:right w:val="single" w:sz="4" w:space="0" w:color="auto"/>
            </w:tcBorders>
            <w:shd w:val="clear" w:color="000000" w:fill="FFFFFF"/>
            <w:hideMark/>
          </w:tcPr>
          <w:p w14:paraId="161B0617" w14:textId="4E8CC9C5" w:rsidR="00BF055E" w:rsidRPr="00BF055E" w:rsidRDefault="00BF53B6" w:rsidP="006357B3">
            <w:pPr>
              <w:spacing w:after="0" w:line="240" w:lineRule="auto"/>
              <w:ind w:firstLine="0"/>
              <w:jc w:val="left"/>
              <w:rPr>
                <w:rFonts w:eastAsia="Times New Roman" w:cs="Times New Roman"/>
                <w:sz w:val="18"/>
                <w:szCs w:val="18"/>
                <w:lang w:eastAsia="lv-LV"/>
              </w:rPr>
            </w:pPr>
            <w:r>
              <w:rPr>
                <w:rFonts w:eastAsia="Times New Roman" w:cs="Times New Roman"/>
                <w:sz w:val="18"/>
                <w:szCs w:val="18"/>
                <w:lang w:eastAsia="lv-LV"/>
              </w:rPr>
              <w:lastRenderedPageBreak/>
              <w:t>ANM</w:t>
            </w:r>
            <w:r w:rsidR="00BF055E" w:rsidRPr="00BF055E">
              <w:rPr>
                <w:rFonts w:eastAsia="Times New Roman" w:cs="Times New Roman"/>
                <w:sz w:val="18"/>
                <w:szCs w:val="18"/>
                <w:lang w:eastAsia="lv-LV"/>
              </w:rPr>
              <w:t xml:space="preserve"> plāna 2. komponentes "Digitālā transformācija" 2.1. reformu</w:t>
            </w:r>
            <w:r w:rsidR="00BF055E" w:rsidRPr="00BF055E">
              <w:rPr>
                <w:rFonts w:eastAsia="Times New Roman" w:cs="Times New Roman"/>
                <w:sz w:val="18"/>
                <w:szCs w:val="18"/>
                <w:lang w:eastAsia="lv-LV"/>
              </w:rPr>
              <w:br/>
              <w:t>un investīciju virziena "Valsts pārvaldes, tai skaitā pašvaldību, digitālā transformācija" 2.1.2.1.i. investīcija "Pārvaldes centralizētās platformas</w:t>
            </w:r>
            <w:r w:rsidR="00BF055E" w:rsidRPr="00BF055E">
              <w:rPr>
                <w:rFonts w:eastAsia="Times New Roman" w:cs="Times New Roman"/>
                <w:sz w:val="18"/>
                <w:szCs w:val="18"/>
                <w:lang w:eastAsia="lv-LV"/>
              </w:rPr>
              <w:br/>
              <w:t>un sistēmas"</w:t>
            </w:r>
          </w:p>
        </w:tc>
        <w:tc>
          <w:tcPr>
            <w:tcW w:w="2371" w:type="dxa"/>
            <w:tcBorders>
              <w:top w:val="nil"/>
              <w:left w:val="nil"/>
              <w:bottom w:val="single" w:sz="4" w:space="0" w:color="auto"/>
              <w:right w:val="single" w:sz="4" w:space="0" w:color="auto"/>
            </w:tcBorders>
            <w:shd w:val="clear" w:color="000000" w:fill="FFFFFF"/>
            <w:hideMark/>
          </w:tcPr>
          <w:p w14:paraId="25C56F8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Sabiedriskās kārtības un drošības procesu, </w:t>
            </w:r>
            <w:proofErr w:type="spellStart"/>
            <w:r w:rsidRPr="00BF055E">
              <w:rPr>
                <w:rFonts w:eastAsia="Times New Roman" w:cs="Times New Roman"/>
                <w:sz w:val="18"/>
                <w:szCs w:val="18"/>
                <w:lang w:eastAsia="lv-LV"/>
              </w:rPr>
              <w:t>pirmstiesas</w:t>
            </w:r>
            <w:proofErr w:type="spellEnd"/>
            <w:r w:rsidRPr="00BF055E">
              <w:rPr>
                <w:rFonts w:eastAsia="Times New Roman" w:cs="Times New Roman"/>
                <w:sz w:val="18"/>
                <w:szCs w:val="18"/>
                <w:lang w:eastAsia="lv-LV"/>
              </w:rPr>
              <w:t xml:space="preserve"> un tiesvedības procesu, kā arī nolēmumu izpildes un uzraudzības procesu un saistīto pakalpojumu digitālā transformācija, tai skaitā e-lietas attīstība.                     Paredzēts pilnveidot </w:t>
            </w:r>
            <w:proofErr w:type="spellStart"/>
            <w:r w:rsidRPr="00BF055E">
              <w:rPr>
                <w:rFonts w:eastAsia="Times New Roman" w:cs="Times New Roman"/>
                <w:sz w:val="18"/>
                <w:szCs w:val="18"/>
                <w:lang w:eastAsia="lv-LV"/>
              </w:rPr>
              <w:t>pirmstiesas</w:t>
            </w:r>
            <w:proofErr w:type="spellEnd"/>
            <w:r w:rsidRPr="00BF055E">
              <w:rPr>
                <w:rFonts w:eastAsia="Times New Roman" w:cs="Times New Roman"/>
                <w:sz w:val="18"/>
                <w:szCs w:val="18"/>
                <w:lang w:eastAsia="lv-LV"/>
              </w:rPr>
              <w:t xml:space="preserve">, tiesvedības un nolēmumu izpildes elektronisko procesu, kas ļaus samazināt gan </w:t>
            </w:r>
            <w:proofErr w:type="spellStart"/>
            <w:r w:rsidRPr="00BF055E">
              <w:rPr>
                <w:rFonts w:eastAsia="Times New Roman" w:cs="Times New Roman"/>
                <w:sz w:val="18"/>
                <w:szCs w:val="18"/>
                <w:lang w:eastAsia="lv-LV"/>
              </w:rPr>
              <w:t>pirmstiesas</w:t>
            </w:r>
            <w:proofErr w:type="spellEnd"/>
            <w:r w:rsidRPr="00BF055E">
              <w:rPr>
                <w:rFonts w:eastAsia="Times New Roman" w:cs="Times New Roman"/>
                <w:sz w:val="18"/>
                <w:szCs w:val="18"/>
                <w:lang w:eastAsia="lv-LV"/>
              </w:rPr>
              <w:t>, gan tiesvedības termiņus, nodrošināt informācijas pieejamību un atklātību. Pilnveidojumu pamata mērķis ir padarīt administratīvo procesu, civilprocesu, kriminālprocesu, administratīvo pārkāpumu procesu un nolēmumu izpildes procesu ātrāku, lētāku, efektīvāku, caurskatāmāku un drošāku.</w:t>
            </w:r>
          </w:p>
        </w:tc>
        <w:tc>
          <w:tcPr>
            <w:tcW w:w="1843" w:type="dxa"/>
            <w:tcBorders>
              <w:top w:val="nil"/>
              <w:left w:val="nil"/>
              <w:bottom w:val="single" w:sz="4" w:space="0" w:color="auto"/>
              <w:right w:val="single" w:sz="4" w:space="0" w:color="auto"/>
            </w:tcBorders>
            <w:shd w:val="clear" w:color="000000" w:fill="FFFFFF"/>
            <w:hideMark/>
          </w:tcPr>
          <w:p w14:paraId="225574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Projekts paredz pilnveidot elektronisko lietu </w:t>
            </w:r>
            <w:proofErr w:type="spellStart"/>
            <w:r w:rsidRPr="00BF055E">
              <w:rPr>
                <w:rFonts w:eastAsia="Times New Roman" w:cs="Times New Roman"/>
                <w:sz w:val="18"/>
                <w:szCs w:val="18"/>
                <w:lang w:eastAsia="lv-LV"/>
              </w:rPr>
              <w:t>pirmstiesas</w:t>
            </w:r>
            <w:proofErr w:type="spellEnd"/>
            <w:r w:rsidRPr="00BF055E">
              <w:rPr>
                <w:rFonts w:eastAsia="Times New Roman" w:cs="Times New Roman"/>
                <w:sz w:val="18"/>
                <w:szCs w:val="18"/>
                <w:lang w:eastAsia="lv-LV"/>
              </w:rPr>
              <w:t>, tiesvedības un nolēmumu izpildes procesos, nodrošinot informācijas pieejamību elektroniskajā vidē visiem procesā iesaistītajiem dalībniekiem. Aktivitātes:</w:t>
            </w:r>
            <w:r w:rsidRPr="00BF055E">
              <w:rPr>
                <w:rFonts w:eastAsia="Times New Roman" w:cs="Times New Roman"/>
                <w:sz w:val="18"/>
                <w:szCs w:val="18"/>
                <w:lang w:eastAsia="lv-LV"/>
              </w:rPr>
              <w:br/>
              <w:t xml:space="preserve">1) esošo E-lietas platformas koplietošanas risinājumu pilnveidošana; 2) jaunu E-lietas platformas koplietošanas risinājumu izstrāde; 3) Tiesu informatīvās sistēmas (TIS) pilnveide; 5) e-lietas portāla attīstība; 6) Valsts probācijas dienesta Probācijas klientu uzskaites sistēmas (PLUS) un datu apmaiņas E-lietas platformā pilnveide; 7) </w:t>
            </w:r>
            <w:r w:rsidRPr="00BF055E">
              <w:rPr>
                <w:rFonts w:eastAsia="Times New Roman" w:cs="Times New Roman"/>
                <w:sz w:val="18"/>
                <w:szCs w:val="18"/>
                <w:lang w:eastAsia="lv-LV"/>
              </w:rPr>
              <w:lastRenderedPageBreak/>
              <w:t xml:space="preserve">Ieslodzījuma vietu pārvaldes sistēmas (IIS) un datu apmaiņas E-lietas platformā pilnveide; 8) Valsts nodrošinātas juridiskās palīdzības reģistra (VNJPR) un Valsts kompensācijas reģistra (VKR) un datu apmaiņas E-lietas platformā pilnveide </w:t>
            </w:r>
          </w:p>
        </w:tc>
        <w:tc>
          <w:tcPr>
            <w:tcW w:w="1134" w:type="dxa"/>
            <w:tcBorders>
              <w:top w:val="nil"/>
              <w:left w:val="nil"/>
              <w:bottom w:val="single" w:sz="4" w:space="0" w:color="auto"/>
              <w:right w:val="single" w:sz="4" w:space="0" w:color="auto"/>
            </w:tcBorders>
            <w:shd w:val="clear" w:color="000000" w:fill="FFFFFF"/>
            <w:hideMark/>
          </w:tcPr>
          <w:p w14:paraId="4357AB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04.08.2023.-31.05.2026.</w:t>
            </w:r>
          </w:p>
        </w:tc>
        <w:tc>
          <w:tcPr>
            <w:tcW w:w="1275" w:type="dxa"/>
            <w:tcBorders>
              <w:top w:val="nil"/>
              <w:left w:val="nil"/>
              <w:bottom w:val="single" w:sz="4" w:space="0" w:color="auto"/>
              <w:right w:val="single" w:sz="4" w:space="0" w:color="auto"/>
            </w:tcBorders>
            <w:shd w:val="clear" w:color="auto" w:fill="auto"/>
            <w:hideMark/>
          </w:tcPr>
          <w:p w14:paraId="156131C9" w14:textId="7412B26B"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w:t>
            </w:r>
            <w:r w:rsidR="00BF53B6">
              <w:rPr>
                <w:rFonts w:eastAsia="Times New Roman" w:cs="Times New Roman"/>
                <w:sz w:val="18"/>
                <w:szCs w:val="18"/>
                <w:lang w:eastAsia="lv-LV"/>
              </w:rPr>
              <w:t xml:space="preserve">NM </w:t>
            </w:r>
            <w:r w:rsidRPr="00BF055E">
              <w:rPr>
                <w:rFonts w:eastAsia="Times New Roman" w:cs="Times New Roman"/>
                <w:sz w:val="18"/>
                <w:szCs w:val="18"/>
                <w:lang w:eastAsia="lv-LV"/>
              </w:rPr>
              <w:t xml:space="preserve">finansējums -     6 670 000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PVN 1 307 186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w:t>
            </w:r>
          </w:p>
        </w:tc>
        <w:tc>
          <w:tcPr>
            <w:tcW w:w="1276" w:type="dxa"/>
            <w:tcBorders>
              <w:top w:val="nil"/>
              <w:left w:val="nil"/>
              <w:bottom w:val="single" w:sz="4" w:space="0" w:color="auto"/>
              <w:right w:val="single" w:sz="4" w:space="0" w:color="auto"/>
            </w:tcBorders>
            <w:shd w:val="clear" w:color="000000" w:fill="FFFFFF"/>
            <w:hideMark/>
          </w:tcPr>
          <w:p w14:paraId="4CBFB91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TM/VARAM</w:t>
            </w:r>
          </w:p>
        </w:tc>
        <w:tc>
          <w:tcPr>
            <w:tcW w:w="992" w:type="dxa"/>
            <w:tcBorders>
              <w:top w:val="nil"/>
              <w:left w:val="nil"/>
              <w:bottom w:val="single" w:sz="4" w:space="0" w:color="auto"/>
              <w:right w:val="single" w:sz="4" w:space="0" w:color="auto"/>
            </w:tcBorders>
            <w:shd w:val="clear" w:color="auto" w:fill="auto"/>
            <w:hideMark/>
          </w:tcPr>
          <w:p w14:paraId="722DB0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5DDC01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2022(1); 2023(1)</w:t>
            </w:r>
          </w:p>
        </w:tc>
        <w:tc>
          <w:tcPr>
            <w:tcW w:w="1134" w:type="dxa"/>
            <w:tcBorders>
              <w:top w:val="nil"/>
              <w:left w:val="nil"/>
              <w:bottom w:val="single" w:sz="4" w:space="0" w:color="auto"/>
              <w:right w:val="single" w:sz="4" w:space="0" w:color="auto"/>
            </w:tcBorders>
            <w:shd w:val="clear" w:color="000000" w:fill="FFFFFF"/>
            <w:hideMark/>
          </w:tcPr>
          <w:p w14:paraId="5C26B6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850" w:type="dxa"/>
            <w:tcBorders>
              <w:top w:val="nil"/>
              <w:left w:val="nil"/>
              <w:bottom w:val="single" w:sz="4" w:space="0" w:color="auto"/>
              <w:right w:val="single" w:sz="4" w:space="0" w:color="auto"/>
            </w:tcBorders>
            <w:shd w:val="clear" w:color="000000" w:fill="FFFFFF"/>
            <w:hideMark/>
          </w:tcPr>
          <w:p w14:paraId="543436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7219AD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16. Miers, taisnīgums, laba pārvaldība</w:t>
            </w:r>
          </w:p>
        </w:tc>
      </w:tr>
      <w:tr w:rsidR="00BF055E" w:rsidRPr="00BF055E" w14:paraId="6DAEE79A" w14:textId="77777777" w:rsidTr="003B1594">
        <w:trPr>
          <w:trHeight w:val="20"/>
        </w:trPr>
        <w:tc>
          <w:tcPr>
            <w:tcW w:w="1877" w:type="dxa"/>
            <w:tcBorders>
              <w:top w:val="nil"/>
              <w:left w:val="single" w:sz="4" w:space="0" w:color="auto"/>
              <w:bottom w:val="single" w:sz="4" w:space="0" w:color="auto"/>
              <w:right w:val="single" w:sz="4" w:space="0" w:color="auto"/>
            </w:tcBorders>
            <w:shd w:val="clear" w:color="000000" w:fill="FFFFFF"/>
            <w:hideMark/>
          </w:tcPr>
          <w:p w14:paraId="2BF24E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nosaukums: “Eiropas Jūras </w:t>
            </w:r>
            <w:proofErr w:type="spellStart"/>
            <w:r w:rsidRPr="00BF055E">
              <w:rPr>
                <w:rFonts w:eastAsia="Times New Roman" w:cs="Times New Roman"/>
                <w:sz w:val="18"/>
                <w:szCs w:val="18"/>
                <w:lang w:eastAsia="lv-LV"/>
              </w:rPr>
              <w:t>vienloga</w:t>
            </w:r>
            <w:proofErr w:type="spellEnd"/>
            <w:r w:rsidRPr="00BF055E">
              <w:rPr>
                <w:rFonts w:eastAsia="Times New Roman" w:cs="Times New Roman"/>
                <w:sz w:val="18"/>
                <w:szCs w:val="18"/>
                <w:lang w:eastAsia="lv-LV"/>
              </w:rPr>
              <w:t xml:space="preserve"> sistēmas </w:t>
            </w:r>
            <w:proofErr w:type="spellStart"/>
            <w:r w:rsidRPr="00BF055E">
              <w:rPr>
                <w:rFonts w:eastAsia="Times New Roman" w:cs="Times New Roman"/>
                <w:sz w:val="18"/>
                <w:szCs w:val="18"/>
                <w:lang w:eastAsia="lv-LV"/>
              </w:rPr>
              <w:t>EMSWe</w:t>
            </w:r>
            <w:proofErr w:type="spellEnd"/>
            <w:r w:rsidRPr="00BF055E">
              <w:rPr>
                <w:rFonts w:eastAsia="Times New Roman" w:cs="Times New Roman"/>
                <w:sz w:val="18"/>
                <w:szCs w:val="18"/>
                <w:lang w:eastAsia="lv-LV"/>
              </w:rPr>
              <w:t xml:space="preserve"> ieviešana”.</w:t>
            </w:r>
          </w:p>
        </w:tc>
        <w:tc>
          <w:tcPr>
            <w:tcW w:w="2371" w:type="dxa"/>
            <w:tcBorders>
              <w:top w:val="nil"/>
              <w:left w:val="nil"/>
              <w:bottom w:val="single" w:sz="4" w:space="0" w:color="auto"/>
              <w:right w:val="single" w:sz="4" w:space="0" w:color="auto"/>
            </w:tcBorders>
            <w:shd w:val="clear" w:color="000000" w:fill="FFFFFF"/>
            <w:hideMark/>
          </w:tcPr>
          <w:p w14:paraId="09C97D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digitālās pārkārtošanas veicināšanai : nodrošināt visās Latvijas ostās ar visām citām ES dalībvalstu ostām vienādus un saskaņotus noteikumus attiecībā uz tās informācijas sniegšanu, kas vajadzīga kuģa piestāšanai ostā, jo īpaši, nodrošinot lai par tām pašām datu kopām varētu ziņot katrai ES dalībvalsts jūras </w:t>
            </w:r>
            <w:proofErr w:type="spellStart"/>
            <w:r w:rsidRPr="00BF055E">
              <w:rPr>
                <w:rFonts w:eastAsia="Times New Roman" w:cs="Times New Roman"/>
                <w:sz w:val="18"/>
                <w:szCs w:val="18"/>
                <w:lang w:eastAsia="lv-LV"/>
              </w:rPr>
              <w:t>vienloga</w:t>
            </w:r>
            <w:proofErr w:type="spellEnd"/>
            <w:r w:rsidRPr="00BF055E">
              <w:rPr>
                <w:rFonts w:eastAsia="Times New Roman" w:cs="Times New Roman"/>
                <w:sz w:val="18"/>
                <w:szCs w:val="18"/>
                <w:lang w:eastAsia="lv-LV"/>
              </w:rPr>
              <w:t xml:space="preserve"> sistēmai vienā un tajā pašā veidā un apjomā, kā arī atvieglot informācijas pārraidi starp deklarētājiem, kontrolējošajām iestādēm un ostas pakalpojumu sniedzējiem piestāšanas ostā, papildus nodrošinot informācijas apmaiņu ar citām dalībvalstīm.</w:t>
            </w:r>
          </w:p>
        </w:tc>
        <w:tc>
          <w:tcPr>
            <w:tcW w:w="1843" w:type="dxa"/>
            <w:tcBorders>
              <w:top w:val="nil"/>
              <w:left w:val="nil"/>
              <w:bottom w:val="single" w:sz="4" w:space="0" w:color="auto"/>
              <w:right w:val="single" w:sz="4" w:space="0" w:color="auto"/>
            </w:tcBorders>
            <w:shd w:val="clear" w:color="000000" w:fill="FFFFFF"/>
            <w:hideMark/>
          </w:tcPr>
          <w:p w14:paraId="11CF886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Projekta </w:t>
            </w:r>
            <w:proofErr w:type="spellStart"/>
            <w:r w:rsidRPr="00BF055E">
              <w:rPr>
                <w:rFonts w:eastAsia="Times New Roman" w:cs="Times New Roman"/>
                <w:sz w:val="18"/>
                <w:szCs w:val="18"/>
                <w:lang w:eastAsia="lv-LV"/>
              </w:rPr>
              <w:t>priekšatlase</w:t>
            </w:r>
            <w:proofErr w:type="spellEnd"/>
            <w:r w:rsidRPr="00BF055E">
              <w:rPr>
                <w:rFonts w:eastAsia="Times New Roman" w:cs="Times New Roman"/>
                <w:sz w:val="18"/>
                <w:szCs w:val="18"/>
                <w:lang w:eastAsia="lv-LV"/>
              </w:rPr>
              <w:t xml:space="preserve"> un projekta apstiprināšana MK (2025.gada 1.ceturksnis)             2) Projekta realizācija (2025.gada 1.ceturksnis - 2027.gada 4.ceturksnis)</w:t>
            </w:r>
          </w:p>
        </w:tc>
        <w:tc>
          <w:tcPr>
            <w:tcW w:w="1134" w:type="dxa"/>
            <w:tcBorders>
              <w:top w:val="nil"/>
              <w:left w:val="nil"/>
              <w:bottom w:val="single" w:sz="4" w:space="0" w:color="auto"/>
              <w:right w:val="single" w:sz="4" w:space="0" w:color="auto"/>
            </w:tcBorders>
            <w:shd w:val="clear" w:color="000000" w:fill="FFFFFF"/>
            <w:hideMark/>
          </w:tcPr>
          <w:p w14:paraId="61B1D7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 -2027. g.</w:t>
            </w:r>
          </w:p>
        </w:tc>
        <w:tc>
          <w:tcPr>
            <w:tcW w:w="1275" w:type="dxa"/>
            <w:tcBorders>
              <w:top w:val="nil"/>
              <w:left w:val="nil"/>
              <w:bottom w:val="single" w:sz="4" w:space="0" w:color="auto"/>
              <w:right w:val="single" w:sz="4" w:space="0" w:color="auto"/>
            </w:tcBorders>
            <w:shd w:val="clear" w:color="auto" w:fill="auto"/>
            <w:hideMark/>
          </w:tcPr>
          <w:p w14:paraId="7EB6660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3,4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(ERAF)</w:t>
            </w:r>
          </w:p>
        </w:tc>
        <w:tc>
          <w:tcPr>
            <w:tcW w:w="1276" w:type="dxa"/>
            <w:tcBorders>
              <w:top w:val="nil"/>
              <w:left w:val="nil"/>
              <w:bottom w:val="single" w:sz="4" w:space="0" w:color="auto"/>
              <w:right w:val="single" w:sz="4" w:space="0" w:color="auto"/>
            </w:tcBorders>
            <w:shd w:val="clear" w:color="000000" w:fill="FFFFFF"/>
            <w:hideMark/>
          </w:tcPr>
          <w:p w14:paraId="367447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SM</w:t>
            </w:r>
          </w:p>
        </w:tc>
        <w:tc>
          <w:tcPr>
            <w:tcW w:w="992" w:type="dxa"/>
            <w:tcBorders>
              <w:top w:val="nil"/>
              <w:left w:val="nil"/>
              <w:bottom w:val="single" w:sz="4" w:space="0" w:color="auto"/>
              <w:right w:val="single" w:sz="4" w:space="0" w:color="auto"/>
            </w:tcBorders>
            <w:shd w:val="clear" w:color="000000" w:fill="FFFFFF"/>
            <w:hideMark/>
          </w:tcPr>
          <w:p w14:paraId="25EE6F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4739199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2022(1); 2023(1)</w:t>
            </w:r>
          </w:p>
        </w:tc>
        <w:tc>
          <w:tcPr>
            <w:tcW w:w="1134" w:type="dxa"/>
            <w:tcBorders>
              <w:top w:val="nil"/>
              <w:left w:val="nil"/>
              <w:bottom w:val="single" w:sz="4" w:space="0" w:color="auto"/>
              <w:right w:val="single" w:sz="4" w:space="0" w:color="auto"/>
            </w:tcBorders>
            <w:shd w:val="clear" w:color="000000" w:fill="FFFFFF"/>
            <w:hideMark/>
          </w:tcPr>
          <w:p w14:paraId="749741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850" w:type="dxa"/>
            <w:tcBorders>
              <w:top w:val="nil"/>
              <w:left w:val="nil"/>
              <w:bottom w:val="single" w:sz="4" w:space="0" w:color="auto"/>
              <w:right w:val="single" w:sz="4" w:space="0" w:color="auto"/>
            </w:tcBorders>
            <w:shd w:val="clear" w:color="000000" w:fill="FFFFFF"/>
            <w:hideMark/>
          </w:tcPr>
          <w:p w14:paraId="69C8B79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57" w:type="dxa"/>
            <w:tcBorders>
              <w:top w:val="nil"/>
              <w:left w:val="nil"/>
              <w:bottom w:val="single" w:sz="4" w:space="0" w:color="auto"/>
              <w:right w:val="single" w:sz="4" w:space="0" w:color="auto"/>
            </w:tcBorders>
            <w:shd w:val="clear" w:color="000000" w:fill="FFFFFF"/>
            <w:hideMark/>
          </w:tcPr>
          <w:p w14:paraId="54376F1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32E7B778" w14:textId="77777777" w:rsidTr="003B1594">
        <w:trPr>
          <w:trHeight w:val="20"/>
        </w:trPr>
        <w:tc>
          <w:tcPr>
            <w:tcW w:w="1877" w:type="dxa"/>
            <w:tcBorders>
              <w:top w:val="nil"/>
              <w:left w:val="single" w:sz="4" w:space="0" w:color="auto"/>
              <w:bottom w:val="single" w:sz="4" w:space="0" w:color="auto"/>
              <w:right w:val="single" w:sz="4" w:space="0" w:color="auto"/>
            </w:tcBorders>
            <w:shd w:val="clear" w:color="000000" w:fill="FFFFFF"/>
            <w:hideMark/>
          </w:tcPr>
          <w:p w14:paraId="69F7FC0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ANM plāna 2.4. reformu un investīciju </w:t>
            </w:r>
            <w:r w:rsidRPr="00BF055E">
              <w:rPr>
                <w:rFonts w:eastAsia="Times New Roman" w:cs="Times New Roman"/>
                <w:sz w:val="18"/>
                <w:szCs w:val="18"/>
                <w:lang w:eastAsia="lv-LV"/>
              </w:rPr>
              <w:lastRenderedPageBreak/>
              <w:t xml:space="preserve">virziena "Digitālās infrastruktūras transformācija" 2.4.1.2.i. investīcija "Platjoslas jeb ļoti augstas veiktspējas tīklu "pēdējās jūdzes" infrastruktūras attīstība" </w:t>
            </w:r>
          </w:p>
        </w:tc>
        <w:tc>
          <w:tcPr>
            <w:tcW w:w="2371" w:type="dxa"/>
            <w:tcBorders>
              <w:top w:val="nil"/>
              <w:left w:val="nil"/>
              <w:bottom w:val="single" w:sz="4" w:space="0" w:color="auto"/>
              <w:right w:val="single" w:sz="4" w:space="0" w:color="auto"/>
            </w:tcBorders>
            <w:shd w:val="clear" w:color="000000" w:fill="FFFFFF"/>
            <w:hideMark/>
          </w:tcPr>
          <w:p w14:paraId="698B6BF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Veicināt investīcijas reģionālajā attīstībā un </w:t>
            </w:r>
            <w:r w:rsidRPr="00BF055E">
              <w:rPr>
                <w:rFonts w:eastAsia="Times New Roman" w:cs="Times New Roman"/>
                <w:sz w:val="18"/>
                <w:szCs w:val="18"/>
                <w:lang w:eastAsia="lv-LV"/>
              </w:rPr>
              <w:lastRenderedPageBreak/>
              <w:t xml:space="preserve">mazināt reģionālās atšķirības; nodrošināt piekļuvi platjoslas savienojumiem ar ļoti augstas veiktspējas tīklu 6200 mājsaimniecībām, uzņēmumiem, slimnīcām, izglītības iestādēm u.c.  proporcionāli visos plānošanas reģionos. </w:t>
            </w:r>
          </w:p>
        </w:tc>
        <w:tc>
          <w:tcPr>
            <w:tcW w:w="1843" w:type="dxa"/>
            <w:tcBorders>
              <w:top w:val="nil"/>
              <w:left w:val="nil"/>
              <w:bottom w:val="single" w:sz="4" w:space="0" w:color="auto"/>
              <w:right w:val="single" w:sz="4" w:space="0" w:color="auto"/>
            </w:tcBorders>
            <w:shd w:val="clear" w:color="000000" w:fill="FFFFFF"/>
            <w:hideMark/>
          </w:tcPr>
          <w:p w14:paraId="24BA702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2023.g. pabeigta normatīvā regulējuma </w:t>
            </w:r>
            <w:r w:rsidRPr="00BF055E">
              <w:rPr>
                <w:rFonts w:eastAsia="Times New Roman" w:cs="Times New Roman"/>
                <w:sz w:val="18"/>
                <w:szCs w:val="18"/>
                <w:lang w:eastAsia="lv-LV"/>
              </w:rPr>
              <w:lastRenderedPageBreak/>
              <w:t xml:space="preserve">izstrāde.                                                                                                                                                                                                                                                                                                                                                                                                                        2) 2024.g. projektu atlase un vērtēšana.                                                                                                                                                                                                                                             3) Indikatīvi 2024.g. septembrī CFLA līgumu slēgšana ar investīcijas projektu īstenotājiem.                                                                                                                                                                                                                                             </w:t>
            </w:r>
          </w:p>
        </w:tc>
        <w:tc>
          <w:tcPr>
            <w:tcW w:w="1134" w:type="dxa"/>
            <w:tcBorders>
              <w:top w:val="nil"/>
              <w:left w:val="nil"/>
              <w:bottom w:val="single" w:sz="4" w:space="0" w:color="auto"/>
              <w:right w:val="single" w:sz="4" w:space="0" w:color="auto"/>
            </w:tcBorders>
            <w:shd w:val="clear" w:color="000000" w:fill="FFFFFF"/>
            <w:hideMark/>
          </w:tcPr>
          <w:p w14:paraId="1F6E28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2022.g.-30.06.2026.</w:t>
            </w:r>
          </w:p>
        </w:tc>
        <w:tc>
          <w:tcPr>
            <w:tcW w:w="1275" w:type="dxa"/>
            <w:tcBorders>
              <w:top w:val="nil"/>
              <w:left w:val="nil"/>
              <w:bottom w:val="single" w:sz="4" w:space="0" w:color="auto"/>
              <w:right w:val="single" w:sz="4" w:space="0" w:color="auto"/>
            </w:tcBorders>
            <w:shd w:val="clear" w:color="auto" w:fill="auto"/>
            <w:hideMark/>
          </w:tcPr>
          <w:p w14:paraId="601CE1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16 500 000 </w:t>
            </w:r>
            <w:proofErr w:type="spellStart"/>
            <w:r w:rsidRPr="00BF055E">
              <w:rPr>
                <w:rFonts w:eastAsia="Times New Roman" w:cs="Times New Roman"/>
                <w:i/>
                <w:sz w:val="18"/>
                <w:szCs w:val="18"/>
                <w:lang w:eastAsia="lv-LV"/>
              </w:rPr>
              <w:t>euro</w:t>
            </w:r>
            <w:proofErr w:type="spellEnd"/>
          </w:p>
        </w:tc>
        <w:tc>
          <w:tcPr>
            <w:tcW w:w="1276" w:type="dxa"/>
            <w:tcBorders>
              <w:top w:val="nil"/>
              <w:left w:val="nil"/>
              <w:bottom w:val="single" w:sz="4" w:space="0" w:color="auto"/>
              <w:right w:val="single" w:sz="4" w:space="0" w:color="auto"/>
            </w:tcBorders>
            <w:shd w:val="clear" w:color="000000" w:fill="FFFFFF"/>
            <w:hideMark/>
          </w:tcPr>
          <w:p w14:paraId="4F00F0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SM/ CFLA</w:t>
            </w:r>
          </w:p>
        </w:tc>
        <w:tc>
          <w:tcPr>
            <w:tcW w:w="992" w:type="dxa"/>
            <w:tcBorders>
              <w:top w:val="nil"/>
              <w:left w:val="nil"/>
              <w:bottom w:val="single" w:sz="4" w:space="0" w:color="auto"/>
              <w:right w:val="single" w:sz="4" w:space="0" w:color="auto"/>
            </w:tcBorders>
            <w:shd w:val="clear" w:color="auto" w:fill="auto"/>
            <w:hideMark/>
          </w:tcPr>
          <w:p w14:paraId="72168F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668736E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2019(3); 2020(3); </w:t>
            </w:r>
            <w:r w:rsidRPr="00BF055E">
              <w:rPr>
                <w:rFonts w:eastAsia="Times New Roman" w:cs="Times New Roman"/>
                <w:sz w:val="18"/>
                <w:szCs w:val="18"/>
                <w:lang w:eastAsia="lv-LV"/>
              </w:rPr>
              <w:lastRenderedPageBreak/>
              <w:t>2021(1); 2022(1); 2023(1)</w:t>
            </w:r>
          </w:p>
        </w:tc>
        <w:tc>
          <w:tcPr>
            <w:tcW w:w="1134" w:type="dxa"/>
            <w:tcBorders>
              <w:top w:val="nil"/>
              <w:left w:val="nil"/>
              <w:bottom w:val="single" w:sz="4" w:space="0" w:color="auto"/>
              <w:right w:val="single" w:sz="4" w:space="0" w:color="auto"/>
            </w:tcBorders>
            <w:shd w:val="clear" w:color="000000" w:fill="FFFFFF"/>
            <w:hideMark/>
          </w:tcPr>
          <w:p w14:paraId="6C5244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Taisnīga zaļā un </w:t>
            </w:r>
            <w:r w:rsidRPr="00BF055E">
              <w:rPr>
                <w:rFonts w:eastAsia="Times New Roman" w:cs="Times New Roman"/>
                <w:sz w:val="18"/>
                <w:szCs w:val="18"/>
                <w:lang w:eastAsia="lv-LV"/>
              </w:rPr>
              <w:lastRenderedPageBreak/>
              <w:t>digitālā pārkārtošanās; 2. Sociālā un ekonomikas noturība, t.sk. Eiropas Sociālo tiesību pīlārs</w:t>
            </w:r>
          </w:p>
        </w:tc>
        <w:tc>
          <w:tcPr>
            <w:tcW w:w="850" w:type="dxa"/>
            <w:tcBorders>
              <w:top w:val="nil"/>
              <w:left w:val="nil"/>
              <w:bottom w:val="single" w:sz="4" w:space="0" w:color="auto"/>
              <w:right w:val="single" w:sz="4" w:space="0" w:color="auto"/>
            </w:tcBorders>
            <w:shd w:val="clear" w:color="000000" w:fill="FFFFFF"/>
            <w:hideMark/>
          </w:tcPr>
          <w:p w14:paraId="2B26B3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957" w:type="dxa"/>
            <w:tcBorders>
              <w:top w:val="nil"/>
              <w:left w:val="nil"/>
              <w:bottom w:val="single" w:sz="4" w:space="0" w:color="auto"/>
              <w:right w:val="single" w:sz="4" w:space="0" w:color="auto"/>
            </w:tcBorders>
            <w:shd w:val="clear" w:color="000000" w:fill="FFFFFF"/>
            <w:hideMark/>
          </w:tcPr>
          <w:p w14:paraId="06D19F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w:t>
            </w:r>
            <w:r w:rsidRPr="00BF055E">
              <w:rPr>
                <w:rFonts w:eastAsia="Times New Roman" w:cs="Times New Roman"/>
                <w:sz w:val="18"/>
                <w:szCs w:val="18"/>
                <w:lang w:eastAsia="lv-LV"/>
              </w:rPr>
              <w:lastRenderedPageBreak/>
              <w:t>inovācijas un infrastruktūra; 10. Mazināta nevienlīdzība; 11. Ilgtspējīgas pilsētas un kopienas</w:t>
            </w:r>
          </w:p>
        </w:tc>
      </w:tr>
    </w:tbl>
    <w:p w14:paraId="7E764796" w14:textId="77777777" w:rsidR="00BF055E" w:rsidRPr="00BF055E" w:rsidRDefault="00BF055E" w:rsidP="006357B3">
      <w:pPr>
        <w:spacing w:after="0" w:line="240" w:lineRule="auto"/>
        <w:rPr>
          <w:rFonts w:eastAsia="Calibri" w:cs="Times New Roman"/>
          <w:kern w:val="2"/>
          <w:szCs w:val="24"/>
          <w14:ligatures w14:val="standardContextual"/>
        </w:rPr>
      </w:pPr>
    </w:p>
    <w:p w14:paraId="1AA55342" w14:textId="04067F36"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.1.12. Pāreja uz aprites ekonomiku</w:t>
      </w:r>
    </w:p>
    <w:p w14:paraId="0F000D9E" w14:textId="5D63ADEC" w:rsidR="0058560C" w:rsidRPr="0058560C" w:rsidRDefault="00BF055E" w:rsidP="0058560C">
      <w:pPr>
        <w:spacing w:before="120" w:after="24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Latvijas FSP paredz atbalsta pasākumus aprites ekonomikas principu ieviešanai un notekūdeņu dūņu pārstrādes veicināšanai. Ar ES fondu atbalstu plānots atbalsts ilgtspējīgai lauksaimniecības praksei lauksaimniecībā ar mērķi veicināt ilgtspējīgu attīstību un efektīvu tādu dabas resursu pārvaldību kā ūdens, augsne un gaiss, tostarp, samazinot atkarību no ķimikālijām (skat. arī citus pasākumus, kuru mērķis ir veicināt zaļo pāreju, inovācijas u.c.).</w:t>
      </w:r>
    </w:p>
    <w:p w14:paraId="4F4518CE" w14:textId="01D7A778"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Pāreja uz aprites ekonomiku</w:t>
      </w:r>
    </w:p>
    <w:tbl>
      <w:tblPr>
        <w:tblW w:w="0" w:type="auto"/>
        <w:tblLook w:val="04A0" w:firstRow="1" w:lastRow="0" w:firstColumn="1" w:lastColumn="0" w:noHBand="0" w:noVBand="1"/>
      </w:tblPr>
      <w:tblGrid>
        <w:gridCol w:w="1456"/>
        <w:gridCol w:w="2083"/>
        <w:gridCol w:w="2729"/>
        <w:gridCol w:w="1107"/>
        <w:gridCol w:w="1356"/>
        <w:gridCol w:w="1177"/>
        <w:gridCol w:w="917"/>
        <w:gridCol w:w="786"/>
        <w:gridCol w:w="1206"/>
        <w:gridCol w:w="817"/>
        <w:gridCol w:w="926"/>
      </w:tblGrid>
      <w:tr w:rsidR="00BF055E" w:rsidRPr="00BF055E" w14:paraId="1A68D275" w14:textId="77777777" w:rsidTr="003B1594">
        <w:trPr>
          <w:trHeight w:val="20"/>
          <w:tblHeader/>
        </w:trPr>
        <w:tc>
          <w:tcPr>
            <w:tcW w:w="1456"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28D580D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w:t>
            </w:r>
          </w:p>
          <w:p w14:paraId="21BD529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investīcijas) nosaukums</w:t>
            </w:r>
          </w:p>
        </w:tc>
        <w:tc>
          <w:tcPr>
            <w:tcW w:w="2083" w:type="dxa"/>
            <w:tcBorders>
              <w:top w:val="single" w:sz="4" w:space="0" w:color="auto"/>
              <w:left w:val="nil"/>
              <w:bottom w:val="single" w:sz="4" w:space="0" w:color="auto"/>
              <w:right w:val="single" w:sz="4" w:space="0" w:color="auto"/>
            </w:tcBorders>
            <w:shd w:val="clear" w:color="000000" w:fill="95B3D7"/>
            <w:vAlign w:val="center"/>
            <w:hideMark/>
          </w:tcPr>
          <w:p w14:paraId="7716161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729" w:type="dxa"/>
            <w:tcBorders>
              <w:top w:val="single" w:sz="4" w:space="0" w:color="auto"/>
              <w:left w:val="nil"/>
              <w:bottom w:val="single" w:sz="4" w:space="0" w:color="auto"/>
              <w:right w:val="single" w:sz="4" w:space="0" w:color="auto"/>
            </w:tcBorders>
            <w:shd w:val="clear" w:color="000000" w:fill="95B3D7"/>
            <w:vAlign w:val="center"/>
            <w:hideMark/>
          </w:tcPr>
          <w:p w14:paraId="255A42C7"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12C09EA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0292C4F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539ABA8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71F1B5FD"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ANM/ES budžets (MFF)</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60DF948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7C53104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19A48E4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0" w:type="auto"/>
            <w:tcBorders>
              <w:top w:val="single" w:sz="4" w:space="0" w:color="auto"/>
              <w:left w:val="nil"/>
              <w:bottom w:val="single" w:sz="4" w:space="0" w:color="auto"/>
              <w:right w:val="single" w:sz="4" w:space="0" w:color="auto"/>
            </w:tcBorders>
            <w:shd w:val="clear" w:color="000000" w:fill="95B3D7"/>
            <w:vAlign w:val="center"/>
            <w:hideMark/>
          </w:tcPr>
          <w:p w14:paraId="58F3C21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3EC285CE" w14:textId="77777777" w:rsidTr="003B1594">
        <w:trPr>
          <w:trHeight w:val="20"/>
          <w:tblHeader/>
        </w:trPr>
        <w:tc>
          <w:tcPr>
            <w:tcW w:w="14560"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425E8288"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Pāreja uz aprites ekonomiku</w:t>
            </w:r>
          </w:p>
        </w:tc>
      </w:tr>
      <w:tr w:rsidR="00BF055E" w:rsidRPr="00BF055E" w14:paraId="4827501E" w14:textId="77777777" w:rsidTr="003B1594">
        <w:trPr>
          <w:trHeight w:val="20"/>
        </w:trPr>
        <w:tc>
          <w:tcPr>
            <w:tcW w:w="1456" w:type="dxa"/>
            <w:tcBorders>
              <w:top w:val="nil"/>
              <w:left w:val="single" w:sz="4" w:space="0" w:color="auto"/>
              <w:bottom w:val="single" w:sz="4" w:space="0" w:color="auto"/>
              <w:right w:val="single" w:sz="4" w:space="0" w:color="auto"/>
            </w:tcBorders>
            <w:shd w:val="clear" w:color="auto" w:fill="auto"/>
            <w:hideMark/>
          </w:tcPr>
          <w:p w14:paraId="479406F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Atbalsts aprites ekonomikas veicināšanai </w:t>
            </w:r>
          </w:p>
        </w:tc>
        <w:tc>
          <w:tcPr>
            <w:tcW w:w="2083" w:type="dxa"/>
            <w:tcBorders>
              <w:top w:val="nil"/>
              <w:left w:val="nil"/>
              <w:bottom w:val="single" w:sz="4" w:space="0" w:color="auto"/>
              <w:right w:val="single" w:sz="4" w:space="0" w:color="auto"/>
            </w:tcBorders>
            <w:shd w:val="clear" w:color="auto" w:fill="auto"/>
            <w:hideMark/>
          </w:tcPr>
          <w:p w14:paraId="14DC882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Aprites ekonomikas principu ieviešana un notekūdeņu dūņu pārstrādes veicināšana</w:t>
            </w:r>
          </w:p>
        </w:tc>
        <w:tc>
          <w:tcPr>
            <w:tcW w:w="2729" w:type="dxa"/>
            <w:tcBorders>
              <w:top w:val="nil"/>
              <w:left w:val="nil"/>
              <w:bottom w:val="single" w:sz="4" w:space="0" w:color="auto"/>
              <w:right w:val="single" w:sz="4" w:space="0" w:color="auto"/>
            </w:tcBorders>
            <w:shd w:val="clear" w:color="auto" w:fill="auto"/>
            <w:hideMark/>
          </w:tcPr>
          <w:p w14:paraId="6B60FAA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sagatavošana ES kohēzijas politikas programmas 2021.-2027.gadam 2.2.2.3.pasākuma “Notekūdeņu dūņu pārstrāde” īstenošanai (2025.g. 4.ceturksnis), MK noteikumu apstiprināšana (2025.g. 4.cetursknis), investīciju īstenošana (2026.-2029.g.).</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2) MK noteikumu sagatavošana ES kohēzijas politikas programmas 2021.-2027.gadam 2.2.2.4.pasākuma “Aprites ekonomikas principu ieviešana” īstenošanai (2025.g. 4.ceturksnis), MK noteikumu apstiprināšana (2025.g. 4.cetursknis), investīciju īstenošana (2026.-2029.g.).</w:t>
            </w:r>
          </w:p>
        </w:tc>
        <w:tc>
          <w:tcPr>
            <w:tcW w:w="0" w:type="auto"/>
            <w:tcBorders>
              <w:top w:val="nil"/>
              <w:left w:val="nil"/>
              <w:bottom w:val="single" w:sz="4" w:space="0" w:color="auto"/>
              <w:right w:val="single" w:sz="4" w:space="0" w:color="auto"/>
            </w:tcBorders>
            <w:shd w:val="clear" w:color="auto" w:fill="auto"/>
            <w:hideMark/>
          </w:tcPr>
          <w:p w14:paraId="027C4C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2026. - 2029.g.</w:t>
            </w:r>
          </w:p>
        </w:tc>
        <w:tc>
          <w:tcPr>
            <w:tcW w:w="0" w:type="auto"/>
            <w:tcBorders>
              <w:top w:val="nil"/>
              <w:left w:val="nil"/>
              <w:bottom w:val="single" w:sz="4" w:space="0" w:color="auto"/>
              <w:right w:val="single" w:sz="4" w:space="0" w:color="auto"/>
            </w:tcBorders>
            <w:shd w:val="clear" w:color="auto" w:fill="auto"/>
            <w:hideMark/>
          </w:tcPr>
          <w:p w14:paraId="759686A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2.2.2.3. investīcijai 27 233 743</w:t>
            </w:r>
            <w:r w:rsidRPr="00BF055E">
              <w:rPr>
                <w:rFonts w:eastAsia="Times New Roman" w:cs="Times New Roman"/>
                <w:sz w:val="18"/>
                <w:szCs w:val="18"/>
                <w:lang w:eastAsia="lv-LV"/>
              </w:rPr>
              <w:br/>
              <w:t>5.) 2.2.2.4. investīcijai 11 764 706</w:t>
            </w:r>
          </w:p>
        </w:tc>
        <w:tc>
          <w:tcPr>
            <w:tcW w:w="0" w:type="auto"/>
            <w:tcBorders>
              <w:top w:val="nil"/>
              <w:left w:val="nil"/>
              <w:bottom w:val="single" w:sz="4" w:space="0" w:color="auto"/>
              <w:right w:val="single" w:sz="4" w:space="0" w:color="auto"/>
            </w:tcBorders>
            <w:shd w:val="clear" w:color="auto" w:fill="auto"/>
            <w:hideMark/>
          </w:tcPr>
          <w:p w14:paraId="2AB88D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KEM</w:t>
            </w:r>
          </w:p>
        </w:tc>
        <w:tc>
          <w:tcPr>
            <w:tcW w:w="0" w:type="auto"/>
            <w:tcBorders>
              <w:top w:val="nil"/>
              <w:left w:val="nil"/>
              <w:bottom w:val="single" w:sz="4" w:space="0" w:color="auto"/>
              <w:right w:val="single" w:sz="4" w:space="0" w:color="auto"/>
            </w:tcBorders>
            <w:shd w:val="clear" w:color="auto" w:fill="auto"/>
            <w:hideMark/>
          </w:tcPr>
          <w:p w14:paraId="051A9B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68D2628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2024(4)</w:t>
            </w:r>
          </w:p>
        </w:tc>
        <w:tc>
          <w:tcPr>
            <w:tcW w:w="0" w:type="auto"/>
            <w:tcBorders>
              <w:top w:val="nil"/>
              <w:left w:val="nil"/>
              <w:bottom w:val="single" w:sz="4" w:space="0" w:color="auto"/>
              <w:right w:val="single" w:sz="4" w:space="0" w:color="auto"/>
            </w:tcBorders>
            <w:shd w:val="clear" w:color="auto" w:fill="auto"/>
            <w:hideMark/>
          </w:tcPr>
          <w:p w14:paraId="6A1AE7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0" w:type="auto"/>
            <w:tcBorders>
              <w:top w:val="nil"/>
              <w:left w:val="nil"/>
              <w:bottom w:val="single" w:sz="4" w:space="0" w:color="auto"/>
              <w:right w:val="single" w:sz="4" w:space="0" w:color="auto"/>
            </w:tcBorders>
            <w:shd w:val="clear" w:color="auto" w:fill="auto"/>
            <w:hideMark/>
          </w:tcPr>
          <w:p w14:paraId="253C837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auto" w:fill="auto"/>
            <w:hideMark/>
          </w:tcPr>
          <w:p w14:paraId="1D8D133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6. Tīrs ūdens un sanitārija; 13. Rīcība klimata jomā</w:t>
            </w:r>
          </w:p>
        </w:tc>
      </w:tr>
      <w:tr w:rsidR="00BF055E" w:rsidRPr="00BF055E" w14:paraId="3BD6FDFC"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273963A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Atbalsts ilgtspējīgai lauksaimniecības praksei lauksaimniecībā</w:t>
            </w:r>
          </w:p>
        </w:tc>
        <w:tc>
          <w:tcPr>
            <w:tcW w:w="2083" w:type="dxa"/>
            <w:tcBorders>
              <w:top w:val="nil"/>
              <w:left w:val="nil"/>
              <w:bottom w:val="single" w:sz="4" w:space="0" w:color="auto"/>
              <w:right w:val="single" w:sz="4" w:space="0" w:color="auto"/>
            </w:tcBorders>
            <w:shd w:val="clear" w:color="000000" w:fill="FFFFFF"/>
            <w:hideMark/>
          </w:tcPr>
          <w:p w14:paraId="5FB075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Veicināt ilgtspējīgu attīstību un efektīvu tādu dabas resursu pārvaldību kā ūdens, augsne un gaiss, tostarp, samazinot atkarību no ķimikālijām. 75% no atbalstam pieteiktām platībām apsaimniekoti ar ilgtspējīgām praksēm</w:t>
            </w:r>
          </w:p>
        </w:tc>
        <w:tc>
          <w:tcPr>
            <w:tcW w:w="2729" w:type="dxa"/>
            <w:tcBorders>
              <w:top w:val="nil"/>
              <w:left w:val="nil"/>
              <w:bottom w:val="single" w:sz="4" w:space="0" w:color="auto"/>
              <w:right w:val="single" w:sz="4" w:space="0" w:color="auto"/>
            </w:tcBorders>
            <w:shd w:val="clear" w:color="000000" w:fill="FFFFFF"/>
            <w:hideMark/>
          </w:tcPr>
          <w:p w14:paraId="0F8A31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Normatīvo aktu izstrāde un apstiprināšana pārejas periodam - 2020.-2021.g.</w:t>
            </w:r>
            <w:r w:rsidRPr="00BF055E">
              <w:rPr>
                <w:rFonts w:eastAsia="Times New Roman" w:cs="Times New Roman"/>
                <w:sz w:val="18"/>
                <w:szCs w:val="18"/>
                <w:lang w:eastAsia="lv-LV"/>
              </w:rPr>
              <w:br/>
              <w:t>2) KLP SP 2023-2027 izstrāde un saskaņošana ar EK</w:t>
            </w:r>
            <w:r w:rsidRPr="00BF055E">
              <w:rPr>
                <w:rFonts w:eastAsia="Times New Roman" w:cs="Times New Roman"/>
                <w:sz w:val="18"/>
                <w:szCs w:val="18"/>
                <w:lang w:eastAsia="lv-LV"/>
              </w:rPr>
              <w:br/>
              <w:t>2)Normatīvo aktu izstrāde un apstiprināšana  (2023.g. – 2024.g.)</w:t>
            </w:r>
            <w:r w:rsidRPr="00BF055E">
              <w:rPr>
                <w:rFonts w:eastAsia="Times New Roman" w:cs="Times New Roman"/>
                <w:sz w:val="18"/>
                <w:szCs w:val="18"/>
                <w:lang w:eastAsia="lv-LV"/>
              </w:rPr>
              <w:br/>
              <w:t>3) Atbalsta pasākumu īstenošana no 2023.-2029.gadam</w:t>
            </w:r>
          </w:p>
        </w:tc>
        <w:tc>
          <w:tcPr>
            <w:tcW w:w="0" w:type="auto"/>
            <w:tcBorders>
              <w:top w:val="nil"/>
              <w:left w:val="nil"/>
              <w:bottom w:val="single" w:sz="4" w:space="0" w:color="auto"/>
              <w:right w:val="single" w:sz="4" w:space="0" w:color="auto"/>
            </w:tcBorders>
            <w:shd w:val="clear" w:color="000000" w:fill="FFFFFF"/>
            <w:hideMark/>
          </w:tcPr>
          <w:p w14:paraId="43A1A1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2023.-2029.g </w:t>
            </w:r>
          </w:p>
        </w:tc>
        <w:tc>
          <w:tcPr>
            <w:tcW w:w="0" w:type="auto"/>
            <w:tcBorders>
              <w:top w:val="nil"/>
              <w:left w:val="nil"/>
              <w:bottom w:val="single" w:sz="4" w:space="0" w:color="auto"/>
              <w:right w:val="single" w:sz="4" w:space="0" w:color="auto"/>
            </w:tcBorders>
            <w:shd w:val="clear" w:color="auto" w:fill="auto"/>
            <w:hideMark/>
          </w:tcPr>
          <w:p w14:paraId="2ABDA6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803,81 </w:t>
            </w:r>
            <w:proofErr w:type="spellStart"/>
            <w:r w:rsidRPr="00BF055E">
              <w:rPr>
                <w:rFonts w:eastAsia="Times New Roman" w:cs="Times New Roman"/>
                <w:sz w:val="18"/>
                <w:szCs w:val="18"/>
                <w:lang w:eastAsia="lv-LV"/>
              </w:rPr>
              <w:t>milj.</w:t>
            </w:r>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(ES fondi; ES finansējums (ELGF, ELFLA) - 691,73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LV līdzfinansējums - 112,08 milj.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0" w:type="auto"/>
            <w:tcBorders>
              <w:top w:val="nil"/>
              <w:left w:val="nil"/>
              <w:bottom w:val="single" w:sz="4" w:space="0" w:color="auto"/>
              <w:right w:val="single" w:sz="4" w:space="0" w:color="auto"/>
            </w:tcBorders>
            <w:shd w:val="clear" w:color="000000" w:fill="FFFFFF"/>
            <w:hideMark/>
          </w:tcPr>
          <w:p w14:paraId="48B8F2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ZM/LAD; VAAD</w:t>
            </w:r>
          </w:p>
        </w:tc>
        <w:tc>
          <w:tcPr>
            <w:tcW w:w="0" w:type="auto"/>
            <w:tcBorders>
              <w:top w:val="nil"/>
              <w:left w:val="nil"/>
              <w:bottom w:val="single" w:sz="4" w:space="0" w:color="auto"/>
              <w:right w:val="single" w:sz="4" w:space="0" w:color="auto"/>
            </w:tcBorders>
            <w:shd w:val="clear" w:color="000000" w:fill="FFFFFF"/>
            <w:hideMark/>
          </w:tcPr>
          <w:p w14:paraId="7A35C8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0" w:type="auto"/>
            <w:tcBorders>
              <w:top w:val="nil"/>
              <w:left w:val="nil"/>
              <w:bottom w:val="single" w:sz="4" w:space="0" w:color="auto"/>
              <w:right w:val="single" w:sz="4" w:space="0" w:color="auto"/>
            </w:tcBorders>
            <w:shd w:val="clear" w:color="auto" w:fill="auto"/>
            <w:hideMark/>
          </w:tcPr>
          <w:p w14:paraId="7C4E292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2024(4)</w:t>
            </w:r>
          </w:p>
        </w:tc>
        <w:tc>
          <w:tcPr>
            <w:tcW w:w="0" w:type="auto"/>
            <w:tcBorders>
              <w:top w:val="nil"/>
              <w:left w:val="nil"/>
              <w:bottom w:val="single" w:sz="4" w:space="0" w:color="auto"/>
              <w:right w:val="single" w:sz="4" w:space="0" w:color="auto"/>
            </w:tcBorders>
            <w:shd w:val="clear" w:color="auto" w:fill="auto"/>
            <w:hideMark/>
          </w:tcPr>
          <w:p w14:paraId="5D8D11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0" w:type="auto"/>
            <w:tcBorders>
              <w:top w:val="nil"/>
              <w:left w:val="nil"/>
              <w:bottom w:val="single" w:sz="4" w:space="0" w:color="auto"/>
              <w:right w:val="single" w:sz="4" w:space="0" w:color="auto"/>
            </w:tcBorders>
            <w:shd w:val="clear" w:color="000000" w:fill="FFFFFF"/>
            <w:hideMark/>
          </w:tcPr>
          <w:p w14:paraId="07D360B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0" w:type="auto"/>
            <w:tcBorders>
              <w:top w:val="nil"/>
              <w:left w:val="nil"/>
              <w:bottom w:val="single" w:sz="4" w:space="0" w:color="auto"/>
              <w:right w:val="single" w:sz="4" w:space="0" w:color="auto"/>
            </w:tcBorders>
            <w:shd w:val="clear" w:color="auto" w:fill="auto"/>
            <w:hideMark/>
          </w:tcPr>
          <w:p w14:paraId="5331E2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6. Tīrs ūdens un sanitārija; 13. Rīcība klimata jomā; 14. Dzīvība ūdenī; 15. Dzīvība uz zemes</w:t>
            </w:r>
          </w:p>
        </w:tc>
      </w:tr>
      <w:tr w:rsidR="00BF055E" w:rsidRPr="00BF055E" w14:paraId="7617C482" w14:textId="77777777" w:rsidTr="003B1594">
        <w:trPr>
          <w:trHeight w:val="20"/>
        </w:trPr>
        <w:tc>
          <w:tcPr>
            <w:tcW w:w="14560"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41DA7DC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Skat. arī citus pasākumus, kas veicina pāreju uz aprites ekonomiku, piemēram, investīcijas zaļās pārejas veicināšanai u.c.</w:t>
            </w:r>
          </w:p>
        </w:tc>
      </w:tr>
    </w:tbl>
    <w:p w14:paraId="44C02C5E" w14:textId="77777777" w:rsidR="00BF055E" w:rsidRPr="00BF055E" w:rsidRDefault="00BF055E" w:rsidP="0058560C">
      <w:pPr>
        <w:spacing w:after="0" w:line="240" w:lineRule="auto"/>
        <w:ind w:firstLine="0"/>
        <w:rPr>
          <w:rFonts w:eastAsia="Calibri" w:cs="Times New Roman"/>
          <w:b/>
          <w:bCs/>
          <w:i/>
          <w:iCs/>
          <w:kern w:val="2"/>
          <w:szCs w:val="24"/>
          <w14:ligatures w14:val="standardContextual"/>
        </w:rPr>
      </w:pPr>
    </w:p>
    <w:p w14:paraId="1B72DAD5" w14:textId="3D6EE276" w:rsidR="00BF055E" w:rsidRPr="00BF055E" w:rsidRDefault="00D16FDC" w:rsidP="006357B3">
      <w:pPr>
        <w:spacing w:before="120"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.1.13. Publiskās pārvaldes efektivitāte</w:t>
      </w:r>
    </w:p>
    <w:p w14:paraId="2041D833" w14:textId="77777777" w:rsidR="00BF055E" w:rsidRPr="00BF055E" w:rsidRDefault="00BF055E" w:rsidP="006357B3">
      <w:pPr>
        <w:spacing w:before="12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Latvijas FSP paredz dažādus pasākumus ar mērķi uzlabot publiskās pārvaldes efektivitāti. Pasākumi saistās gan ar valsts pārvaldes efektivitātes uzlabošanu (piemēram, izveidojot valsts pārvaldes iestāžu snieguma monitoringa sistēmu, pilnveidojot iekšējās kontroles sistēmu, izstrādājot vienotu informatīvo portālu ar mērķi nodrošināt sabiedrībai pieejamu informāciju par valsts pārvaldes sniegumu u.c.), gan ar valsts un pašvaldību kapitālsabiedrību pārvaldības un efektivitātes uzlabošanu (piemēram, uzlabojot sabiedrībai pieejamās informācijas apjomu, mazinot interešu konfliktu un publicējot saistošo informāciju, uzlabojot valsts kapitālsabiedrību uzraudzību un efektivitāti, ieviešot OECD vadlīnijas, uzlabojot pašvaldību kapitālsabiedrību uzraudzību u.c.).</w:t>
      </w:r>
    </w:p>
    <w:p w14:paraId="190FE68F" w14:textId="77777777" w:rsidR="00BF055E" w:rsidRPr="00BF055E" w:rsidRDefault="00BF055E" w:rsidP="0058560C">
      <w:pPr>
        <w:spacing w:before="120" w:after="24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lastRenderedPageBreak/>
        <w:t>Tāpat plānots pilnveidot interešu konflikta novēršanas regulējumu, nodrošinot mācības tiesnešiem par korupcijas jautājumiem, kā arī iepazīties ar Ziemeļvalstu pieredzi korupcijas apkarošanas jautājumos, izmantot mākslīgo intelektu korupcijas risku mazināšanā publiskajos iepirkumos un īstenot citus pasākumus.</w:t>
      </w:r>
    </w:p>
    <w:p w14:paraId="120CC11C" w14:textId="6653EC29"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Publiskās pārvaldes efektivitāte</w:t>
      </w:r>
    </w:p>
    <w:tbl>
      <w:tblPr>
        <w:tblW w:w="0" w:type="auto"/>
        <w:tblLayout w:type="fixed"/>
        <w:tblLook w:val="04A0" w:firstRow="1" w:lastRow="0" w:firstColumn="1" w:lastColumn="0" w:noHBand="0" w:noVBand="1"/>
      </w:tblPr>
      <w:tblGrid>
        <w:gridCol w:w="1456"/>
        <w:gridCol w:w="2375"/>
        <w:gridCol w:w="2685"/>
        <w:gridCol w:w="1134"/>
        <w:gridCol w:w="1417"/>
        <w:gridCol w:w="1276"/>
        <w:gridCol w:w="709"/>
        <w:gridCol w:w="709"/>
        <w:gridCol w:w="896"/>
        <w:gridCol w:w="817"/>
        <w:gridCol w:w="1086"/>
      </w:tblGrid>
      <w:tr w:rsidR="00BF055E" w:rsidRPr="00BF055E" w14:paraId="6AE87B70" w14:textId="77777777" w:rsidTr="003B1594">
        <w:trPr>
          <w:trHeight w:val="20"/>
          <w:tblHeader/>
        </w:trPr>
        <w:tc>
          <w:tcPr>
            <w:tcW w:w="1456"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0E591BC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w:t>
            </w:r>
          </w:p>
          <w:p w14:paraId="0B8A60A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investīcijas) nosaukums</w:t>
            </w:r>
          </w:p>
        </w:tc>
        <w:tc>
          <w:tcPr>
            <w:tcW w:w="2375" w:type="dxa"/>
            <w:tcBorders>
              <w:top w:val="single" w:sz="4" w:space="0" w:color="auto"/>
              <w:left w:val="nil"/>
              <w:bottom w:val="single" w:sz="4" w:space="0" w:color="auto"/>
              <w:right w:val="single" w:sz="4" w:space="0" w:color="auto"/>
            </w:tcBorders>
            <w:shd w:val="clear" w:color="000000" w:fill="95B3D7"/>
            <w:vAlign w:val="center"/>
            <w:hideMark/>
          </w:tcPr>
          <w:p w14:paraId="56AAC095"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685" w:type="dxa"/>
            <w:tcBorders>
              <w:top w:val="single" w:sz="4" w:space="0" w:color="auto"/>
              <w:left w:val="nil"/>
              <w:bottom w:val="single" w:sz="4" w:space="0" w:color="auto"/>
              <w:right w:val="single" w:sz="4" w:space="0" w:color="auto"/>
            </w:tcBorders>
            <w:shd w:val="clear" w:color="000000" w:fill="95B3D7"/>
            <w:vAlign w:val="center"/>
            <w:hideMark/>
          </w:tcPr>
          <w:p w14:paraId="6FAAECC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1134" w:type="dxa"/>
            <w:tcBorders>
              <w:top w:val="single" w:sz="4" w:space="0" w:color="auto"/>
              <w:left w:val="nil"/>
              <w:bottom w:val="single" w:sz="4" w:space="0" w:color="auto"/>
              <w:right w:val="single" w:sz="4" w:space="0" w:color="auto"/>
            </w:tcBorders>
            <w:shd w:val="clear" w:color="000000" w:fill="95B3D7"/>
            <w:vAlign w:val="center"/>
            <w:hideMark/>
          </w:tcPr>
          <w:p w14:paraId="0B4A16D7"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417" w:type="dxa"/>
            <w:tcBorders>
              <w:top w:val="single" w:sz="4" w:space="0" w:color="auto"/>
              <w:left w:val="nil"/>
              <w:bottom w:val="single" w:sz="4" w:space="0" w:color="auto"/>
              <w:right w:val="single" w:sz="4" w:space="0" w:color="auto"/>
            </w:tcBorders>
            <w:shd w:val="clear" w:color="000000" w:fill="95B3D7"/>
            <w:vAlign w:val="center"/>
            <w:hideMark/>
          </w:tcPr>
          <w:p w14:paraId="345ADE7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1276" w:type="dxa"/>
            <w:tcBorders>
              <w:top w:val="single" w:sz="4" w:space="0" w:color="auto"/>
              <w:left w:val="nil"/>
              <w:bottom w:val="single" w:sz="4" w:space="0" w:color="auto"/>
              <w:right w:val="single" w:sz="4" w:space="0" w:color="auto"/>
            </w:tcBorders>
            <w:shd w:val="clear" w:color="000000" w:fill="95B3D7"/>
            <w:vAlign w:val="center"/>
            <w:hideMark/>
          </w:tcPr>
          <w:p w14:paraId="1D165DF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709" w:type="dxa"/>
            <w:tcBorders>
              <w:top w:val="single" w:sz="4" w:space="0" w:color="auto"/>
              <w:left w:val="nil"/>
              <w:bottom w:val="single" w:sz="4" w:space="0" w:color="auto"/>
              <w:right w:val="single" w:sz="4" w:space="0" w:color="auto"/>
            </w:tcBorders>
            <w:shd w:val="clear" w:color="000000" w:fill="95B3D7"/>
            <w:vAlign w:val="center"/>
            <w:hideMark/>
          </w:tcPr>
          <w:p w14:paraId="7E1EBC0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7C20D57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709" w:type="dxa"/>
            <w:tcBorders>
              <w:top w:val="single" w:sz="4" w:space="0" w:color="auto"/>
              <w:left w:val="nil"/>
              <w:bottom w:val="single" w:sz="4" w:space="0" w:color="auto"/>
              <w:right w:val="single" w:sz="4" w:space="0" w:color="auto"/>
            </w:tcBorders>
            <w:shd w:val="clear" w:color="000000" w:fill="95B3D7"/>
            <w:vAlign w:val="center"/>
            <w:hideMark/>
          </w:tcPr>
          <w:p w14:paraId="12AB71B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896" w:type="dxa"/>
            <w:tcBorders>
              <w:top w:val="single" w:sz="4" w:space="0" w:color="auto"/>
              <w:left w:val="nil"/>
              <w:bottom w:val="single" w:sz="4" w:space="0" w:color="auto"/>
              <w:right w:val="single" w:sz="4" w:space="0" w:color="auto"/>
            </w:tcBorders>
            <w:shd w:val="clear" w:color="000000" w:fill="95B3D7"/>
            <w:vAlign w:val="center"/>
            <w:hideMark/>
          </w:tcPr>
          <w:p w14:paraId="5636F1DE"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ES </w:t>
            </w:r>
          </w:p>
          <w:p w14:paraId="14E9B0CF"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kopīgas prioritātes</w:t>
            </w:r>
          </w:p>
        </w:tc>
        <w:tc>
          <w:tcPr>
            <w:tcW w:w="817" w:type="dxa"/>
            <w:tcBorders>
              <w:top w:val="single" w:sz="4" w:space="0" w:color="auto"/>
              <w:left w:val="nil"/>
              <w:bottom w:val="single" w:sz="4" w:space="0" w:color="auto"/>
              <w:right w:val="single" w:sz="4" w:space="0" w:color="auto"/>
            </w:tcBorders>
            <w:shd w:val="clear" w:color="000000" w:fill="95B3D7"/>
            <w:vAlign w:val="center"/>
            <w:hideMark/>
          </w:tcPr>
          <w:p w14:paraId="6430C2E6"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1086" w:type="dxa"/>
            <w:tcBorders>
              <w:top w:val="single" w:sz="4" w:space="0" w:color="auto"/>
              <w:left w:val="nil"/>
              <w:bottom w:val="single" w:sz="4" w:space="0" w:color="auto"/>
              <w:right w:val="single" w:sz="4" w:space="0" w:color="auto"/>
            </w:tcBorders>
            <w:shd w:val="clear" w:color="000000" w:fill="95B3D7"/>
            <w:vAlign w:val="center"/>
            <w:hideMark/>
          </w:tcPr>
          <w:p w14:paraId="3DB1D94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33F2123C" w14:textId="77777777" w:rsidTr="003B1594">
        <w:trPr>
          <w:trHeight w:val="20"/>
          <w:tblHeader/>
        </w:trPr>
        <w:tc>
          <w:tcPr>
            <w:tcW w:w="14560" w:type="dxa"/>
            <w:gridSpan w:val="11"/>
            <w:tcBorders>
              <w:top w:val="single" w:sz="4" w:space="0" w:color="auto"/>
              <w:left w:val="single" w:sz="4" w:space="0" w:color="auto"/>
              <w:bottom w:val="single" w:sz="4" w:space="0" w:color="auto"/>
              <w:right w:val="single" w:sz="4" w:space="0" w:color="auto"/>
            </w:tcBorders>
            <w:shd w:val="clear" w:color="000000" w:fill="F2DCDB"/>
            <w:hideMark/>
          </w:tcPr>
          <w:p w14:paraId="73D455F2"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Politikas virziens - Publiskās pārvaldes efektivitāte</w:t>
            </w:r>
          </w:p>
        </w:tc>
      </w:tr>
      <w:tr w:rsidR="00BF055E" w:rsidRPr="00BF055E" w14:paraId="6FBF2399"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68B262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pārvaldes efektivitātes uzlabošana</w:t>
            </w:r>
          </w:p>
        </w:tc>
        <w:tc>
          <w:tcPr>
            <w:tcW w:w="2375" w:type="dxa"/>
            <w:tcBorders>
              <w:top w:val="nil"/>
              <w:left w:val="nil"/>
              <w:bottom w:val="single" w:sz="4" w:space="0" w:color="auto"/>
              <w:right w:val="single" w:sz="4" w:space="0" w:color="auto"/>
            </w:tcBorders>
            <w:shd w:val="clear" w:color="000000" w:fill="FFFFFF"/>
            <w:hideMark/>
          </w:tcPr>
          <w:p w14:paraId="1E6F7AD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pārvaldes modernizācijas plāna 2023.–2027. gadam (apstiprināts ar MK 2023. gada 8. maija rīkojumu Nr. 240) pirmajā rīcības virzienā “Vienota un efektīva valsts pārvalde” paredzēts, ka Valsts pārvaldes darbības rezultativitātes un efektivitātes uzlabošana tiks veicināta, īstenojot šādus pasākumus:</w:t>
            </w:r>
            <w:r w:rsidRPr="00BF055E">
              <w:rPr>
                <w:rFonts w:eastAsia="Times New Roman" w:cs="Times New Roman"/>
                <w:sz w:val="18"/>
                <w:szCs w:val="18"/>
                <w:lang w:eastAsia="lv-LV"/>
              </w:rPr>
              <w:br/>
              <w:t xml:space="preserve">1. Izveidota valsts pārvaldes iestāžu snieguma monitoringa sistēma ar mērķi turpmāk regulāri novērtēt valsts pārvaldes iestāžu darbību, vērtējot snieguma rādītājus tādās jomās kā cilvēkresursi, izdevumi, datos balstītas politikas veidošana un pakalpojumu sniegšana; </w:t>
            </w:r>
            <w:r w:rsidRPr="00BF055E">
              <w:rPr>
                <w:rFonts w:eastAsia="Times New Roman" w:cs="Times New Roman"/>
                <w:sz w:val="18"/>
                <w:szCs w:val="18"/>
                <w:lang w:eastAsia="lv-LV"/>
              </w:rPr>
              <w:br/>
              <w:t xml:space="preserve">2. Pilnveidota iekšējās kontroles sistēma ar mērķi veikt prioritāros iekšējos auditus par iestāžu procesu </w:t>
            </w:r>
            <w:proofErr w:type="spellStart"/>
            <w:r w:rsidRPr="00BF055E">
              <w:rPr>
                <w:rFonts w:eastAsia="Times New Roman" w:cs="Times New Roman"/>
                <w:sz w:val="18"/>
                <w:szCs w:val="18"/>
                <w:lang w:eastAsia="lv-LV"/>
              </w:rPr>
              <w:t>efektivizāciju</w:t>
            </w:r>
            <w:proofErr w:type="spellEnd"/>
            <w:r w:rsidRPr="00BF055E">
              <w:rPr>
                <w:rFonts w:eastAsia="Times New Roman" w:cs="Times New Roman"/>
                <w:sz w:val="18"/>
                <w:szCs w:val="18"/>
                <w:lang w:eastAsia="lv-LV"/>
              </w:rPr>
              <w:t xml:space="preserve"> un valstiski svarīgu mērķu sasniegšanu un starpresoru iekšējos </w:t>
            </w:r>
            <w:r w:rsidRPr="00BF055E">
              <w:rPr>
                <w:rFonts w:eastAsia="Times New Roman" w:cs="Times New Roman"/>
                <w:sz w:val="18"/>
                <w:szCs w:val="18"/>
                <w:lang w:eastAsia="lv-LV"/>
              </w:rPr>
              <w:lastRenderedPageBreak/>
              <w:t>auditus;</w:t>
            </w:r>
            <w:r w:rsidRPr="00BF055E">
              <w:rPr>
                <w:rFonts w:eastAsia="Times New Roman" w:cs="Times New Roman"/>
                <w:sz w:val="18"/>
                <w:szCs w:val="18"/>
                <w:lang w:eastAsia="lv-LV"/>
              </w:rPr>
              <w:br/>
              <w:t>3. Izstrādāts vienotais informatīvais portāls ar mērķi nodrošināt sabiedrībai pieejamu informāciju par valsts pārvaldes sniegumu.</w:t>
            </w:r>
          </w:p>
        </w:tc>
        <w:tc>
          <w:tcPr>
            <w:tcW w:w="2685" w:type="dxa"/>
            <w:tcBorders>
              <w:top w:val="nil"/>
              <w:left w:val="nil"/>
              <w:bottom w:val="single" w:sz="4" w:space="0" w:color="auto"/>
              <w:right w:val="single" w:sz="4" w:space="0" w:color="auto"/>
            </w:tcBorders>
            <w:shd w:val="clear" w:color="000000" w:fill="FFFFFF"/>
            <w:hideMark/>
          </w:tcPr>
          <w:p w14:paraId="35C8DBF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Iestāžu stratēģijās un gada pārskatos integrēta informācija par iestādes efektivitātes uzlabošanu;</w:t>
            </w:r>
            <w:r w:rsidRPr="00BF055E">
              <w:rPr>
                <w:rFonts w:eastAsia="Times New Roman" w:cs="Times New Roman"/>
                <w:sz w:val="18"/>
                <w:szCs w:val="18"/>
                <w:lang w:eastAsia="lv-LV"/>
              </w:rPr>
              <w:br/>
              <w:t xml:space="preserve">2. </w:t>
            </w:r>
            <w:r w:rsidRPr="00BF055E">
              <w:rPr>
                <w:rFonts w:eastAsia="Times New Roman" w:cs="Times New Roman"/>
                <w:sz w:val="18"/>
                <w:szCs w:val="18"/>
                <w:lang w:eastAsia="lv-LV"/>
              </w:rPr>
              <w:br/>
              <w:t>2.1. Veikt iekšējās kontroles sistēmas novērtējumu;</w:t>
            </w:r>
            <w:r w:rsidRPr="00BF055E">
              <w:rPr>
                <w:rFonts w:eastAsia="Times New Roman" w:cs="Times New Roman"/>
                <w:sz w:val="18"/>
                <w:szCs w:val="18"/>
                <w:lang w:eastAsia="lv-LV"/>
              </w:rPr>
              <w:br/>
              <w:t>2.2. Atbilstoši riska novērtējumam turpināt vienlaikus veikt līdzīgu procesu iekšējos auditus attiecīgā resora iestādēs;</w:t>
            </w:r>
            <w:r w:rsidRPr="00BF055E">
              <w:rPr>
                <w:rFonts w:eastAsia="Times New Roman" w:cs="Times New Roman"/>
                <w:sz w:val="18"/>
                <w:szCs w:val="18"/>
                <w:lang w:eastAsia="lv-LV"/>
              </w:rPr>
              <w:br/>
              <w:t>2.3. Nodrošināt savstarpēju sadarbību un pēc iespējas veidot starpresoru iekšējās komandas.;</w:t>
            </w:r>
            <w:r w:rsidRPr="00BF055E">
              <w:rPr>
                <w:rFonts w:eastAsia="Times New Roman" w:cs="Times New Roman"/>
                <w:sz w:val="18"/>
                <w:szCs w:val="18"/>
                <w:lang w:eastAsia="lv-LV"/>
              </w:rPr>
              <w:br/>
              <w:t xml:space="preserve">3. Izveidots un darbojas valsts pārvaldes darbības un politiku rezultātu vienotais informatīvais portāls. </w:t>
            </w:r>
          </w:p>
        </w:tc>
        <w:tc>
          <w:tcPr>
            <w:tcW w:w="1134" w:type="dxa"/>
            <w:tcBorders>
              <w:top w:val="nil"/>
              <w:left w:val="nil"/>
              <w:bottom w:val="single" w:sz="4" w:space="0" w:color="auto"/>
              <w:right w:val="single" w:sz="4" w:space="0" w:color="auto"/>
            </w:tcBorders>
            <w:shd w:val="clear" w:color="000000" w:fill="FFFFFF"/>
            <w:hideMark/>
          </w:tcPr>
          <w:p w14:paraId="75ABFD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2023.-2024.g.</w:t>
            </w:r>
            <w:r w:rsidRPr="00BF055E">
              <w:rPr>
                <w:rFonts w:eastAsia="Times New Roman" w:cs="Times New Roman"/>
                <w:sz w:val="18"/>
                <w:szCs w:val="18"/>
                <w:lang w:eastAsia="lv-LV"/>
              </w:rPr>
              <w:br/>
            </w:r>
            <w:r w:rsidRPr="00BF055E">
              <w:rPr>
                <w:rFonts w:eastAsia="Times New Roman" w:cs="Times New Roman"/>
                <w:sz w:val="18"/>
                <w:szCs w:val="18"/>
                <w:lang w:eastAsia="lv-LV"/>
              </w:rPr>
              <w:br/>
              <w:t>2. 2024.-2025.g.</w:t>
            </w:r>
            <w:r w:rsidRPr="00BF055E">
              <w:rPr>
                <w:rFonts w:eastAsia="Times New Roman" w:cs="Times New Roman"/>
                <w:sz w:val="18"/>
                <w:szCs w:val="18"/>
                <w:lang w:eastAsia="lv-LV"/>
              </w:rPr>
              <w:br/>
            </w:r>
            <w:r w:rsidRPr="00BF055E">
              <w:rPr>
                <w:rFonts w:eastAsia="Times New Roman" w:cs="Times New Roman"/>
                <w:sz w:val="18"/>
                <w:szCs w:val="18"/>
                <w:lang w:eastAsia="lv-LV"/>
              </w:rPr>
              <w:br/>
              <w:t>3. 2024.-2025.g.</w:t>
            </w:r>
          </w:p>
        </w:tc>
        <w:tc>
          <w:tcPr>
            <w:tcW w:w="1417" w:type="dxa"/>
            <w:tcBorders>
              <w:top w:val="nil"/>
              <w:left w:val="nil"/>
              <w:bottom w:val="single" w:sz="4" w:space="0" w:color="auto"/>
              <w:right w:val="single" w:sz="4" w:space="0" w:color="auto"/>
            </w:tcBorders>
            <w:shd w:val="clear" w:color="000000" w:fill="FFFFFF"/>
            <w:hideMark/>
          </w:tcPr>
          <w:p w14:paraId="622554B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uzdevums tiek pildīts esošā finansējuma ietvaros;</w:t>
            </w:r>
            <w:r w:rsidRPr="00BF055E">
              <w:rPr>
                <w:rFonts w:eastAsia="Times New Roman" w:cs="Times New Roman"/>
                <w:sz w:val="18"/>
                <w:szCs w:val="18"/>
                <w:lang w:eastAsia="lv-LV"/>
              </w:rPr>
              <w:br/>
              <w:t>2. uzdevums tiek pildīts esošā finansējuma ietvaros;</w:t>
            </w:r>
            <w:r w:rsidRPr="00BF055E">
              <w:rPr>
                <w:rFonts w:eastAsia="Times New Roman" w:cs="Times New Roman"/>
                <w:sz w:val="18"/>
                <w:szCs w:val="18"/>
                <w:lang w:eastAsia="lv-LV"/>
              </w:rPr>
              <w:br/>
              <w:t>3. projekta pirmās kārtas ietvaros indikatīvi 250 000</w:t>
            </w:r>
          </w:p>
        </w:tc>
        <w:tc>
          <w:tcPr>
            <w:tcW w:w="1276" w:type="dxa"/>
            <w:tcBorders>
              <w:top w:val="nil"/>
              <w:left w:val="nil"/>
              <w:bottom w:val="single" w:sz="4" w:space="0" w:color="auto"/>
              <w:right w:val="single" w:sz="4" w:space="0" w:color="auto"/>
            </w:tcBorders>
            <w:shd w:val="clear" w:color="000000" w:fill="FFFFFF"/>
            <w:hideMark/>
          </w:tcPr>
          <w:p w14:paraId="7E6704B5" w14:textId="77777777" w:rsidR="00BF53B6"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V</w:t>
            </w:r>
            <w:r w:rsidR="00BF53B6">
              <w:rPr>
                <w:rFonts w:eastAsia="Times New Roman" w:cs="Times New Roman"/>
                <w:sz w:val="18"/>
                <w:szCs w:val="18"/>
                <w:lang w:eastAsia="lv-LV"/>
              </w:rPr>
              <w:t>alsts kanceleja</w:t>
            </w:r>
            <w:r w:rsidRPr="00BF055E">
              <w:rPr>
                <w:rFonts w:eastAsia="Times New Roman" w:cs="Times New Roman"/>
                <w:sz w:val="18"/>
                <w:szCs w:val="18"/>
                <w:lang w:eastAsia="lv-LV"/>
              </w:rPr>
              <w:t>, FM</w:t>
            </w:r>
            <w:r w:rsidRPr="00BF055E">
              <w:rPr>
                <w:rFonts w:eastAsia="Times New Roman" w:cs="Times New Roman"/>
                <w:sz w:val="18"/>
                <w:szCs w:val="18"/>
                <w:lang w:eastAsia="lv-LV"/>
              </w:rPr>
              <w:br/>
            </w:r>
            <w:r w:rsidRPr="00BF055E">
              <w:rPr>
                <w:rFonts w:eastAsia="Times New Roman" w:cs="Times New Roman"/>
                <w:sz w:val="18"/>
                <w:szCs w:val="18"/>
                <w:lang w:eastAsia="lv-LV"/>
              </w:rPr>
              <w:br/>
              <w:t xml:space="preserve">2. FM, </w:t>
            </w:r>
            <w:r w:rsidR="00BF53B6" w:rsidRPr="00BF53B6">
              <w:rPr>
                <w:rFonts w:eastAsia="Times New Roman" w:cs="Times New Roman"/>
                <w:sz w:val="18"/>
                <w:szCs w:val="18"/>
                <w:lang w:eastAsia="lv-LV"/>
              </w:rPr>
              <w:t>Valsts kanceleja</w:t>
            </w:r>
          </w:p>
          <w:p w14:paraId="4D30243C" w14:textId="4B00F294"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br/>
              <w:t xml:space="preserve">3. </w:t>
            </w:r>
            <w:r w:rsidR="00BF53B6" w:rsidRPr="00BF53B6">
              <w:rPr>
                <w:rFonts w:eastAsia="Times New Roman" w:cs="Times New Roman"/>
                <w:sz w:val="18"/>
                <w:szCs w:val="18"/>
                <w:lang w:eastAsia="lv-LV"/>
              </w:rPr>
              <w:t>Valsts kanceleja</w:t>
            </w:r>
            <w:r w:rsidRPr="00BF055E">
              <w:rPr>
                <w:rFonts w:eastAsia="Times New Roman" w:cs="Times New Roman"/>
                <w:sz w:val="18"/>
                <w:szCs w:val="18"/>
                <w:lang w:eastAsia="lv-LV"/>
              </w:rPr>
              <w:t>, FM</w:t>
            </w:r>
          </w:p>
        </w:tc>
        <w:tc>
          <w:tcPr>
            <w:tcW w:w="709" w:type="dxa"/>
            <w:tcBorders>
              <w:top w:val="nil"/>
              <w:left w:val="nil"/>
              <w:bottom w:val="single" w:sz="4" w:space="0" w:color="auto"/>
              <w:right w:val="single" w:sz="4" w:space="0" w:color="auto"/>
            </w:tcBorders>
            <w:shd w:val="clear" w:color="000000" w:fill="FFFFFF"/>
            <w:hideMark/>
          </w:tcPr>
          <w:p w14:paraId="4AEAE24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3. X</w:t>
            </w:r>
          </w:p>
        </w:tc>
        <w:tc>
          <w:tcPr>
            <w:tcW w:w="709" w:type="dxa"/>
            <w:tcBorders>
              <w:top w:val="nil"/>
              <w:left w:val="nil"/>
              <w:bottom w:val="single" w:sz="4" w:space="0" w:color="auto"/>
              <w:right w:val="single" w:sz="4" w:space="0" w:color="auto"/>
            </w:tcBorders>
            <w:shd w:val="clear" w:color="000000" w:fill="FFFFFF"/>
            <w:hideMark/>
          </w:tcPr>
          <w:p w14:paraId="2FF74E0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3D7A32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7" w:type="dxa"/>
            <w:tcBorders>
              <w:top w:val="nil"/>
              <w:left w:val="nil"/>
              <w:bottom w:val="single" w:sz="4" w:space="0" w:color="auto"/>
              <w:right w:val="single" w:sz="4" w:space="0" w:color="auto"/>
            </w:tcBorders>
            <w:shd w:val="clear" w:color="000000" w:fill="FFFFFF"/>
            <w:hideMark/>
          </w:tcPr>
          <w:p w14:paraId="13F1047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Taisnīgi darba apstākļi</w:t>
            </w:r>
          </w:p>
        </w:tc>
        <w:tc>
          <w:tcPr>
            <w:tcW w:w="1086" w:type="dxa"/>
            <w:tcBorders>
              <w:top w:val="nil"/>
              <w:left w:val="nil"/>
              <w:bottom w:val="single" w:sz="4" w:space="0" w:color="auto"/>
              <w:right w:val="single" w:sz="4" w:space="0" w:color="auto"/>
            </w:tcBorders>
            <w:shd w:val="clear" w:color="000000" w:fill="FFFFFF"/>
            <w:hideMark/>
          </w:tcPr>
          <w:p w14:paraId="20441AA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8. Cienīgs darbs un ekonomiskā izaugsme; 16. Miers, taisnīgums, laba pārvaldība</w:t>
            </w:r>
          </w:p>
        </w:tc>
      </w:tr>
      <w:tr w:rsidR="00BF055E" w:rsidRPr="00BF055E" w14:paraId="1038456A"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12C5A7D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Valsts kapitālsabiedrību pārvaldība un efektivitātes uzlabošana</w:t>
            </w:r>
          </w:p>
        </w:tc>
        <w:tc>
          <w:tcPr>
            <w:tcW w:w="2375" w:type="dxa"/>
            <w:tcBorders>
              <w:top w:val="nil"/>
              <w:left w:val="nil"/>
              <w:bottom w:val="single" w:sz="4" w:space="0" w:color="auto"/>
              <w:right w:val="single" w:sz="4" w:space="0" w:color="auto"/>
            </w:tcBorders>
            <w:shd w:val="clear" w:color="000000" w:fill="FFFFFF"/>
            <w:hideMark/>
          </w:tcPr>
          <w:p w14:paraId="43C55F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uzlabot sabiedrībai pieejamās informācijas apjomu; </w:t>
            </w:r>
            <w:r w:rsidRPr="00BF055E">
              <w:rPr>
                <w:rFonts w:eastAsia="Times New Roman" w:cs="Times New Roman"/>
                <w:sz w:val="18"/>
                <w:szCs w:val="18"/>
                <w:lang w:eastAsia="lv-LV"/>
              </w:rPr>
              <w:br/>
              <w:t xml:space="preserve">2. mazināt interešu konfliktu un publicēt saistošo informāciju; </w:t>
            </w:r>
            <w:r w:rsidRPr="00BF055E">
              <w:rPr>
                <w:rFonts w:eastAsia="Times New Roman" w:cs="Times New Roman"/>
                <w:sz w:val="18"/>
                <w:szCs w:val="18"/>
                <w:lang w:eastAsia="lv-LV"/>
              </w:rPr>
              <w:br/>
              <w:t>3. uzlabot valsts kapitālsabiedrību uzraudzību un efektivitāti, ieviešot OECD vadlīnijas</w:t>
            </w:r>
          </w:p>
        </w:tc>
        <w:tc>
          <w:tcPr>
            <w:tcW w:w="2685" w:type="dxa"/>
            <w:tcBorders>
              <w:top w:val="nil"/>
              <w:left w:val="nil"/>
              <w:bottom w:val="single" w:sz="4" w:space="0" w:color="auto"/>
              <w:right w:val="single" w:sz="4" w:space="0" w:color="auto"/>
            </w:tcBorders>
            <w:shd w:val="clear" w:color="000000" w:fill="FFFFFF"/>
            <w:hideMark/>
          </w:tcPr>
          <w:p w14:paraId="05E9493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Izmaiņas likumā (2020-2024);</w:t>
            </w:r>
            <w:r w:rsidRPr="00BF055E">
              <w:rPr>
                <w:rFonts w:eastAsia="Times New Roman" w:cs="Times New Roman"/>
                <w:sz w:val="18"/>
                <w:szCs w:val="18"/>
                <w:lang w:eastAsia="lv-LV"/>
              </w:rPr>
              <w:br/>
              <w:t>2. Izmaiņas MK noteikumos (2020, 2022);</w:t>
            </w:r>
            <w:r w:rsidRPr="00BF055E">
              <w:rPr>
                <w:rFonts w:eastAsia="Times New Roman" w:cs="Times New Roman"/>
                <w:sz w:val="18"/>
                <w:szCs w:val="18"/>
                <w:lang w:eastAsia="lv-LV"/>
              </w:rPr>
              <w:br/>
              <w:t>3. Izstrādātas vadlīnijas (2020-2024)</w:t>
            </w:r>
          </w:p>
        </w:tc>
        <w:tc>
          <w:tcPr>
            <w:tcW w:w="1134" w:type="dxa"/>
            <w:tcBorders>
              <w:top w:val="nil"/>
              <w:left w:val="nil"/>
              <w:bottom w:val="single" w:sz="4" w:space="0" w:color="auto"/>
              <w:right w:val="single" w:sz="4" w:space="0" w:color="auto"/>
            </w:tcBorders>
            <w:shd w:val="clear" w:color="000000" w:fill="FFFFFF"/>
            <w:hideMark/>
          </w:tcPr>
          <w:p w14:paraId="61AA53D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1.-3. 2019-2024. g.</w:t>
            </w:r>
          </w:p>
        </w:tc>
        <w:tc>
          <w:tcPr>
            <w:tcW w:w="1417" w:type="dxa"/>
            <w:tcBorders>
              <w:top w:val="nil"/>
              <w:left w:val="nil"/>
              <w:bottom w:val="single" w:sz="4" w:space="0" w:color="auto"/>
              <w:right w:val="single" w:sz="4" w:space="0" w:color="auto"/>
            </w:tcBorders>
            <w:shd w:val="clear" w:color="000000" w:fill="FFFFFF"/>
            <w:hideMark/>
          </w:tcPr>
          <w:p w14:paraId="5E5F33E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iestādes budžeta ietvaros</w:t>
            </w:r>
          </w:p>
        </w:tc>
        <w:tc>
          <w:tcPr>
            <w:tcW w:w="1276" w:type="dxa"/>
            <w:tcBorders>
              <w:top w:val="nil"/>
              <w:left w:val="nil"/>
              <w:bottom w:val="single" w:sz="4" w:space="0" w:color="auto"/>
              <w:right w:val="single" w:sz="4" w:space="0" w:color="auto"/>
            </w:tcBorders>
            <w:shd w:val="clear" w:color="000000" w:fill="FFFFFF"/>
            <w:hideMark/>
          </w:tcPr>
          <w:p w14:paraId="0557D641" w14:textId="21BFAF84" w:rsidR="00BF055E" w:rsidRPr="00BF055E" w:rsidRDefault="00BF53B6" w:rsidP="006357B3">
            <w:pPr>
              <w:spacing w:after="0" w:line="240" w:lineRule="auto"/>
              <w:ind w:firstLine="0"/>
              <w:jc w:val="left"/>
              <w:rPr>
                <w:rFonts w:eastAsia="Times New Roman" w:cs="Times New Roman"/>
                <w:sz w:val="18"/>
                <w:szCs w:val="18"/>
                <w:lang w:eastAsia="lv-LV"/>
              </w:rPr>
            </w:pPr>
            <w:r w:rsidRPr="00BF53B6">
              <w:rPr>
                <w:rFonts w:eastAsia="Times New Roman" w:cs="Times New Roman"/>
                <w:sz w:val="18"/>
                <w:szCs w:val="18"/>
                <w:lang w:eastAsia="lv-LV"/>
              </w:rPr>
              <w:t>Valsts kanceleja</w:t>
            </w:r>
          </w:p>
        </w:tc>
        <w:tc>
          <w:tcPr>
            <w:tcW w:w="709" w:type="dxa"/>
            <w:tcBorders>
              <w:top w:val="nil"/>
              <w:left w:val="nil"/>
              <w:bottom w:val="single" w:sz="4" w:space="0" w:color="auto"/>
              <w:right w:val="single" w:sz="4" w:space="0" w:color="auto"/>
            </w:tcBorders>
            <w:shd w:val="clear" w:color="000000" w:fill="FFFFFF"/>
            <w:hideMark/>
          </w:tcPr>
          <w:p w14:paraId="15C3363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7D036A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0722CC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7" w:type="dxa"/>
            <w:tcBorders>
              <w:top w:val="nil"/>
              <w:left w:val="nil"/>
              <w:bottom w:val="single" w:sz="4" w:space="0" w:color="auto"/>
              <w:right w:val="single" w:sz="4" w:space="0" w:color="auto"/>
            </w:tcBorders>
            <w:shd w:val="clear" w:color="000000" w:fill="FFFFFF"/>
            <w:hideMark/>
          </w:tcPr>
          <w:p w14:paraId="5D0DE25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86" w:type="dxa"/>
            <w:tcBorders>
              <w:top w:val="nil"/>
              <w:left w:val="nil"/>
              <w:bottom w:val="single" w:sz="4" w:space="0" w:color="auto"/>
              <w:right w:val="single" w:sz="4" w:space="0" w:color="auto"/>
            </w:tcBorders>
            <w:shd w:val="clear" w:color="000000" w:fill="FFFFFF"/>
            <w:hideMark/>
          </w:tcPr>
          <w:p w14:paraId="78AFED8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r w:rsidR="00BF055E" w:rsidRPr="00BF055E" w14:paraId="7B7DBE3B"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59CBA0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Pašvaldību kapitālsabiedrību pārvaldība un efektivitātes uzlabošana</w:t>
            </w:r>
          </w:p>
        </w:tc>
        <w:tc>
          <w:tcPr>
            <w:tcW w:w="2375" w:type="dxa"/>
            <w:tcBorders>
              <w:top w:val="nil"/>
              <w:left w:val="nil"/>
              <w:bottom w:val="single" w:sz="4" w:space="0" w:color="auto"/>
              <w:right w:val="single" w:sz="4" w:space="0" w:color="auto"/>
            </w:tcBorders>
            <w:shd w:val="clear" w:color="000000" w:fill="FFFFFF"/>
            <w:hideMark/>
          </w:tcPr>
          <w:p w14:paraId="73CF2ED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uzlabot sabiedrībai pieejamās informācijas apjomu;</w:t>
            </w:r>
            <w:r w:rsidRPr="00BF055E">
              <w:rPr>
                <w:rFonts w:eastAsia="Times New Roman" w:cs="Times New Roman"/>
                <w:sz w:val="18"/>
                <w:szCs w:val="18"/>
                <w:lang w:eastAsia="lv-LV"/>
              </w:rPr>
              <w:br/>
              <w:t>2. uzlabot pašvaldību kapitālsabiedrību uzraudzību</w:t>
            </w:r>
          </w:p>
        </w:tc>
        <w:tc>
          <w:tcPr>
            <w:tcW w:w="2685" w:type="dxa"/>
            <w:tcBorders>
              <w:top w:val="nil"/>
              <w:left w:val="nil"/>
              <w:bottom w:val="single" w:sz="4" w:space="0" w:color="auto"/>
              <w:right w:val="single" w:sz="4" w:space="0" w:color="auto"/>
            </w:tcBorders>
            <w:shd w:val="clear" w:color="000000" w:fill="FFFFFF"/>
            <w:hideMark/>
          </w:tcPr>
          <w:p w14:paraId="6E457A9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Izmaiņas likumā (2020-2024)</w:t>
            </w:r>
            <w:r w:rsidRPr="00BF055E">
              <w:rPr>
                <w:rFonts w:eastAsia="Times New Roman" w:cs="Times New Roman"/>
                <w:sz w:val="18"/>
                <w:szCs w:val="18"/>
                <w:lang w:eastAsia="lv-LV"/>
              </w:rPr>
              <w:br/>
            </w:r>
            <w:r w:rsidRPr="00BF055E">
              <w:rPr>
                <w:rFonts w:eastAsia="Times New Roman" w:cs="Times New Roman"/>
                <w:sz w:val="18"/>
                <w:szCs w:val="18"/>
                <w:lang w:eastAsia="lv-LV"/>
              </w:rPr>
              <w:br/>
              <w:t>2. Izstrādātas vadlīnijas (2020-2024)</w:t>
            </w:r>
          </w:p>
        </w:tc>
        <w:tc>
          <w:tcPr>
            <w:tcW w:w="1134" w:type="dxa"/>
            <w:tcBorders>
              <w:top w:val="nil"/>
              <w:left w:val="nil"/>
              <w:bottom w:val="single" w:sz="4" w:space="0" w:color="auto"/>
              <w:right w:val="single" w:sz="4" w:space="0" w:color="auto"/>
            </w:tcBorders>
            <w:shd w:val="clear" w:color="000000" w:fill="FFFFFF"/>
            <w:hideMark/>
          </w:tcPr>
          <w:p w14:paraId="7A7C2C5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1.-2. 2019-2024. g.</w:t>
            </w:r>
          </w:p>
        </w:tc>
        <w:tc>
          <w:tcPr>
            <w:tcW w:w="1417" w:type="dxa"/>
            <w:tcBorders>
              <w:top w:val="nil"/>
              <w:left w:val="nil"/>
              <w:bottom w:val="single" w:sz="4" w:space="0" w:color="auto"/>
              <w:right w:val="single" w:sz="4" w:space="0" w:color="auto"/>
            </w:tcBorders>
            <w:shd w:val="clear" w:color="000000" w:fill="FFFFFF"/>
            <w:hideMark/>
          </w:tcPr>
          <w:p w14:paraId="08BE2F2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iestādes budžeta ietvaros</w:t>
            </w:r>
          </w:p>
        </w:tc>
        <w:tc>
          <w:tcPr>
            <w:tcW w:w="1276" w:type="dxa"/>
            <w:tcBorders>
              <w:top w:val="nil"/>
              <w:left w:val="nil"/>
              <w:bottom w:val="single" w:sz="4" w:space="0" w:color="auto"/>
              <w:right w:val="single" w:sz="4" w:space="0" w:color="auto"/>
            </w:tcBorders>
            <w:shd w:val="clear" w:color="000000" w:fill="FFFFFF"/>
            <w:hideMark/>
          </w:tcPr>
          <w:p w14:paraId="03246090" w14:textId="45F5B6D2"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VARAM, </w:t>
            </w:r>
            <w:r w:rsidR="00BF53B6" w:rsidRPr="00BF53B6">
              <w:rPr>
                <w:rFonts w:eastAsia="Times New Roman" w:cs="Times New Roman"/>
                <w:sz w:val="18"/>
                <w:szCs w:val="18"/>
                <w:lang w:eastAsia="lv-LV"/>
              </w:rPr>
              <w:t>Valsts kanceleja</w:t>
            </w:r>
          </w:p>
        </w:tc>
        <w:tc>
          <w:tcPr>
            <w:tcW w:w="709" w:type="dxa"/>
            <w:tcBorders>
              <w:top w:val="nil"/>
              <w:left w:val="nil"/>
              <w:bottom w:val="single" w:sz="4" w:space="0" w:color="auto"/>
              <w:right w:val="single" w:sz="4" w:space="0" w:color="auto"/>
            </w:tcBorders>
            <w:shd w:val="clear" w:color="000000" w:fill="FFFFFF"/>
            <w:hideMark/>
          </w:tcPr>
          <w:p w14:paraId="259922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7EDD6A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0F4A209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7" w:type="dxa"/>
            <w:tcBorders>
              <w:top w:val="nil"/>
              <w:left w:val="nil"/>
              <w:bottom w:val="single" w:sz="4" w:space="0" w:color="auto"/>
              <w:right w:val="single" w:sz="4" w:space="0" w:color="auto"/>
            </w:tcBorders>
            <w:shd w:val="clear" w:color="000000" w:fill="FFFFFF"/>
            <w:hideMark/>
          </w:tcPr>
          <w:p w14:paraId="29D0ED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86" w:type="dxa"/>
            <w:tcBorders>
              <w:top w:val="nil"/>
              <w:left w:val="nil"/>
              <w:bottom w:val="single" w:sz="4" w:space="0" w:color="auto"/>
              <w:right w:val="single" w:sz="4" w:space="0" w:color="auto"/>
            </w:tcBorders>
            <w:shd w:val="clear" w:color="000000" w:fill="FFFFFF"/>
            <w:hideMark/>
          </w:tcPr>
          <w:p w14:paraId="4F3D3D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r w:rsidR="00BF055E" w:rsidRPr="00BF055E" w14:paraId="7FD7A402"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21F7D7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Interešu konflikta novēršanas regulējuma pilnveidošana</w:t>
            </w:r>
          </w:p>
        </w:tc>
        <w:tc>
          <w:tcPr>
            <w:tcW w:w="2375" w:type="dxa"/>
            <w:tcBorders>
              <w:top w:val="nil"/>
              <w:left w:val="nil"/>
              <w:bottom w:val="single" w:sz="4" w:space="0" w:color="auto"/>
              <w:right w:val="single" w:sz="4" w:space="0" w:color="auto"/>
            </w:tcBorders>
            <w:shd w:val="clear" w:color="000000" w:fill="FFFFFF"/>
            <w:hideMark/>
          </w:tcPr>
          <w:p w14:paraId="3C0FF29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Nodrošināt mācības tiesnešiem par korupcijas jautājumiem</w:t>
            </w:r>
          </w:p>
        </w:tc>
        <w:tc>
          <w:tcPr>
            <w:tcW w:w="2685" w:type="dxa"/>
            <w:tcBorders>
              <w:top w:val="nil"/>
              <w:left w:val="nil"/>
              <w:bottom w:val="single" w:sz="4" w:space="0" w:color="auto"/>
              <w:right w:val="single" w:sz="4" w:space="0" w:color="auto"/>
            </w:tcBorders>
            <w:shd w:val="clear" w:color="000000" w:fill="FFFFFF"/>
            <w:hideMark/>
          </w:tcPr>
          <w:p w14:paraId="4ADB93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2024.gada mācību programmā par norādītajiem jautājumiem vēl paredzētas mācības  "Aktuālie NILLTPF riski Nacionālā riska novērtējumā. NILLTPF riski darījumos ar nekustamo īpašumu".  2) Tieslietu akadēmijas programmā “Profesionālā pilnveide tiesnešiem ar pieredzi” iekļautas šādas </w:t>
            </w:r>
            <w:r w:rsidRPr="00BF055E">
              <w:rPr>
                <w:rFonts w:eastAsia="Times New Roman" w:cs="Times New Roman"/>
                <w:sz w:val="18"/>
                <w:szCs w:val="18"/>
                <w:u w:val="single"/>
                <w:lang w:eastAsia="lv-LV"/>
              </w:rPr>
              <w:t>potenciālās mācību tēmas</w:t>
            </w:r>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krimināllietas par mantiskiem noziedzīgiem nodarījumiem, kuri var būt kā predikatīvais noziedzīgais nodarījums KL 195.pantam;</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 noziedzīgi iegūtu līdzekļu legalizēšanas aktualitātes; - noziedzīgi iegūtu līdzekļu legalizācijas novēršana administratīvajā procesā;</w:t>
            </w:r>
            <w:r w:rsidRPr="00BF055E">
              <w:rPr>
                <w:rFonts w:eastAsia="Times New Roman" w:cs="Times New Roman"/>
                <w:sz w:val="18"/>
                <w:szCs w:val="18"/>
                <w:lang w:eastAsia="lv-LV"/>
              </w:rPr>
              <w:br/>
              <w:t xml:space="preserve">- </w:t>
            </w:r>
            <w:proofErr w:type="spellStart"/>
            <w:r w:rsidRPr="00BF055E">
              <w:rPr>
                <w:rFonts w:eastAsia="Times New Roman" w:cs="Times New Roman"/>
                <w:sz w:val="18"/>
                <w:szCs w:val="18"/>
                <w:lang w:eastAsia="lv-LV"/>
              </w:rPr>
              <w:t>koruptīvie</w:t>
            </w:r>
            <w:proofErr w:type="spellEnd"/>
            <w:r w:rsidRPr="00BF055E">
              <w:rPr>
                <w:rFonts w:eastAsia="Times New Roman" w:cs="Times New Roman"/>
                <w:sz w:val="18"/>
                <w:szCs w:val="18"/>
                <w:lang w:eastAsia="lv-LV"/>
              </w:rPr>
              <w:t xml:space="preserve"> nodarījumi.</w:t>
            </w:r>
          </w:p>
        </w:tc>
        <w:tc>
          <w:tcPr>
            <w:tcW w:w="1134" w:type="dxa"/>
            <w:tcBorders>
              <w:top w:val="nil"/>
              <w:left w:val="nil"/>
              <w:bottom w:val="single" w:sz="4" w:space="0" w:color="auto"/>
              <w:right w:val="single" w:sz="4" w:space="0" w:color="auto"/>
            </w:tcBorders>
            <w:shd w:val="clear" w:color="000000" w:fill="FFFFFF"/>
            <w:hideMark/>
          </w:tcPr>
          <w:p w14:paraId="64C6E6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 2024.-2028.g.</w:t>
            </w:r>
          </w:p>
        </w:tc>
        <w:tc>
          <w:tcPr>
            <w:tcW w:w="1417" w:type="dxa"/>
            <w:tcBorders>
              <w:top w:val="nil"/>
              <w:left w:val="nil"/>
              <w:bottom w:val="single" w:sz="4" w:space="0" w:color="auto"/>
              <w:right w:val="single" w:sz="4" w:space="0" w:color="auto"/>
            </w:tcBorders>
            <w:shd w:val="clear" w:color="auto" w:fill="auto"/>
            <w:hideMark/>
          </w:tcPr>
          <w:p w14:paraId="3D9702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Finansējums  mācībām, kas vēl paredzētas 2024.gadā, orientējoši būs 4000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Finansējumu  2025. gadam šobrīd nav iespējams norādīt, jo tā aprēķini ir tapšanas stadijā. Tāpat šobrīd nav iespējams norādīt </w:t>
            </w:r>
            <w:r w:rsidRPr="00BF055E">
              <w:rPr>
                <w:rFonts w:eastAsia="Times New Roman" w:cs="Times New Roman"/>
                <w:sz w:val="18"/>
                <w:szCs w:val="18"/>
                <w:lang w:eastAsia="lv-LV"/>
              </w:rPr>
              <w:lastRenderedPageBreak/>
              <w:t>finansējumu pārējiem gadiem, jo par tiem aprēķini tiks veikti gadu iepriekš. Finansējuma avots - ANM.</w:t>
            </w:r>
          </w:p>
        </w:tc>
        <w:tc>
          <w:tcPr>
            <w:tcW w:w="1276" w:type="dxa"/>
            <w:tcBorders>
              <w:top w:val="nil"/>
              <w:left w:val="nil"/>
              <w:bottom w:val="single" w:sz="4" w:space="0" w:color="auto"/>
              <w:right w:val="single" w:sz="4" w:space="0" w:color="auto"/>
            </w:tcBorders>
            <w:shd w:val="clear" w:color="000000" w:fill="FFFFFF"/>
            <w:hideMark/>
          </w:tcPr>
          <w:p w14:paraId="653A27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TA/projekts "Tieslietu akadēmija"</w:t>
            </w:r>
          </w:p>
        </w:tc>
        <w:tc>
          <w:tcPr>
            <w:tcW w:w="709" w:type="dxa"/>
            <w:tcBorders>
              <w:top w:val="nil"/>
              <w:left w:val="nil"/>
              <w:bottom w:val="single" w:sz="4" w:space="0" w:color="auto"/>
              <w:right w:val="single" w:sz="4" w:space="0" w:color="auto"/>
            </w:tcBorders>
            <w:shd w:val="clear" w:color="auto" w:fill="auto"/>
            <w:hideMark/>
          </w:tcPr>
          <w:p w14:paraId="0310D0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709" w:type="dxa"/>
            <w:tcBorders>
              <w:top w:val="nil"/>
              <w:left w:val="nil"/>
              <w:bottom w:val="single" w:sz="4" w:space="0" w:color="auto"/>
              <w:right w:val="single" w:sz="4" w:space="0" w:color="auto"/>
            </w:tcBorders>
            <w:shd w:val="clear" w:color="000000" w:fill="FFFFFF"/>
            <w:hideMark/>
          </w:tcPr>
          <w:p w14:paraId="3715982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527B2EB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7" w:type="dxa"/>
            <w:tcBorders>
              <w:top w:val="nil"/>
              <w:left w:val="nil"/>
              <w:bottom w:val="single" w:sz="4" w:space="0" w:color="auto"/>
              <w:right w:val="single" w:sz="4" w:space="0" w:color="auto"/>
            </w:tcBorders>
            <w:shd w:val="clear" w:color="000000" w:fill="FFFFFF"/>
            <w:hideMark/>
          </w:tcPr>
          <w:p w14:paraId="5ABC20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86" w:type="dxa"/>
            <w:tcBorders>
              <w:top w:val="nil"/>
              <w:left w:val="nil"/>
              <w:bottom w:val="single" w:sz="4" w:space="0" w:color="auto"/>
              <w:right w:val="single" w:sz="4" w:space="0" w:color="auto"/>
            </w:tcBorders>
            <w:shd w:val="clear" w:color="000000" w:fill="FFFFFF"/>
            <w:hideMark/>
          </w:tcPr>
          <w:p w14:paraId="7E43887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r w:rsidR="00BF055E" w:rsidRPr="00BF055E" w14:paraId="6DAD34EA"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0EBBCB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Islandes kā mazas valsts pieredzes apguve korupcijas novēršanā</w:t>
            </w:r>
          </w:p>
        </w:tc>
        <w:tc>
          <w:tcPr>
            <w:tcW w:w="2375" w:type="dxa"/>
            <w:tcBorders>
              <w:top w:val="nil"/>
              <w:left w:val="nil"/>
              <w:bottom w:val="single" w:sz="4" w:space="0" w:color="auto"/>
              <w:right w:val="single" w:sz="4" w:space="0" w:color="auto"/>
            </w:tcBorders>
            <w:shd w:val="clear" w:color="000000" w:fill="FFFFFF"/>
            <w:hideMark/>
          </w:tcPr>
          <w:p w14:paraId="558C00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Apgūt Islandes pieredzi korupcijas novēršanā, tajā skaitā interešu konflikta novēršanas normatīvo regulējumu, tā piemērošanu, piemērošanas problēmas un iespējamos risinājumus, korupcijas risku novēršanas/mazināšanas sistēmu, integritātes veicināšanas pasākumus, kā arī privātā sektora iesaisti korupcijas novēršanā.  (uzlabot korupcijas novēršanas sistēmu Latvijā, tajā skaitā uzlabojot interešu konflikta riska vadību, korupcijas risku pārvaldības sistēmu, sekmēt politiskās korupcijas risku mazināšanos un palielinot privātā sektora iesaisti korupcijas novēršanā. )</w:t>
            </w:r>
          </w:p>
        </w:tc>
        <w:tc>
          <w:tcPr>
            <w:tcW w:w="2685" w:type="dxa"/>
            <w:tcBorders>
              <w:top w:val="nil"/>
              <w:left w:val="nil"/>
              <w:bottom w:val="single" w:sz="4" w:space="0" w:color="auto"/>
              <w:right w:val="single" w:sz="4" w:space="0" w:color="auto"/>
            </w:tcBorders>
            <w:shd w:val="clear" w:color="000000" w:fill="FFFFFF"/>
            <w:hideMark/>
          </w:tcPr>
          <w:p w14:paraId="76F8EC3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Klātienes vizīte Islandē </w:t>
            </w:r>
          </w:p>
        </w:tc>
        <w:tc>
          <w:tcPr>
            <w:tcW w:w="1134" w:type="dxa"/>
            <w:tcBorders>
              <w:top w:val="nil"/>
              <w:left w:val="nil"/>
              <w:bottom w:val="single" w:sz="4" w:space="0" w:color="auto"/>
              <w:right w:val="single" w:sz="4" w:space="0" w:color="auto"/>
            </w:tcBorders>
            <w:shd w:val="clear" w:color="000000" w:fill="FFFFFF"/>
            <w:hideMark/>
          </w:tcPr>
          <w:p w14:paraId="468B415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2025.g.</w:t>
            </w:r>
          </w:p>
        </w:tc>
        <w:tc>
          <w:tcPr>
            <w:tcW w:w="1417" w:type="dxa"/>
            <w:tcBorders>
              <w:top w:val="nil"/>
              <w:left w:val="nil"/>
              <w:bottom w:val="single" w:sz="4" w:space="0" w:color="auto"/>
              <w:right w:val="single" w:sz="4" w:space="0" w:color="auto"/>
            </w:tcBorders>
            <w:shd w:val="clear" w:color="auto" w:fill="auto"/>
            <w:hideMark/>
          </w:tcPr>
          <w:p w14:paraId="675773F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5 954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(EEZ finanšu </w:t>
            </w:r>
            <w:proofErr w:type="spellStart"/>
            <w:r w:rsidRPr="00BF055E">
              <w:rPr>
                <w:rFonts w:eastAsia="Times New Roman" w:cs="Times New Roman"/>
                <w:sz w:val="18"/>
                <w:szCs w:val="18"/>
                <w:lang w:eastAsia="lv-LV"/>
              </w:rPr>
              <w:t>instumenta</w:t>
            </w:r>
            <w:proofErr w:type="spellEnd"/>
            <w:r w:rsidRPr="00BF055E">
              <w:rPr>
                <w:rFonts w:eastAsia="Times New Roman" w:cs="Times New Roman"/>
                <w:sz w:val="18"/>
                <w:szCs w:val="18"/>
                <w:lang w:eastAsia="lv-LV"/>
              </w:rPr>
              <w:t xml:space="preserve"> finansējums)</w:t>
            </w:r>
          </w:p>
        </w:tc>
        <w:tc>
          <w:tcPr>
            <w:tcW w:w="1276" w:type="dxa"/>
            <w:tcBorders>
              <w:top w:val="nil"/>
              <w:left w:val="nil"/>
              <w:bottom w:val="single" w:sz="4" w:space="0" w:color="auto"/>
              <w:right w:val="single" w:sz="4" w:space="0" w:color="auto"/>
            </w:tcBorders>
            <w:shd w:val="clear" w:color="000000" w:fill="FFFFFF"/>
            <w:hideMark/>
          </w:tcPr>
          <w:p w14:paraId="210882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KNAB</w:t>
            </w:r>
          </w:p>
        </w:tc>
        <w:tc>
          <w:tcPr>
            <w:tcW w:w="709" w:type="dxa"/>
            <w:tcBorders>
              <w:top w:val="nil"/>
              <w:left w:val="nil"/>
              <w:bottom w:val="single" w:sz="4" w:space="0" w:color="auto"/>
              <w:right w:val="single" w:sz="4" w:space="0" w:color="auto"/>
            </w:tcBorders>
            <w:shd w:val="clear" w:color="000000" w:fill="FFFFFF"/>
            <w:hideMark/>
          </w:tcPr>
          <w:p w14:paraId="5E8DE10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03FF00D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68CF370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7" w:type="dxa"/>
            <w:tcBorders>
              <w:top w:val="nil"/>
              <w:left w:val="nil"/>
              <w:bottom w:val="single" w:sz="4" w:space="0" w:color="auto"/>
              <w:right w:val="single" w:sz="4" w:space="0" w:color="auto"/>
            </w:tcBorders>
            <w:shd w:val="clear" w:color="000000" w:fill="FFFFFF"/>
            <w:hideMark/>
          </w:tcPr>
          <w:p w14:paraId="707DFC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86" w:type="dxa"/>
            <w:tcBorders>
              <w:top w:val="nil"/>
              <w:left w:val="nil"/>
              <w:bottom w:val="single" w:sz="4" w:space="0" w:color="auto"/>
              <w:right w:val="single" w:sz="4" w:space="0" w:color="auto"/>
            </w:tcBorders>
            <w:shd w:val="clear" w:color="000000" w:fill="FFFFFF"/>
            <w:hideMark/>
          </w:tcPr>
          <w:p w14:paraId="2C4BA95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r w:rsidR="00BF055E" w:rsidRPr="00BF055E" w14:paraId="0F240DAD"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28D3F6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Norvēģijas kā valsts ar tradicionāli augstu novērtējumu dažādos </w:t>
            </w:r>
            <w:r w:rsidRPr="00BF055E">
              <w:rPr>
                <w:rFonts w:eastAsia="Times New Roman" w:cs="Times New Roman"/>
                <w:sz w:val="18"/>
                <w:szCs w:val="18"/>
                <w:lang w:eastAsia="lv-LV"/>
              </w:rPr>
              <w:lastRenderedPageBreak/>
              <w:t>korupcijas mērījumos pieredzes apguve</w:t>
            </w:r>
          </w:p>
        </w:tc>
        <w:tc>
          <w:tcPr>
            <w:tcW w:w="2375" w:type="dxa"/>
            <w:tcBorders>
              <w:top w:val="nil"/>
              <w:left w:val="nil"/>
              <w:bottom w:val="single" w:sz="4" w:space="0" w:color="auto"/>
              <w:right w:val="single" w:sz="4" w:space="0" w:color="auto"/>
            </w:tcBorders>
            <w:shd w:val="clear" w:color="000000" w:fill="FFFFFF"/>
            <w:hideMark/>
          </w:tcPr>
          <w:p w14:paraId="66B507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Apgūt Norvēģijas pieredzi par interešu konflikta risku vadību, korupcijas risku pārvaldības sistēmu iestādēs un valsts uzņēmumos, politiskās korupcijas </w:t>
            </w:r>
            <w:r w:rsidRPr="00BF055E">
              <w:rPr>
                <w:rFonts w:eastAsia="Times New Roman" w:cs="Times New Roman"/>
                <w:sz w:val="18"/>
                <w:szCs w:val="18"/>
                <w:lang w:eastAsia="lv-LV"/>
              </w:rPr>
              <w:lastRenderedPageBreak/>
              <w:t>problemātiku un veidiem, kā ar to cīnīties, stratēģiskajā analīzē balstītu korupcijas apkarošanas aktivitāšu plānošana nacionālā līmenī un privātā sektora iesaisti korupcijas novēršanā. (uzlabot korupcijas novēršanas sistēmu Latvijā, tajā skaitā uzlabojot interešu konflikta riska vadību, korupcijas risku pārvaldības sistēmu, sekmēt politiskās korupcijas risku mazināšanos un palielinot privātā sektora iesaisti korupcijas novēršanā. )</w:t>
            </w:r>
          </w:p>
        </w:tc>
        <w:tc>
          <w:tcPr>
            <w:tcW w:w="2685" w:type="dxa"/>
            <w:tcBorders>
              <w:top w:val="nil"/>
              <w:left w:val="nil"/>
              <w:bottom w:val="single" w:sz="4" w:space="0" w:color="auto"/>
              <w:right w:val="single" w:sz="4" w:space="0" w:color="auto"/>
            </w:tcBorders>
            <w:shd w:val="clear" w:color="000000" w:fill="FFFFFF"/>
            <w:hideMark/>
          </w:tcPr>
          <w:p w14:paraId="49EC35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Klātienes vizīte Norvēģijā</w:t>
            </w:r>
          </w:p>
        </w:tc>
        <w:tc>
          <w:tcPr>
            <w:tcW w:w="1134" w:type="dxa"/>
            <w:tcBorders>
              <w:top w:val="nil"/>
              <w:left w:val="nil"/>
              <w:bottom w:val="single" w:sz="4" w:space="0" w:color="auto"/>
              <w:right w:val="single" w:sz="4" w:space="0" w:color="auto"/>
            </w:tcBorders>
            <w:shd w:val="clear" w:color="000000" w:fill="FFFFFF"/>
            <w:hideMark/>
          </w:tcPr>
          <w:p w14:paraId="05CD3E1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2025.g.</w:t>
            </w:r>
          </w:p>
        </w:tc>
        <w:tc>
          <w:tcPr>
            <w:tcW w:w="1417" w:type="dxa"/>
            <w:tcBorders>
              <w:top w:val="nil"/>
              <w:left w:val="nil"/>
              <w:bottom w:val="single" w:sz="4" w:space="0" w:color="auto"/>
              <w:right w:val="single" w:sz="4" w:space="0" w:color="auto"/>
            </w:tcBorders>
            <w:shd w:val="clear" w:color="auto" w:fill="auto"/>
            <w:hideMark/>
          </w:tcPr>
          <w:p w14:paraId="2DD433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4 814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(EEZ finanšu </w:t>
            </w:r>
            <w:proofErr w:type="spellStart"/>
            <w:r w:rsidRPr="00BF055E">
              <w:rPr>
                <w:rFonts w:eastAsia="Times New Roman" w:cs="Times New Roman"/>
                <w:sz w:val="18"/>
                <w:szCs w:val="18"/>
                <w:lang w:eastAsia="lv-LV"/>
              </w:rPr>
              <w:t>instumenta</w:t>
            </w:r>
            <w:proofErr w:type="spellEnd"/>
            <w:r w:rsidRPr="00BF055E">
              <w:rPr>
                <w:rFonts w:eastAsia="Times New Roman" w:cs="Times New Roman"/>
                <w:sz w:val="18"/>
                <w:szCs w:val="18"/>
                <w:lang w:eastAsia="lv-LV"/>
              </w:rPr>
              <w:t xml:space="preserve"> finansējums)</w:t>
            </w:r>
          </w:p>
        </w:tc>
        <w:tc>
          <w:tcPr>
            <w:tcW w:w="1276" w:type="dxa"/>
            <w:tcBorders>
              <w:top w:val="nil"/>
              <w:left w:val="nil"/>
              <w:bottom w:val="single" w:sz="4" w:space="0" w:color="auto"/>
              <w:right w:val="single" w:sz="4" w:space="0" w:color="auto"/>
            </w:tcBorders>
            <w:shd w:val="clear" w:color="000000" w:fill="FFFFFF"/>
            <w:hideMark/>
          </w:tcPr>
          <w:p w14:paraId="40CF519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KNAB</w:t>
            </w:r>
          </w:p>
        </w:tc>
        <w:tc>
          <w:tcPr>
            <w:tcW w:w="709" w:type="dxa"/>
            <w:tcBorders>
              <w:top w:val="nil"/>
              <w:left w:val="nil"/>
              <w:bottom w:val="single" w:sz="4" w:space="0" w:color="auto"/>
              <w:right w:val="single" w:sz="4" w:space="0" w:color="auto"/>
            </w:tcBorders>
            <w:shd w:val="clear" w:color="000000" w:fill="FFFFFF"/>
            <w:hideMark/>
          </w:tcPr>
          <w:p w14:paraId="6C79A3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1190FE6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027B8A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7" w:type="dxa"/>
            <w:tcBorders>
              <w:top w:val="nil"/>
              <w:left w:val="nil"/>
              <w:bottom w:val="single" w:sz="4" w:space="0" w:color="auto"/>
              <w:right w:val="single" w:sz="4" w:space="0" w:color="auto"/>
            </w:tcBorders>
            <w:shd w:val="clear" w:color="000000" w:fill="FFFFFF"/>
            <w:hideMark/>
          </w:tcPr>
          <w:p w14:paraId="58832A7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86" w:type="dxa"/>
            <w:tcBorders>
              <w:top w:val="nil"/>
              <w:left w:val="nil"/>
              <w:bottom w:val="single" w:sz="4" w:space="0" w:color="auto"/>
              <w:right w:val="single" w:sz="4" w:space="0" w:color="auto"/>
            </w:tcBorders>
            <w:shd w:val="clear" w:color="000000" w:fill="FFFFFF"/>
            <w:hideMark/>
          </w:tcPr>
          <w:p w14:paraId="3B0021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r w:rsidR="00BF055E" w:rsidRPr="00BF055E" w14:paraId="56C5CA6A"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752D4C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Ekspertu </w:t>
            </w:r>
            <w:proofErr w:type="spellStart"/>
            <w:r w:rsidRPr="00BF055E">
              <w:rPr>
                <w:rFonts w:eastAsia="Times New Roman" w:cs="Times New Roman"/>
                <w:sz w:val="18"/>
                <w:szCs w:val="18"/>
                <w:lang w:eastAsia="lv-LV"/>
              </w:rPr>
              <w:t>domapmaiņa</w:t>
            </w:r>
            <w:proofErr w:type="spellEnd"/>
            <w:r w:rsidRPr="00BF055E">
              <w:rPr>
                <w:rFonts w:eastAsia="Times New Roman" w:cs="Times New Roman"/>
                <w:sz w:val="18"/>
                <w:szCs w:val="18"/>
                <w:lang w:eastAsia="lv-LV"/>
              </w:rPr>
              <w:t xml:space="preserve"> “Kā mazināt korupcijas riskus militārā resora finansējuma izlietošanā”</w:t>
            </w:r>
          </w:p>
        </w:tc>
        <w:tc>
          <w:tcPr>
            <w:tcW w:w="2375" w:type="dxa"/>
            <w:tcBorders>
              <w:top w:val="nil"/>
              <w:left w:val="nil"/>
              <w:bottom w:val="single" w:sz="4" w:space="0" w:color="auto"/>
              <w:right w:val="single" w:sz="4" w:space="0" w:color="auto"/>
            </w:tcBorders>
            <w:shd w:val="clear" w:color="000000" w:fill="FFFFFF"/>
            <w:hideMark/>
          </w:tcPr>
          <w:p w14:paraId="65DD0C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Izmantojot Norvēģijas un Islandes ekspertu pieredzi, radīt jaunus un efektīvus risinājumus  korupcijas risku identificēšanai un mazināšanai militārā resora finansējuma izlietojumā. </w:t>
            </w:r>
          </w:p>
        </w:tc>
        <w:tc>
          <w:tcPr>
            <w:tcW w:w="2685" w:type="dxa"/>
            <w:tcBorders>
              <w:top w:val="nil"/>
              <w:left w:val="nil"/>
              <w:bottom w:val="single" w:sz="4" w:space="0" w:color="auto"/>
              <w:right w:val="single" w:sz="4" w:space="0" w:color="auto"/>
            </w:tcBorders>
            <w:shd w:val="clear" w:color="000000" w:fill="FFFFFF"/>
            <w:hideMark/>
          </w:tcPr>
          <w:p w14:paraId="6C463A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Ekspertu </w:t>
            </w:r>
            <w:proofErr w:type="spellStart"/>
            <w:r w:rsidRPr="00BF055E">
              <w:rPr>
                <w:rFonts w:eastAsia="Times New Roman" w:cs="Times New Roman"/>
                <w:sz w:val="18"/>
                <w:szCs w:val="18"/>
                <w:lang w:eastAsia="lv-LV"/>
              </w:rPr>
              <w:t>domapmaiņa</w:t>
            </w:r>
            <w:proofErr w:type="spellEnd"/>
            <w:r w:rsidRPr="00BF055E">
              <w:rPr>
                <w:rFonts w:eastAsia="Times New Roman" w:cs="Times New Roman"/>
                <w:sz w:val="18"/>
                <w:szCs w:val="18"/>
                <w:lang w:eastAsia="lv-LV"/>
              </w:rPr>
              <w:t xml:space="preserve"> - ideju </w:t>
            </w:r>
            <w:proofErr w:type="spellStart"/>
            <w:r w:rsidRPr="00BF055E">
              <w:rPr>
                <w:rFonts w:eastAsia="Times New Roman" w:cs="Times New Roman"/>
                <w:sz w:val="18"/>
                <w:szCs w:val="18"/>
                <w:lang w:eastAsia="lv-LV"/>
              </w:rPr>
              <w:t>hakatons</w:t>
            </w:r>
            <w:proofErr w:type="spellEnd"/>
            <w:r w:rsidRPr="00BF055E">
              <w:rPr>
                <w:rFonts w:eastAsia="Times New Roman" w:cs="Times New Roman"/>
                <w:sz w:val="18"/>
                <w:szCs w:val="18"/>
                <w:lang w:eastAsia="lv-LV"/>
              </w:rPr>
              <w:t xml:space="preserve">: Plānots, izmantojot Norvēģijas un Islandes pieredzi, radīt risinājumus korupcijas risku identificēšanā un mazināšanā militārā resora finansējuma izlietošanā. </w:t>
            </w:r>
            <w:r w:rsidRPr="00BF055E">
              <w:rPr>
                <w:rFonts w:eastAsia="Times New Roman" w:cs="Times New Roman"/>
                <w:sz w:val="18"/>
                <w:szCs w:val="18"/>
                <w:lang w:eastAsia="lv-LV"/>
              </w:rPr>
              <w:br/>
              <w:t xml:space="preserve">Kopā 30 dalībnieki no Latvijas, Norvēģijas un Islandes, sadalīti komandās, 48 stundu laikā radīs un prezentēs idejas, kā identificēt un efektīvi mazināt korupcijas riskus militārajam resoram piešķirtā finansējuma izlietojumā.  </w:t>
            </w:r>
          </w:p>
        </w:tc>
        <w:tc>
          <w:tcPr>
            <w:tcW w:w="1134" w:type="dxa"/>
            <w:tcBorders>
              <w:top w:val="nil"/>
              <w:left w:val="nil"/>
              <w:bottom w:val="single" w:sz="4" w:space="0" w:color="auto"/>
              <w:right w:val="single" w:sz="4" w:space="0" w:color="auto"/>
            </w:tcBorders>
            <w:shd w:val="clear" w:color="000000" w:fill="FFFFFF"/>
            <w:hideMark/>
          </w:tcPr>
          <w:p w14:paraId="5D4B1F6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2025.g.</w:t>
            </w:r>
          </w:p>
        </w:tc>
        <w:tc>
          <w:tcPr>
            <w:tcW w:w="1417" w:type="dxa"/>
            <w:tcBorders>
              <w:top w:val="nil"/>
              <w:left w:val="nil"/>
              <w:bottom w:val="single" w:sz="4" w:space="0" w:color="auto"/>
              <w:right w:val="single" w:sz="4" w:space="0" w:color="auto"/>
            </w:tcBorders>
            <w:shd w:val="clear" w:color="auto" w:fill="auto"/>
            <w:hideMark/>
          </w:tcPr>
          <w:p w14:paraId="26012E67" w14:textId="138B8F0B"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24 880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(EEZ finanšu inst</w:t>
            </w:r>
            <w:r w:rsidR="0058560C">
              <w:rPr>
                <w:rFonts w:eastAsia="Times New Roman" w:cs="Times New Roman"/>
                <w:sz w:val="18"/>
                <w:szCs w:val="18"/>
                <w:lang w:eastAsia="lv-LV"/>
              </w:rPr>
              <w:t>r</w:t>
            </w:r>
            <w:r w:rsidRPr="00BF055E">
              <w:rPr>
                <w:rFonts w:eastAsia="Times New Roman" w:cs="Times New Roman"/>
                <w:sz w:val="18"/>
                <w:szCs w:val="18"/>
                <w:lang w:eastAsia="lv-LV"/>
              </w:rPr>
              <w:t>umenta finansējums)</w:t>
            </w:r>
          </w:p>
        </w:tc>
        <w:tc>
          <w:tcPr>
            <w:tcW w:w="1276" w:type="dxa"/>
            <w:tcBorders>
              <w:top w:val="nil"/>
              <w:left w:val="nil"/>
              <w:bottom w:val="single" w:sz="4" w:space="0" w:color="auto"/>
              <w:right w:val="single" w:sz="4" w:space="0" w:color="auto"/>
            </w:tcBorders>
            <w:shd w:val="clear" w:color="000000" w:fill="FFFFFF"/>
            <w:hideMark/>
          </w:tcPr>
          <w:p w14:paraId="165DF9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KNAB</w:t>
            </w:r>
          </w:p>
        </w:tc>
        <w:tc>
          <w:tcPr>
            <w:tcW w:w="709" w:type="dxa"/>
            <w:tcBorders>
              <w:top w:val="nil"/>
              <w:left w:val="nil"/>
              <w:bottom w:val="single" w:sz="4" w:space="0" w:color="auto"/>
              <w:right w:val="single" w:sz="4" w:space="0" w:color="auto"/>
            </w:tcBorders>
            <w:shd w:val="clear" w:color="000000" w:fill="FFFFFF"/>
            <w:hideMark/>
          </w:tcPr>
          <w:p w14:paraId="2E44821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153F7FA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4011E9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 Aizsardzības spēju veidošana</w:t>
            </w:r>
          </w:p>
        </w:tc>
        <w:tc>
          <w:tcPr>
            <w:tcW w:w="817" w:type="dxa"/>
            <w:tcBorders>
              <w:top w:val="nil"/>
              <w:left w:val="nil"/>
              <w:bottom w:val="single" w:sz="4" w:space="0" w:color="auto"/>
              <w:right w:val="single" w:sz="4" w:space="0" w:color="auto"/>
            </w:tcBorders>
            <w:shd w:val="clear" w:color="000000" w:fill="FFFFFF"/>
            <w:hideMark/>
          </w:tcPr>
          <w:p w14:paraId="0A27D7A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86" w:type="dxa"/>
            <w:tcBorders>
              <w:top w:val="nil"/>
              <w:left w:val="nil"/>
              <w:bottom w:val="single" w:sz="4" w:space="0" w:color="auto"/>
              <w:right w:val="single" w:sz="4" w:space="0" w:color="auto"/>
            </w:tcBorders>
            <w:shd w:val="clear" w:color="000000" w:fill="FFFFFF"/>
            <w:hideMark/>
          </w:tcPr>
          <w:p w14:paraId="3588A8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r w:rsidR="00BF055E" w:rsidRPr="00BF055E" w14:paraId="78EA692D" w14:textId="77777777" w:rsidTr="003B1594">
        <w:trPr>
          <w:trHeight w:val="20"/>
        </w:trPr>
        <w:tc>
          <w:tcPr>
            <w:tcW w:w="1456" w:type="dxa"/>
            <w:tcBorders>
              <w:top w:val="nil"/>
              <w:left w:val="single" w:sz="4" w:space="0" w:color="auto"/>
              <w:bottom w:val="single" w:sz="4" w:space="0" w:color="auto"/>
              <w:right w:val="single" w:sz="4" w:space="0" w:color="auto"/>
            </w:tcBorders>
            <w:shd w:val="clear" w:color="000000" w:fill="FFFFFF"/>
            <w:hideMark/>
          </w:tcPr>
          <w:p w14:paraId="7CF32C6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Mākslīgā intelekta izmantošana korupcijas risku mazināšanā </w:t>
            </w:r>
            <w:r w:rsidRPr="00BF055E">
              <w:rPr>
                <w:rFonts w:eastAsia="Times New Roman" w:cs="Times New Roman"/>
                <w:sz w:val="18"/>
                <w:szCs w:val="18"/>
                <w:lang w:eastAsia="lv-LV"/>
              </w:rPr>
              <w:lastRenderedPageBreak/>
              <w:t>publiskajos iepirkumos</w:t>
            </w:r>
          </w:p>
        </w:tc>
        <w:tc>
          <w:tcPr>
            <w:tcW w:w="2375" w:type="dxa"/>
            <w:tcBorders>
              <w:top w:val="nil"/>
              <w:left w:val="nil"/>
              <w:bottom w:val="single" w:sz="4" w:space="0" w:color="auto"/>
              <w:right w:val="single" w:sz="4" w:space="0" w:color="auto"/>
            </w:tcBorders>
            <w:shd w:val="clear" w:color="000000" w:fill="FFFFFF"/>
            <w:hideMark/>
          </w:tcPr>
          <w:p w14:paraId="17FC75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Atrast MI iespējās balstītus risinājumus korupcijas risku identificēšanai un mazināšanai publiskajos iepirkumos, izmantojot ne tikai Latvijas pieredzi MI </w:t>
            </w:r>
            <w:r w:rsidRPr="00BF055E">
              <w:rPr>
                <w:rFonts w:eastAsia="Times New Roman" w:cs="Times New Roman"/>
                <w:sz w:val="18"/>
                <w:szCs w:val="18"/>
                <w:lang w:eastAsia="lv-LV"/>
              </w:rPr>
              <w:lastRenderedPageBreak/>
              <w:t xml:space="preserve">risinājumu izstrādē, bet arī </w:t>
            </w:r>
            <w:proofErr w:type="spellStart"/>
            <w:r w:rsidRPr="00BF055E">
              <w:rPr>
                <w:rFonts w:eastAsia="Times New Roman" w:cs="Times New Roman"/>
                <w:sz w:val="18"/>
                <w:szCs w:val="18"/>
                <w:lang w:eastAsia="lv-LV"/>
              </w:rPr>
              <w:t>donorvalstu</w:t>
            </w:r>
            <w:proofErr w:type="spellEnd"/>
            <w:r w:rsidRPr="00BF055E">
              <w:rPr>
                <w:rFonts w:eastAsia="Times New Roman" w:cs="Times New Roman"/>
                <w:sz w:val="18"/>
                <w:szCs w:val="18"/>
                <w:lang w:eastAsia="lv-LV"/>
              </w:rPr>
              <w:t xml:space="preserve"> iestrādes un risinājumus. </w:t>
            </w:r>
          </w:p>
        </w:tc>
        <w:tc>
          <w:tcPr>
            <w:tcW w:w="2685" w:type="dxa"/>
            <w:tcBorders>
              <w:top w:val="nil"/>
              <w:left w:val="nil"/>
              <w:bottom w:val="single" w:sz="4" w:space="0" w:color="auto"/>
              <w:right w:val="single" w:sz="4" w:space="0" w:color="auto"/>
            </w:tcBorders>
            <w:shd w:val="clear" w:color="000000" w:fill="FFFFFF"/>
            <w:hideMark/>
          </w:tcPr>
          <w:p w14:paraId="4B3BD9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Ideju </w:t>
            </w:r>
            <w:proofErr w:type="spellStart"/>
            <w:r w:rsidRPr="00BF055E">
              <w:rPr>
                <w:rFonts w:eastAsia="Times New Roman" w:cs="Times New Roman"/>
                <w:sz w:val="18"/>
                <w:szCs w:val="18"/>
                <w:lang w:eastAsia="lv-LV"/>
              </w:rPr>
              <w:t>hakatons</w:t>
            </w:r>
            <w:proofErr w:type="spellEnd"/>
            <w:r w:rsidRPr="00BF055E">
              <w:rPr>
                <w:rFonts w:eastAsia="Times New Roman" w:cs="Times New Roman"/>
                <w:sz w:val="18"/>
                <w:szCs w:val="18"/>
                <w:lang w:eastAsia="lv-LV"/>
              </w:rPr>
              <w:t xml:space="preserve">: Plānots, izmantojot Norvēģijas un Islandes pieredzi, radīt risinājumus mākslīgā intelekta iespēju izmantošanai korupcijas risku mazināšanā publiskajos </w:t>
            </w:r>
            <w:r w:rsidRPr="00BF055E">
              <w:rPr>
                <w:rFonts w:eastAsia="Times New Roman" w:cs="Times New Roman"/>
                <w:sz w:val="18"/>
                <w:szCs w:val="18"/>
                <w:lang w:eastAsia="lv-LV"/>
              </w:rPr>
              <w:lastRenderedPageBreak/>
              <w:t xml:space="preserve">iepirkumos. </w:t>
            </w:r>
            <w:r w:rsidRPr="00BF055E">
              <w:rPr>
                <w:rFonts w:eastAsia="Times New Roman" w:cs="Times New Roman"/>
                <w:sz w:val="18"/>
                <w:szCs w:val="18"/>
                <w:lang w:eastAsia="lv-LV"/>
              </w:rPr>
              <w:br/>
              <w:t xml:space="preserve">Kopā 30 dalībnieki no Latvijas, Norvēģijas un Islandes, sadalīti komandās, 48 stundu laikā radīs un prezentēs idejas, kā, izmantojot mākslīgajā intelektā balstītus risinājumus, iespējams mazināt cilvēka faktora klātbūtni publisko iepirkumu procesā, tādējādi būtiski mazinot korupcijas riskus. </w:t>
            </w:r>
          </w:p>
        </w:tc>
        <w:tc>
          <w:tcPr>
            <w:tcW w:w="1134" w:type="dxa"/>
            <w:tcBorders>
              <w:top w:val="nil"/>
              <w:left w:val="nil"/>
              <w:bottom w:val="single" w:sz="4" w:space="0" w:color="auto"/>
              <w:right w:val="single" w:sz="4" w:space="0" w:color="auto"/>
            </w:tcBorders>
            <w:shd w:val="clear" w:color="000000" w:fill="FFFFFF"/>
            <w:hideMark/>
          </w:tcPr>
          <w:p w14:paraId="520E013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2025.g.</w:t>
            </w:r>
          </w:p>
        </w:tc>
        <w:tc>
          <w:tcPr>
            <w:tcW w:w="1417" w:type="dxa"/>
            <w:tcBorders>
              <w:top w:val="nil"/>
              <w:left w:val="nil"/>
              <w:bottom w:val="single" w:sz="4" w:space="0" w:color="auto"/>
              <w:right w:val="single" w:sz="4" w:space="0" w:color="auto"/>
            </w:tcBorders>
            <w:shd w:val="clear" w:color="auto" w:fill="auto"/>
            <w:hideMark/>
          </w:tcPr>
          <w:p w14:paraId="7E50E182" w14:textId="6BFB5802"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24 880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(EEZ finanšu inst</w:t>
            </w:r>
            <w:r w:rsidR="0058560C">
              <w:rPr>
                <w:rFonts w:eastAsia="Times New Roman" w:cs="Times New Roman"/>
                <w:sz w:val="18"/>
                <w:szCs w:val="18"/>
                <w:lang w:eastAsia="lv-LV"/>
              </w:rPr>
              <w:t>r</w:t>
            </w:r>
            <w:r w:rsidRPr="00BF055E">
              <w:rPr>
                <w:rFonts w:eastAsia="Times New Roman" w:cs="Times New Roman"/>
                <w:sz w:val="18"/>
                <w:szCs w:val="18"/>
                <w:lang w:eastAsia="lv-LV"/>
              </w:rPr>
              <w:t>umenta finansējums)</w:t>
            </w:r>
          </w:p>
        </w:tc>
        <w:tc>
          <w:tcPr>
            <w:tcW w:w="1276" w:type="dxa"/>
            <w:tcBorders>
              <w:top w:val="nil"/>
              <w:left w:val="nil"/>
              <w:bottom w:val="single" w:sz="4" w:space="0" w:color="auto"/>
              <w:right w:val="single" w:sz="4" w:space="0" w:color="auto"/>
            </w:tcBorders>
            <w:shd w:val="clear" w:color="000000" w:fill="FFFFFF"/>
            <w:hideMark/>
          </w:tcPr>
          <w:p w14:paraId="7FE82C3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KNAB</w:t>
            </w:r>
          </w:p>
        </w:tc>
        <w:tc>
          <w:tcPr>
            <w:tcW w:w="709" w:type="dxa"/>
            <w:tcBorders>
              <w:top w:val="nil"/>
              <w:left w:val="nil"/>
              <w:bottom w:val="single" w:sz="4" w:space="0" w:color="auto"/>
              <w:right w:val="single" w:sz="4" w:space="0" w:color="auto"/>
            </w:tcBorders>
            <w:shd w:val="clear" w:color="000000" w:fill="FFFFFF"/>
            <w:hideMark/>
          </w:tcPr>
          <w:p w14:paraId="08F51A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709" w:type="dxa"/>
            <w:tcBorders>
              <w:top w:val="nil"/>
              <w:left w:val="nil"/>
              <w:bottom w:val="single" w:sz="4" w:space="0" w:color="auto"/>
              <w:right w:val="single" w:sz="4" w:space="0" w:color="auto"/>
            </w:tcBorders>
            <w:shd w:val="clear" w:color="000000" w:fill="FFFFFF"/>
            <w:hideMark/>
          </w:tcPr>
          <w:p w14:paraId="3E0EA52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896" w:type="dxa"/>
            <w:tcBorders>
              <w:top w:val="nil"/>
              <w:left w:val="nil"/>
              <w:bottom w:val="single" w:sz="4" w:space="0" w:color="auto"/>
              <w:right w:val="single" w:sz="4" w:space="0" w:color="auto"/>
            </w:tcBorders>
            <w:shd w:val="clear" w:color="000000" w:fill="FFFFFF"/>
            <w:hideMark/>
          </w:tcPr>
          <w:p w14:paraId="52E214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7" w:type="dxa"/>
            <w:tcBorders>
              <w:top w:val="nil"/>
              <w:left w:val="nil"/>
              <w:bottom w:val="single" w:sz="4" w:space="0" w:color="auto"/>
              <w:right w:val="single" w:sz="4" w:space="0" w:color="auto"/>
            </w:tcBorders>
            <w:shd w:val="clear" w:color="000000" w:fill="FFFFFF"/>
            <w:hideMark/>
          </w:tcPr>
          <w:p w14:paraId="463BEB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1086" w:type="dxa"/>
            <w:tcBorders>
              <w:top w:val="nil"/>
              <w:left w:val="nil"/>
              <w:bottom w:val="single" w:sz="4" w:space="0" w:color="auto"/>
              <w:right w:val="single" w:sz="4" w:space="0" w:color="auto"/>
            </w:tcBorders>
            <w:shd w:val="clear" w:color="000000" w:fill="FFFFFF"/>
            <w:hideMark/>
          </w:tcPr>
          <w:p w14:paraId="03BCB14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bl>
    <w:p w14:paraId="53D1E8DE" w14:textId="77777777" w:rsidR="00BF055E" w:rsidRPr="00BF055E" w:rsidRDefault="00BF055E" w:rsidP="006357B3">
      <w:pPr>
        <w:spacing w:after="0" w:line="240" w:lineRule="auto"/>
        <w:rPr>
          <w:rFonts w:eastAsia="Calibri" w:cs="Times New Roman"/>
          <w:kern w:val="2"/>
          <w:szCs w:val="24"/>
          <w14:ligatures w14:val="standardContextual"/>
        </w:rPr>
      </w:pPr>
    </w:p>
    <w:p w14:paraId="36DF80DD" w14:textId="32A99ED3" w:rsidR="00BF055E" w:rsidRPr="00BF055E" w:rsidRDefault="00D16FDC" w:rsidP="006357B3">
      <w:pPr>
        <w:spacing w:line="240" w:lineRule="auto"/>
        <w:rPr>
          <w:rFonts w:eastAsia="Calibri" w:cs="Times New Roman"/>
          <w:b/>
          <w:bCs/>
          <w:i/>
          <w:iCs/>
          <w:kern w:val="2"/>
          <w:szCs w:val="24"/>
          <w14:ligatures w14:val="standardContextual"/>
        </w:rPr>
      </w:pPr>
      <w:r>
        <w:rPr>
          <w:rFonts w:eastAsia="Calibri" w:cs="Times New Roman"/>
          <w:b/>
          <w:bCs/>
          <w:i/>
          <w:iCs/>
          <w:kern w:val="2"/>
          <w:szCs w:val="24"/>
          <w14:ligatures w14:val="standardContextual"/>
        </w:rPr>
        <w:t>9</w:t>
      </w:r>
      <w:r w:rsidR="00BF055E" w:rsidRPr="00BF055E">
        <w:rPr>
          <w:rFonts w:eastAsia="Calibri" w:cs="Times New Roman"/>
          <w:b/>
          <w:bCs/>
          <w:i/>
          <w:iCs/>
          <w:kern w:val="2"/>
          <w:szCs w:val="24"/>
          <w14:ligatures w14:val="standardContextual"/>
        </w:rPr>
        <w:t>.1.14. Citas reformas un investīcijas, kas vērstas uz ES kopīgu prioritāšu īstenošanu</w:t>
      </w:r>
    </w:p>
    <w:p w14:paraId="62FAE788" w14:textId="1BA13004" w:rsidR="00BF055E" w:rsidRPr="0058560C" w:rsidRDefault="00BF055E" w:rsidP="0058560C">
      <w:pPr>
        <w:spacing w:before="120" w:line="240" w:lineRule="auto"/>
        <w:rPr>
          <w:rFonts w:eastAsia="Calibri" w:cs="Times New Roman"/>
          <w:b/>
          <w:bCs/>
          <w:kern w:val="2"/>
          <w:szCs w:val="24"/>
          <w14:ligatures w14:val="standardContextual"/>
        </w:rPr>
      </w:pPr>
      <w:r w:rsidRPr="00BF055E">
        <w:rPr>
          <w:rFonts w:eastAsia="Calibri" w:cs="Times New Roman"/>
          <w:kern w:val="2"/>
          <w:szCs w:val="24"/>
          <w14:ligatures w14:val="standardContextual"/>
        </w:rPr>
        <w:t>Šajā sadaļā ir iekļauta informācija par citiem pasākumiem, reformām un investīcijām, kas ir saistītas ar ES līmenī apstiprinātām kopīgām prioritātēm. Ņemot vērā, ka daļa no pasākumiem un politikas virzieniem savā starpā pārklājas (piemēram, enerģētikas drošības prioritāte), informācija par pasākumiem būtu skatāma arī citās Latvijas FSP 9. nodaļas un 9.</w:t>
      </w:r>
      <w:r w:rsidR="00F02510">
        <w:rPr>
          <w:rFonts w:eastAsia="Calibri" w:cs="Times New Roman"/>
          <w:kern w:val="2"/>
          <w:szCs w:val="24"/>
          <w14:ligatures w14:val="standardContextual"/>
        </w:rPr>
        <w:t xml:space="preserve"> </w:t>
      </w:r>
      <w:r w:rsidRPr="00BF055E">
        <w:rPr>
          <w:rFonts w:eastAsia="Calibri" w:cs="Times New Roman"/>
          <w:kern w:val="2"/>
          <w:szCs w:val="24"/>
          <w14:ligatures w14:val="standardContextual"/>
        </w:rPr>
        <w:t xml:space="preserve">tabulas sadaļās. Tā, piemēram, </w:t>
      </w:r>
      <w:r w:rsidRPr="00BF055E">
        <w:rPr>
          <w:rFonts w:eastAsia="Calibri" w:cs="Times New Roman"/>
          <w:b/>
          <w:bCs/>
          <w:kern w:val="2"/>
          <w:szCs w:val="24"/>
          <w14:ligatures w14:val="standardContextual"/>
        </w:rPr>
        <w:t>reformas un investīcijas par enerģētikas drošības prioritāti ir atspoguļotas Latvijas FSP sadaļā par enerģētikas un energoefektivitātes politikas virzienu.</w:t>
      </w:r>
    </w:p>
    <w:p w14:paraId="4E912B6A" w14:textId="77777777" w:rsidR="00BF055E" w:rsidRPr="00BF055E" w:rsidRDefault="00BF055E" w:rsidP="0058560C">
      <w:pPr>
        <w:spacing w:after="0" w:line="240" w:lineRule="auto"/>
        <w:rPr>
          <w:rFonts w:eastAsia="Calibri" w:cs="Times New Roman"/>
          <w:b/>
          <w:bCs/>
          <w:kern w:val="2"/>
          <w:szCs w:val="24"/>
          <w14:ligatures w14:val="standardContextual"/>
        </w:rPr>
      </w:pPr>
    </w:p>
    <w:p w14:paraId="323B67A3" w14:textId="77777777" w:rsidR="00BF055E" w:rsidRPr="00BF055E" w:rsidRDefault="00BF055E" w:rsidP="0058560C">
      <w:pPr>
        <w:spacing w:line="240" w:lineRule="auto"/>
        <w:rPr>
          <w:rFonts w:eastAsia="Calibri" w:cs="Times New Roman"/>
          <w:b/>
          <w:bCs/>
          <w:kern w:val="2"/>
          <w:szCs w:val="24"/>
          <w14:ligatures w14:val="standardContextual"/>
        </w:rPr>
      </w:pPr>
      <w:r w:rsidRPr="00BF055E">
        <w:rPr>
          <w:rFonts w:eastAsia="Calibri" w:cs="Times New Roman"/>
          <w:b/>
          <w:bCs/>
          <w:kern w:val="2"/>
          <w:szCs w:val="24"/>
          <w14:ligatures w14:val="standardContextual"/>
        </w:rPr>
        <w:t>Taisnīga zaļā un digitālā pārkārtošanās</w:t>
      </w:r>
    </w:p>
    <w:p w14:paraId="2C03A1CC"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Zem šīs prioritātes iekļautie pasākumi paredz nodrošināt pašvaldību pielāgošanos klimata pārmaiņām, īstenot nacionālas nozīmes plūdu un krasta erozijas pasākumus, uzlabot atkritumu šķirošanu, pārstrādi un reģenerāciju, nodrošināt dalītu atkritumu vākšanu, īstenot vides izglītības pasākumus sabiedrības informētībai un prasmju attīstībai, īstenot pasākumus bioloģiskās daudzveidības veicināšanai un saglabāšanai, nodrošināt vides monitoringa attīstību harmonizētai vides un klimata datu informācijas nodrošināšanai, īstenot gaisa piesārņojuma samazināšanas pasākumus pašvaldībās u.c. pasākumi. Tāpat ar Taisnīgas pārkārtošanās fonda palīdzību plānots īstenot pasākumu, lai atteiktos no kūdras izmantošanas enerģētikā.</w:t>
      </w:r>
    </w:p>
    <w:p w14:paraId="2262D0D3"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Zem šīs ES kopīgas prioritātes ir iekļauti arī pasākumi un investīcijas, kas nodrošinās IKT risinājumu un pakalpojumu attīstību un iespēju radīšanu privātajam sektoram. Investīcijas paredzētas arī publiskās </w:t>
      </w:r>
      <w:proofErr w:type="spellStart"/>
      <w:r w:rsidRPr="00BF055E">
        <w:rPr>
          <w:rFonts w:eastAsia="Calibri" w:cs="Times New Roman"/>
          <w:kern w:val="2"/>
          <w:szCs w:val="24"/>
          <w14:ligatures w14:val="standardContextual"/>
        </w:rPr>
        <w:t>ārtelpas</w:t>
      </w:r>
      <w:proofErr w:type="spellEnd"/>
      <w:r w:rsidRPr="00BF055E">
        <w:rPr>
          <w:rFonts w:eastAsia="Calibri" w:cs="Times New Roman"/>
          <w:kern w:val="2"/>
          <w:szCs w:val="24"/>
          <w14:ligatures w14:val="standardContextual"/>
        </w:rPr>
        <w:t xml:space="preserve"> attīstīšanai pilsētu funkcionālajās teritorijās, lai uzlabotu dzīves vides kvalitāti un palielinātu sabiedrības drošību, kā arī investīcijas viedo pašvaldību attīstības veicināšanā, ieviešot viedus risinājumus pašvaldību autonomo funkciju un no tām izrietošu pārvaldes uzdevumu izpildes nodrošināšanā.</w:t>
      </w:r>
    </w:p>
    <w:p w14:paraId="43F1ED98"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lastRenderedPageBreak/>
        <w:t xml:space="preserve">Ar Taisnīgas pārkārtošanās fonda palīdzību plānots atbalsts uzņēmējdarbībai nepieciešamās publiskās infrastruktūras attīstībai, veicinot pāreju uz </w:t>
      </w:r>
      <w:proofErr w:type="spellStart"/>
      <w:r w:rsidRPr="00BF055E">
        <w:rPr>
          <w:rFonts w:eastAsia="Calibri" w:cs="Times New Roman"/>
          <w:kern w:val="2"/>
          <w:szCs w:val="24"/>
          <w14:ligatures w14:val="standardContextual"/>
        </w:rPr>
        <w:t>klimatneitrālu</w:t>
      </w:r>
      <w:proofErr w:type="spellEnd"/>
      <w:r w:rsidRPr="00BF055E">
        <w:rPr>
          <w:rFonts w:eastAsia="Calibri" w:cs="Times New Roman"/>
          <w:kern w:val="2"/>
          <w:szCs w:val="24"/>
          <w14:ligatures w14:val="standardContextual"/>
        </w:rPr>
        <w:t xml:space="preserve"> ekonomiku, ES nozīmes biotopu vai purvu ekosistēmu atjaunošanai u.c.</w:t>
      </w:r>
    </w:p>
    <w:p w14:paraId="3334A9E0"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Tāpat ir plānots stiprināt glābšanas dienestu kapacitāti, īpaši veicot Valsts ugunsdzēsības un glābšanas dienesta infrastruktūras un materiāltehniskās bāzes modernizāciju, īstenot katastrofu risku mazināšanas u.c. pasākumus.</w:t>
      </w:r>
    </w:p>
    <w:p w14:paraId="0665BF0F"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Izglītības jomā plānots īstenot ES fondu atbalsta programmas, piemēram, ieviest klimata neitrālos risinājumus profesionālās izglītības iestāžu un koledžu izglītības programmās, vidē un infrastruktūrā, veikt zinātniskās darbības </w:t>
      </w:r>
      <w:proofErr w:type="spellStart"/>
      <w:r w:rsidRPr="00BF055E">
        <w:rPr>
          <w:rFonts w:eastAsia="Calibri" w:cs="Times New Roman"/>
          <w:kern w:val="2"/>
          <w:szCs w:val="24"/>
          <w14:ligatures w14:val="standardContextual"/>
        </w:rPr>
        <w:t>digitalizāciju</w:t>
      </w:r>
      <w:proofErr w:type="spellEnd"/>
      <w:r w:rsidRPr="00BF055E">
        <w:rPr>
          <w:rFonts w:eastAsia="Calibri" w:cs="Times New Roman"/>
          <w:kern w:val="2"/>
          <w:szCs w:val="24"/>
          <w14:ligatures w14:val="standardContextual"/>
        </w:rPr>
        <w:t xml:space="preserve"> un īstenot citus pasākumus (skat. arī citus Latvijas FSP 9. tabulā iekļautos politikas virzienus).</w:t>
      </w:r>
    </w:p>
    <w:p w14:paraId="085F5D46" w14:textId="77777777" w:rsidR="00BF055E" w:rsidRPr="00BF055E" w:rsidRDefault="00BF055E" w:rsidP="006357B3">
      <w:pPr>
        <w:spacing w:before="120" w:line="240" w:lineRule="auto"/>
        <w:rPr>
          <w:rFonts w:eastAsia="Calibri" w:cs="Times New Roman"/>
          <w:b/>
          <w:bCs/>
          <w:kern w:val="2"/>
          <w:szCs w:val="24"/>
          <w14:ligatures w14:val="standardContextual"/>
        </w:rPr>
      </w:pPr>
      <w:r w:rsidRPr="00BF055E">
        <w:rPr>
          <w:rFonts w:eastAsia="Calibri" w:cs="Times New Roman"/>
          <w:b/>
          <w:bCs/>
          <w:kern w:val="2"/>
          <w:szCs w:val="24"/>
          <w14:ligatures w14:val="standardContextual"/>
        </w:rPr>
        <w:t>Sociālā un ekonomikas noturība, t.sk. Eiropas Sociālo tiesību pīlārs</w:t>
      </w:r>
    </w:p>
    <w:p w14:paraId="4D89EA18"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Zem šīs prioritātes iekļautie pasākumi paredz nodrošināt pirmsskolas izglītības iestāžu infrastruktūras attīstību ar mērķi cita starpā nodrošināt vienlīdzīgu pieeju pašvaldību pirmsskolas izglītības pakalpojumu pieejamībai, nodrošināt bērnu pieskatīšanas pakalpojumus.</w:t>
      </w:r>
    </w:p>
    <w:p w14:paraId="3EE6863E"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Tāpat ir plānots uzlabot juridiskās palīdzības pieejamību ar mērķi izveidot attīstītu valsts nodrošinātā juridiskā atbalsta sistēmu, paplašinot mazāk aizsargāto personu piekļuvi tiesu sistēmai, paredzot savlaicīgu un iedzīvotājiem pieejamu juridiskā atbalsta sniegšanu, lai preventīvi novērstu gadījumus, kad juridisko jautājumu nerisināšana negatīvi ietekmē iedzīvotāju sociālo un ekonomisko situāciju un pakļauj viņus nabadzības un (vai) sociālās atstumtības riskam.</w:t>
      </w:r>
    </w:p>
    <w:p w14:paraId="2CB8C51A" w14:textId="77777777" w:rsidR="00BF055E" w:rsidRPr="00BF055E" w:rsidRDefault="00BF055E" w:rsidP="006357B3">
      <w:pPr>
        <w:spacing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 xml:space="preserve">Lai stiprinātu ekonomikas noturību, Latvijas FSP paredz virkni pasākumu pētniecības un inovācijas jomā, piemēram, veicot augstākās izglītības institūciju un zinātnisko institūtu strukturālās pārmaiņas, īstenojot ES fondu atbalsta programmu par </w:t>
      </w:r>
      <w:proofErr w:type="spellStart"/>
      <w:r w:rsidRPr="00BF055E">
        <w:rPr>
          <w:rFonts w:eastAsia="Calibri" w:cs="Times New Roman"/>
          <w:kern w:val="2"/>
          <w:szCs w:val="24"/>
          <w14:ligatures w14:val="standardContextual"/>
        </w:rPr>
        <w:t>pēcdoktorantūras</w:t>
      </w:r>
      <w:proofErr w:type="spellEnd"/>
      <w:r w:rsidRPr="00BF055E">
        <w:rPr>
          <w:rFonts w:eastAsia="Calibri" w:cs="Times New Roman"/>
          <w:kern w:val="2"/>
          <w:szCs w:val="24"/>
          <w14:ligatures w14:val="standardContextual"/>
        </w:rPr>
        <w:t xml:space="preserve"> pētījumiem, praktiskas ievirzes pētījumiem, īstenot ar Viedās specializācijas stratēģiju (RIS3) plānotos pasākumus, īstenot inovāciju </w:t>
      </w:r>
      <w:proofErr w:type="spellStart"/>
      <w:r w:rsidRPr="00BF055E">
        <w:rPr>
          <w:rFonts w:eastAsia="Calibri" w:cs="Times New Roman"/>
          <w:kern w:val="2"/>
          <w:szCs w:val="24"/>
          <w14:ligatures w14:val="standardContextual"/>
        </w:rPr>
        <w:t>grantu</w:t>
      </w:r>
      <w:proofErr w:type="spellEnd"/>
      <w:r w:rsidRPr="00BF055E">
        <w:rPr>
          <w:rFonts w:eastAsia="Calibri" w:cs="Times New Roman"/>
          <w:kern w:val="2"/>
          <w:szCs w:val="24"/>
          <w14:ligatures w14:val="standardContextual"/>
        </w:rPr>
        <w:t xml:space="preserve"> un doktorantūras </w:t>
      </w:r>
      <w:proofErr w:type="spellStart"/>
      <w:r w:rsidRPr="00BF055E">
        <w:rPr>
          <w:rFonts w:eastAsia="Calibri" w:cs="Times New Roman"/>
          <w:kern w:val="2"/>
          <w:szCs w:val="24"/>
          <w14:ligatures w14:val="standardContextual"/>
        </w:rPr>
        <w:t>grantu</w:t>
      </w:r>
      <w:proofErr w:type="spellEnd"/>
      <w:r w:rsidRPr="00BF055E">
        <w:rPr>
          <w:rFonts w:eastAsia="Calibri" w:cs="Times New Roman"/>
          <w:kern w:val="2"/>
          <w:szCs w:val="24"/>
          <w14:ligatures w14:val="standardContextual"/>
        </w:rPr>
        <w:t xml:space="preserve"> atbalsta programmas un citus pasākumus (skat. arī citus Latvijas FSP 9. tabulā iekļautos politikas virzienus).</w:t>
      </w:r>
    </w:p>
    <w:p w14:paraId="476E4259" w14:textId="77777777" w:rsidR="00BF055E" w:rsidRPr="00BF055E" w:rsidRDefault="00BF055E" w:rsidP="006357B3">
      <w:pPr>
        <w:spacing w:before="120" w:line="240" w:lineRule="auto"/>
        <w:rPr>
          <w:rFonts w:eastAsia="Calibri" w:cs="Times New Roman"/>
          <w:b/>
          <w:bCs/>
          <w:kern w:val="2"/>
          <w:szCs w:val="24"/>
          <w14:ligatures w14:val="standardContextual"/>
        </w:rPr>
      </w:pPr>
      <w:r w:rsidRPr="00BF055E">
        <w:rPr>
          <w:rFonts w:eastAsia="Calibri" w:cs="Times New Roman"/>
          <w:b/>
          <w:bCs/>
          <w:kern w:val="2"/>
          <w:szCs w:val="24"/>
          <w14:ligatures w14:val="standardContextual"/>
        </w:rPr>
        <w:t>Aizsardzības spēju veidošana</w:t>
      </w:r>
    </w:p>
    <w:p w14:paraId="6BF42A3E" w14:textId="77777777" w:rsidR="00BF055E" w:rsidRPr="00BF055E" w:rsidRDefault="00BF055E" w:rsidP="0058560C">
      <w:pPr>
        <w:spacing w:after="240" w:line="240" w:lineRule="auto"/>
        <w:rPr>
          <w:rFonts w:eastAsia="Calibri" w:cs="Times New Roman"/>
          <w:kern w:val="2"/>
          <w:szCs w:val="24"/>
          <w14:ligatures w14:val="standardContextual"/>
        </w:rPr>
      </w:pPr>
      <w:r w:rsidRPr="00BF055E">
        <w:rPr>
          <w:rFonts w:eastAsia="Calibri" w:cs="Times New Roman"/>
          <w:kern w:val="2"/>
          <w:szCs w:val="24"/>
          <w14:ligatures w14:val="standardContextual"/>
        </w:rPr>
        <w:t>Lai stiprinātu aizsardzības spējas, plānots attīstīt Nacionālo bruņoto spēku pasākumu kopumu, kas primāri vērsts uz valsts apdraudējuma pārvarēšanu.</w:t>
      </w:r>
    </w:p>
    <w:p w14:paraId="11058B88" w14:textId="1C5178D5" w:rsidR="00BF055E" w:rsidRPr="00BF055E" w:rsidRDefault="00BF055E" w:rsidP="003123DB">
      <w:pPr>
        <w:spacing w:before="120" w:line="240" w:lineRule="auto"/>
        <w:jc w:val="right"/>
        <w:rPr>
          <w:rFonts w:eastAsia="Calibri" w:cs="Times New Roman"/>
          <w:b/>
          <w:bCs/>
          <w:kern w:val="2"/>
          <w:szCs w:val="24"/>
          <w14:ligatures w14:val="standardContextual"/>
        </w:rPr>
      </w:pPr>
      <w:r w:rsidRPr="00BF055E">
        <w:rPr>
          <w:rFonts w:eastAsia="Calibri" w:cs="Times New Roman"/>
          <w:b/>
          <w:bCs/>
          <w:kern w:val="2"/>
          <w:szCs w:val="24"/>
          <w14:ligatures w14:val="standardContextual"/>
        </w:rPr>
        <w:t xml:space="preserve">9. Tabula. </w:t>
      </w:r>
      <w:r w:rsidR="0058560C">
        <w:rPr>
          <w:rFonts w:eastAsia="Calibri" w:cs="Times New Roman"/>
          <w:b/>
          <w:bCs/>
          <w:kern w:val="2"/>
          <w:szCs w:val="24"/>
          <w14:ligatures w14:val="standardContextual"/>
        </w:rPr>
        <w:t>R</w:t>
      </w:r>
      <w:r w:rsidRPr="00BF055E">
        <w:rPr>
          <w:rFonts w:eastAsia="Calibri" w:cs="Times New Roman"/>
          <w:b/>
          <w:bCs/>
          <w:kern w:val="2"/>
          <w:szCs w:val="24"/>
          <w14:ligatures w14:val="standardContextual"/>
        </w:rPr>
        <w:t>eformas un investīcijas, politikas virziens: Citas reformas un investīcijas, kas vērstas uz ES kopīgu prioritāšu īstenošanu</w:t>
      </w:r>
    </w:p>
    <w:tbl>
      <w:tblPr>
        <w:tblW w:w="0" w:type="auto"/>
        <w:tblLayout w:type="fixed"/>
        <w:tblLook w:val="04A0" w:firstRow="1" w:lastRow="0" w:firstColumn="1" w:lastColumn="0" w:noHBand="0" w:noVBand="1"/>
      </w:tblPr>
      <w:tblGrid>
        <w:gridCol w:w="1640"/>
        <w:gridCol w:w="2183"/>
        <w:gridCol w:w="2835"/>
        <w:gridCol w:w="850"/>
        <w:gridCol w:w="1559"/>
        <w:gridCol w:w="993"/>
        <w:gridCol w:w="850"/>
        <w:gridCol w:w="851"/>
        <w:gridCol w:w="992"/>
        <w:gridCol w:w="992"/>
        <w:gridCol w:w="815"/>
      </w:tblGrid>
      <w:tr w:rsidR="00BF055E" w:rsidRPr="00BF055E" w14:paraId="0DB4E2E5" w14:textId="77777777" w:rsidTr="003B1594">
        <w:trPr>
          <w:trHeight w:val="20"/>
          <w:tblHeader/>
        </w:trPr>
        <w:tc>
          <w:tcPr>
            <w:tcW w:w="1640" w:type="dxa"/>
            <w:tcBorders>
              <w:top w:val="single" w:sz="4" w:space="0" w:color="auto"/>
              <w:left w:val="single" w:sz="4" w:space="0" w:color="auto"/>
              <w:bottom w:val="single" w:sz="4" w:space="0" w:color="auto"/>
              <w:right w:val="single" w:sz="4" w:space="0" w:color="auto"/>
            </w:tcBorders>
            <w:shd w:val="clear" w:color="000000" w:fill="95B3D7"/>
            <w:vAlign w:val="center"/>
            <w:hideMark/>
          </w:tcPr>
          <w:p w14:paraId="1CC68F64"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Pasākuma (t.sk. reformas/</w:t>
            </w:r>
          </w:p>
          <w:p w14:paraId="08779E89"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investīcijas) nosaukums</w:t>
            </w:r>
          </w:p>
        </w:tc>
        <w:tc>
          <w:tcPr>
            <w:tcW w:w="2183" w:type="dxa"/>
            <w:tcBorders>
              <w:top w:val="single" w:sz="4" w:space="0" w:color="auto"/>
              <w:left w:val="nil"/>
              <w:bottom w:val="single" w:sz="4" w:space="0" w:color="auto"/>
              <w:right w:val="single" w:sz="4" w:space="0" w:color="auto"/>
            </w:tcBorders>
            <w:shd w:val="clear" w:color="000000" w:fill="95B3D7"/>
            <w:vAlign w:val="center"/>
            <w:hideMark/>
          </w:tcPr>
          <w:p w14:paraId="7009B1E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Mērķis (ko ar pasākumu vēlas sasniegt?)</w:t>
            </w:r>
          </w:p>
        </w:tc>
        <w:tc>
          <w:tcPr>
            <w:tcW w:w="2835" w:type="dxa"/>
            <w:tcBorders>
              <w:top w:val="single" w:sz="4" w:space="0" w:color="auto"/>
              <w:left w:val="nil"/>
              <w:bottom w:val="single" w:sz="4" w:space="0" w:color="auto"/>
              <w:right w:val="single" w:sz="4" w:space="0" w:color="auto"/>
            </w:tcBorders>
            <w:shd w:val="clear" w:color="000000" w:fill="95B3D7"/>
            <w:vAlign w:val="center"/>
            <w:hideMark/>
          </w:tcPr>
          <w:p w14:paraId="3EF9E2D9"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Galvenie pasākuma īstenošanas soļi</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13807E12"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Īstenošanas laiks</w:t>
            </w:r>
          </w:p>
        </w:tc>
        <w:tc>
          <w:tcPr>
            <w:tcW w:w="1559" w:type="dxa"/>
            <w:tcBorders>
              <w:top w:val="single" w:sz="4" w:space="0" w:color="auto"/>
              <w:left w:val="nil"/>
              <w:bottom w:val="single" w:sz="4" w:space="0" w:color="auto"/>
              <w:right w:val="single" w:sz="4" w:space="0" w:color="auto"/>
            </w:tcBorders>
            <w:shd w:val="clear" w:color="000000" w:fill="95B3D7"/>
            <w:vAlign w:val="center"/>
            <w:hideMark/>
          </w:tcPr>
          <w:p w14:paraId="437126D8"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 xml:space="preserve">Finansējums, milj. </w:t>
            </w:r>
            <w:proofErr w:type="spellStart"/>
            <w:r w:rsidRPr="00BF055E">
              <w:rPr>
                <w:rFonts w:eastAsia="Times New Roman" w:cs="Times New Roman"/>
                <w:b/>
                <w:bCs/>
                <w:i/>
                <w:color w:val="000000"/>
                <w:sz w:val="18"/>
                <w:szCs w:val="18"/>
                <w:lang w:eastAsia="lv-LV"/>
              </w:rPr>
              <w:t>euro</w:t>
            </w:r>
            <w:proofErr w:type="spellEnd"/>
            <w:r w:rsidRPr="00BF055E">
              <w:rPr>
                <w:rFonts w:eastAsia="Times New Roman" w:cs="Times New Roman"/>
                <w:b/>
                <w:bCs/>
                <w:color w:val="000000"/>
                <w:sz w:val="18"/>
                <w:szCs w:val="18"/>
                <w:lang w:eastAsia="lv-LV"/>
              </w:rPr>
              <w:t xml:space="preserve"> (valsts budžets, ES fondi, ANM, cits)</w:t>
            </w:r>
          </w:p>
        </w:tc>
        <w:tc>
          <w:tcPr>
            <w:tcW w:w="993" w:type="dxa"/>
            <w:tcBorders>
              <w:top w:val="single" w:sz="4" w:space="0" w:color="auto"/>
              <w:left w:val="nil"/>
              <w:bottom w:val="single" w:sz="4" w:space="0" w:color="auto"/>
              <w:right w:val="single" w:sz="4" w:space="0" w:color="auto"/>
            </w:tcBorders>
            <w:shd w:val="clear" w:color="000000" w:fill="95B3D7"/>
            <w:vAlign w:val="center"/>
            <w:hideMark/>
          </w:tcPr>
          <w:p w14:paraId="66EC100C"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Atbildīga/ līdzatbildīga institūcija</w:t>
            </w:r>
          </w:p>
        </w:tc>
        <w:tc>
          <w:tcPr>
            <w:tcW w:w="850" w:type="dxa"/>
            <w:tcBorders>
              <w:top w:val="single" w:sz="4" w:space="0" w:color="auto"/>
              <w:left w:val="nil"/>
              <w:bottom w:val="single" w:sz="4" w:space="0" w:color="auto"/>
              <w:right w:val="single" w:sz="4" w:space="0" w:color="auto"/>
            </w:tcBorders>
            <w:shd w:val="clear" w:color="000000" w:fill="95B3D7"/>
            <w:vAlign w:val="center"/>
            <w:hideMark/>
          </w:tcPr>
          <w:p w14:paraId="0930859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ANM/</w:t>
            </w:r>
          </w:p>
          <w:p w14:paraId="258099B0"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budžets (MFF)</w:t>
            </w:r>
          </w:p>
        </w:tc>
        <w:tc>
          <w:tcPr>
            <w:tcW w:w="851" w:type="dxa"/>
            <w:tcBorders>
              <w:top w:val="single" w:sz="4" w:space="0" w:color="auto"/>
              <w:left w:val="nil"/>
              <w:bottom w:val="single" w:sz="4" w:space="0" w:color="auto"/>
              <w:right w:val="single" w:sz="4" w:space="0" w:color="auto"/>
            </w:tcBorders>
            <w:shd w:val="clear" w:color="000000" w:fill="95B3D7"/>
            <w:vAlign w:val="center"/>
            <w:hideMark/>
          </w:tcPr>
          <w:p w14:paraId="5194CD81"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CSR</w:t>
            </w:r>
          </w:p>
        </w:tc>
        <w:tc>
          <w:tcPr>
            <w:tcW w:w="992" w:type="dxa"/>
            <w:tcBorders>
              <w:top w:val="single" w:sz="4" w:space="0" w:color="auto"/>
              <w:left w:val="nil"/>
              <w:bottom w:val="single" w:sz="4" w:space="0" w:color="auto"/>
              <w:right w:val="single" w:sz="4" w:space="0" w:color="auto"/>
            </w:tcBorders>
            <w:shd w:val="clear" w:color="000000" w:fill="95B3D7"/>
            <w:vAlign w:val="center"/>
            <w:hideMark/>
          </w:tcPr>
          <w:p w14:paraId="549C9C2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ES kopīgas prioritātes</w:t>
            </w:r>
          </w:p>
        </w:tc>
        <w:tc>
          <w:tcPr>
            <w:tcW w:w="992" w:type="dxa"/>
            <w:tcBorders>
              <w:top w:val="single" w:sz="4" w:space="0" w:color="auto"/>
              <w:left w:val="nil"/>
              <w:bottom w:val="single" w:sz="4" w:space="0" w:color="auto"/>
              <w:right w:val="single" w:sz="4" w:space="0" w:color="auto"/>
            </w:tcBorders>
            <w:shd w:val="clear" w:color="000000" w:fill="95B3D7"/>
            <w:vAlign w:val="center"/>
            <w:hideMark/>
          </w:tcPr>
          <w:p w14:paraId="171FC9FB"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Eiropas Sociālo tiesību pīlārs</w:t>
            </w:r>
          </w:p>
        </w:tc>
        <w:tc>
          <w:tcPr>
            <w:tcW w:w="815" w:type="dxa"/>
            <w:tcBorders>
              <w:top w:val="single" w:sz="4" w:space="0" w:color="auto"/>
              <w:left w:val="nil"/>
              <w:bottom w:val="single" w:sz="4" w:space="0" w:color="auto"/>
              <w:right w:val="single" w:sz="4" w:space="0" w:color="auto"/>
            </w:tcBorders>
            <w:shd w:val="clear" w:color="000000" w:fill="95B3D7"/>
            <w:vAlign w:val="center"/>
            <w:hideMark/>
          </w:tcPr>
          <w:p w14:paraId="39946A0A" w14:textId="77777777" w:rsidR="00BF055E" w:rsidRPr="00BF055E" w:rsidRDefault="00BF055E" w:rsidP="006357B3">
            <w:pPr>
              <w:spacing w:after="0" w:line="240" w:lineRule="auto"/>
              <w:ind w:firstLine="0"/>
              <w:jc w:val="center"/>
              <w:rPr>
                <w:rFonts w:eastAsia="Times New Roman" w:cs="Times New Roman"/>
                <w:b/>
                <w:bCs/>
                <w:color w:val="000000"/>
                <w:sz w:val="18"/>
                <w:szCs w:val="18"/>
                <w:lang w:eastAsia="lv-LV"/>
              </w:rPr>
            </w:pPr>
            <w:r w:rsidRPr="00BF055E">
              <w:rPr>
                <w:rFonts w:eastAsia="Times New Roman" w:cs="Times New Roman"/>
                <w:b/>
                <w:bCs/>
                <w:color w:val="000000"/>
                <w:sz w:val="18"/>
                <w:szCs w:val="18"/>
                <w:lang w:eastAsia="lv-LV"/>
              </w:rPr>
              <w:t>ANO IAM</w:t>
            </w:r>
          </w:p>
        </w:tc>
      </w:tr>
      <w:tr w:rsidR="00BF055E" w:rsidRPr="00BF055E" w14:paraId="605F270D" w14:textId="77777777" w:rsidTr="003B1594">
        <w:trPr>
          <w:trHeight w:val="20"/>
          <w:tblHeader/>
        </w:trPr>
        <w:tc>
          <w:tcPr>
            <w:tcW w:w="14560" w:type="dxa"/>
            <w:gridSpan w:val="11"/>
            <w:tcBorders>
              <w:top w:val="single" w:sz="4" w:space="0" w:color="auto"/>
              <w:left w:val="single" w:sz="4" w:space="0" w:color="auto"/>
              <w:bottom w:val="single" w:sz="4" w:space="0" w:color="auto"/>
              <w:right w:val="single" w:sz="4" w:space="0" w:color="000000"/>
            </w:tcBorders>
            <w:shd w:val="clear" w:color="000000" w:fill="F2DCDB"/>
            <w:hideMark/>
          </w:tcPr>
          <w:p w14:paraId="6F7115D3"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Citas reformas/investīcijas, kas vērstas uz ES kopīgu prioritāšu īstenošanu, kas minētas Eiropas Parlamenta un Padomes regulas (ES) 2024/1263 (2024. gada 29. aprīlis) par ekonomikas politikas efektīvu koordināciju un budžeta daudzpusēju uzraudzību un ar ko atceļ Padomes Regulu (EK) Nr. 1466/97 13. pantā</w:t>
            </w:r>
          </w:p>
        </w:tc>
      </w:tr>
      <w:tr w:rsidR="00BF055E" w:rsidRPr="00BF055E" w14:paraId="291C7504" w14:textId="77777777" w:rsidTr="003B1594">
        <w:trPr>
          <w:trHeight w:val="20"/>
        </w:trPr>
        <w:tc>
          <w:tcPr>
            <w:tcW w:w="14560" w:type="dxa"/>
            <w:gridSpan w:val="11"/>
            <w:tcBorders>
              <w:top w:val="single" w:sz="4" w:space="0" w:color="auto"/>
              <w:left w:val="single" w:sz="4" w:space="0" w:color="auto"/>
              <w:bottom w:val="single" w:sz="4" w:space="0" w:color="auto"/>
              <w:right w:val="single" w:sz="4" w:space="0" w:color="auto"/>
            </w:tcBorders>
            <w:shd w:val="clear" w:color="000000" w:fill="F2F2F2"/>
            <w:hideMark/>
          </w:tcPr>
          <w:p w14:paraId="3D6A110A"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Taisnīga zaļā un digitālā pārkārtošanās</w:t>
            </w:r>
          </w:p>
        </w:tc>
      </w:tr>
      <w:tr w:rsidR="00BF055E" w:rsidRPr="00BF055E" w14:paraId="4CD2CCB9"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43C1DFC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Pašvaldību pielāgošanās </w:t>
            </w:r>
            <w:r w:rsidRPr="00BF055E">
              <w:rPr>
                <w:rFonts w:eastAsia="Times New Roman" w:cs="Times New Roman"/>
                <w:sz w:val="18"/>
                <w:szCs w:val="18"/>
                <w:lang w:eastAsia="lv-LV"/>
              </w:rPr>
              <w:lastRenderedPageBreak/>
              <w:t>klimata pārmaiņām (Programma</w:t>
            </w:r>
            <w:r w:rsidRPr="00BF055E">
              <w:rPr>
                <w:rFonts w:eastAsia="Times New Roman" w:cs="Times New Roman"/>
                <w:sz w:val="18"/>
                <w:szCs w:val="18"/>
                <w:lang w:eastAsia="lv-LV"/>
              </w:rPr>
              <w:br/>
              <w:t>2.1.3.1. (tikai 1.k.; bez 2.kārtas elastības finansējuma rādītājos un finansēs))</w:t>
            </w:r>
          </w:p>
        </w:tc>
        <w:tc>
          <w:tcPr>
            <w:tcW w:w="2183" w:type="dxa"/>
            <w:tcBorders>
              <w:top w:val="nil"/>
              <w:left w:val="nil"/>
              <w:bottom w:val="single" w:sz="4" w:space="0" w:color="auto"/>
              <w:right w:val="single" w:sz="4" w:space="0" w:color="auto"/>
            </w:tcBorders>
            <w:shd w:val="clear" w:color="000000" w:fill="FFFFFF"/>
            <w:hideMark/>
          </w:tcPr>
          <w:p w14:paraId="7FB2165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Investīcijas zaļās pārejas veicināšanai, lai atbalstītu </w:t>
            </w:r>
            <w:r w:rsidRPr="00BF055E">
              <w:rPr>
                <w:rFonts w:eastAsia="Times New Roman" w:cs="Times New Roman"/>
                <w:sz w:val="18"/>
                <w:szCs w:val="18"/>
                <w:lang w:eastAsia="lv-LV"/>
              </w:rPr>
              <w:lastRenderedPageBreak/>
              <w:t>infrastruktūras izveides un atjaunošanas darbības, kas vērstas uz pašvaldību pielāgošanos klimata pārmaiņām un klimata pārmaiņu izraisītu katastrofu riska mazināšanu.</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īstenotas darbības 10 nacionāla un vietēja līmeņa stratēģijās, kas koncentrējas uz pielāgošanos klimata pārmaiņām;</w:t>
            </w:r>
            <w:r w:rsidRPr="00BF055E">
              <w:rPr>
                <w:rFonts w:eastAsia="Times New Roman" w:cs="Times New Roman"/>
                <w:sz w:val="18"/>
                <w:szCs w:val="18"/>
                <w:lang w:eastAsia="lv-LV"/>
              </w:rPr>
              <w:br/>
              <w:t>2) izveidota vai jaunināta zaļā infrastruktūra nolūkā pielāgoties klimata pārmaiņām 21 ha platībā;</w:t>
            </w:r>
            <w:r w:rsidRPr="00BF055E">
              <w:rPr>
                <w:rFonts w:eastAsia="Times New Roman" w:cs="Times New Roman"/>
                <w:sz w:val="18"/>
                <w:szCs w:val="18"/>
                <w:lang w:eastAsia="lv-LV"/>
              </w:rPr>
              <w:br/>
              <w:t xml:space="preserve">3) </w:t>
            </w:r>
            <w:proofErr w:type="spellStart"/>
            <w:r w:rsidRPr="00BF055E">
              <w:rPr>
                <w:rFonts w:eastAsia="Times New Roman" w:cs="Times New Roman"/>
                <w:sz w:val="18"/>
                <w:szCs w:val="18"/>
                <w:lang w:eastAsia="lv-LV"/>
              </w:rPr>
              <w:t>jaunizveidota</w:t>
            </w:r>
            <w:proofErr w:type="spellEnd"/>
            <w:r w:rsidRPr="00BF055E">
              <w:rPr>
                <w:rFonts w:eastAsia="Times New Roman" w:cs="Times New Roman"/>
                <w:sz w:val="18"/>
                <w:szCs w:val="18"/>
                <w:lang w:eastAsia="lv-LV"/>
              </w:rPr>
              <w:t xml:space="preserve"> vai nostiprināta piekrastes joslas un upju un ezeru krastu aizsardzība pret plūdiem.</w:t>
            </w:r>
          </w:p>
        </w:tc>
        <w:tc>
          <w:tcPr>
            <w:tcW w:w="2835" w:type="dxa"/>
            <w:tcBorders>
              <w:top w:val="nil"/>
              <w:left w:val="nil"/>
              <w:bottom w:val="single" w:sz="4" w:space="0" w:color="auto"/>
              <w:right w:val="single" w:sz="4" w:space="0" w:color="auto"/>
            </w:tcBorders>
            <w:shd w:val="clear" w:color="000000" w:fill="FFFFFF"/>
            <w:hideMark/>
          </w:tcPr>
          <w:p w14:paraId="6E1064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(07.05.2024.);</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2) projektu iesniegumu vērtēšanas kritēriju apstiprināšana ES fondu Uzraudzības komitejā (22.11.2023.);</w:t>
            </w:r>
            <w:r w:rsidRPr="00BF055E">
              <w:rPr>
                <w:rFonts w:eastAsia="Times New Roman" w:cs="Times New Roman"/>
                <w:sz w:val="18"/>
                <w:szCs w:val="18"/>
                <w:lang w:eastAsia="lv-LV"/>
              </w:rPr>
              <w:br/>
              <w:t>3) atklātas atlases uzsākšana (26.06.2024);</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05F4C1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01.01.2021.-</w:t>
            </w:r>
            <w:r w:rsidRPr="00BF055E">
              <w:rPr>
                <w:rFonts w:eastAsia="Times New Roman" w:cs="Times New Roman"/>
                <w:sz w:val="18"/>
                <w:szCs w:val="18"/>
                <w:lang w:eastAsia="lv-LV"/>
              </w:rPr>
              <w:lastRenderedPageBreak/>
              <w:t>31.12.2027.</w:t>
            </w:r>
          </w:p>
        </w:tc>
        <w:tc>
          <w:tcPr>
            <w:tcW w:w="1559" w:type="dxa"/>
            <w:tcBorders>
              <w:top w:val="nil"/>
              <w:left w:val="nil"/>
              <w:bottom w:val="single" w:sz="4" w:space="0" w:color="auto"/>
              <w:right w:val="single" w:sz="4" w:space="0" w:color="auto"/>
            </w:tcBorders>
            <w:shd w:val="clear" w:color="000000" w:fill="FFFFFF"/>
            <w:hideMark/>
          </w:tcPr>
          <w:p w14:paraId="19B349C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29,5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 xml:space="preserve">5,2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 privātais finansējums)</w:t>
            </w:r>
          </w:p>
        </w:tc>
        <w:tc>
          <w:tcPr>
            <w:tcW w:w="993" w:type="dxa"/>
            <w:tcBorders>
              <w:top w:val="nil"/>
              <w:left w:val="nil"/>
              <w:bottom w:val="single" w:sz="4" w:space="0" w:color="auto"/>
              <w:right w:val="single" w:sz="4" w:space="0" w:color="auto"/>
            </w:tcBorders>
            <w:shd w:val="clear" w:color="000000" w:fill="FFFFFF"/>
            <w:hideMark/>
          </w:tcPr>
          <w:p w14:paraId="0E21DF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VARAM/CFLA</w:t>
            </w:r>
          </w:p>
        </w:tc>
        <w:tc>
          <w:tcPr>
            <w:tcW w:w="850" w:type="dxa"/>
            <w:tcBorders>
              <w:top w:val="nil"/>
              <w:left w:val="nil"/>
              <w:bottom w:val="single" w:sz="4" w:space="0" w:color="auto"/>
              <w:right w:val="single" w:sz="4" w:space="0" w:color="auto"/>
            </w:tcBorders>
            <w:shd w:val="clear" w:color="000000" w:fill="FFFFFF"/>
            <w:hideMark/>
          </w:tcPr>
          <w:p w14:paraId="4494E35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1EE26F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2020(3); 2021(1); </w:t>
            </w:r>
            <w:r w:rsidRPr="00BF055E">
              <w:rPr>
                <w:rFonts w:eastAsia="Times New Roman" w:cs="Times New Roman"/>
                <w:sz w:val="18"/>
                <w:szCs w:val="18"/>
                <w:lang w:eastAsia="lv-LV"/>
              </w:rPr>
              <w:lastRenderedPageBreak/>
              <w:t>2022(1); 2022(3); 2023(1); 2023(3); 2024(4)</w:t>
            </w:r>
          </w:p>
        </w:tc>
        <w:tc>
          <w:tcPr>
            <w:tcW w:w="992" w:type="dxa"/>
            <w:tcBorders>
              <w:top w:val="nil"/>
              <w:left w:val="nil"/>
              <w:bottom w:val="single" w:sz="4" w:space="0" w:color="auto"/>
              <w:right w:val="single" w:sz="4" w:space="0" w:color="auto"/>
            </w:tcBorders>
            <w:shd w:val="clear" w:color="000000" w:fill="FFFFFF"/>
            <w:hideMark/>
          </w:tcPr>
          <w:p w14:paraId="6FD0D5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Taisnīga </w:t>
            </w:r>
            <w:r w:rsidRPr="00BF055E">
              <w:rPr>
                <w:rFonts w:eastAsia="Times New Roman" w:cs="Times New Roman"/>
                <w:sz w:val="18"/>
                <w:szCs w:val="18"/>
                <w:lang w:eastAsia="lv-LV"/>
              </w:rPr>
              <w:lastRenderedPageBreak/>
              <w:t>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39924E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815" w:type="dxa"/>
            <w:tcBorders>
              <w:top w:val="nil"/>
              <w:left w:val="nil"/>
              <w:bottom w:val="single" w:sz="4" w:space="0" w:color="auto"/>
              <w:right w:val="single" w:sz="4" w:space="0" w:color="auto"/>
            </w:tcBorders>
            <w:shd w:val="clear" w:color="000000" w:fill="FFFFFF"/>
            <w:hideMark/>
          </w:tcPr>
          <w:p w14:paraId="3CCAD8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w:t>
            </w:r>
            <w:r w:rsidRPr="00BF055E">
              <w:rPr>
                <w:rFonts w:eastAsia="Times New Roman" w:cs="Times New Roman"/>
                <w:sz w:val="18"/>
                <w:szCs w:val="18"/>
                <w:lang w:eastAsia="lv-LV"/>
              </w:rPr>
              <w:lastRenderedPageBreak/>
              <w:t>na, inovācijas un infrastruktūra; 11. Ilgtspējīgas pilsētas un kopienas; 13. Rīcība klimata jomā</w:t>
            </w:r>
          </w:p>
        </w:tc>
      </w:tr>
      <w:tr w:rsidR="00BF055E" w:rsidRPr="00BF055E" w14:paraId="632D0DEE"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4E04A1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Nacionālas nozīmes plūdu un krasta erozijas pasākumi (Programma</w:t>
            </w:r>
            <w:r w:rsidRPr="00BF055E">
              <w:rPr>
                <w:rFonts w:eastAsia="Times New Roman" w:cs="Times New Roman"/>
                <w:sz w:val="18"/>
                <w:szCs w:val="18"/>
                <w:lang w:eastAsia="lv-LV"/>
              </w:rPr>
              <w:br/>
              <w:t>2.1.3.2.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22B1089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zaļās pārejas veicināšanai, lai nacionālas nozīmes plūdu riska teritorijās atjaunotu, pārbūvētu un izbūvētu infrastruktūru, kas novērš plūdu risku, mazina applūšanu un krasta eroziju.</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 xml:space="preserve">1) </w:t>
            </w:r>
            <w:proofErr w:type="spellStart"/>
            <w:r w:rsidRPr="00BF055E">
              <w:rPr>
                <w:rFonts w:eastAsia="Times New Roman" w:cs="Times New Roman"/>
                <w:sz w:val="18"/>
                <w:szCs w:val="18"/>
                <w:lang w:eastAsia="lv-LV"/>
              </w:rPr>
              <w:t>jaunizveidota</w:t>
            </w:r>
            <w:proofErr w:type="spellEnd"/>
            <w:r w:rsidRPr="00BF055E">
              <w:rPr>
                <w:rFonts w:eastAsia="Times New Roman" w:cs="Times New Roman"/>
                <w:sz w:val="18"/>
                <w:szCs w:val="18"/>
                <w:lang w:eastAsia="lv-LV"/>
              </w:rPr>
              <w:t xml:space="preserve"> vai nostiprināta piekrastes joslas un upju un ezeru krastu aizsardzība pret </w:t>
            </w:r>
            <w:r w:rsidRPr="00BF055E">
              <w:rPr>
                <w:rFonts w:eastAsia="Times New Roman" w:cs="Times New Roman"/>
                <w:sz w:val="18"/>
                <w:szCs w:val="18"/>
                <w:lang w:eastAsia="lv-LV"/>
              </w:rPr>
              <w:lastRenderedPageBreak/>
              <w:t>plūdiem 15 km garumā;</w:t>
            </w:r>
            <w:r w:rsidRPr="00BF055E">
              <w:rPr>
                <w:rFonts w:eastAsia="Times New Roman" w:cs="Times New Roman"/>
                <w:sz w:val="18"/>
                <w:szCs w:val="18"/>
                <w:lang w:eastAsia="lv-LV"/>
              </w:rPr>
              <w:br/>
              <w:t>2) izveidota vai jaunināta zaļā infrastruktūra nolūkā pielāgoties klimata pārmaiņām 91 ha apmērā;</w:t>
            </w:r>
            <w:r w:rsidRPr="00BF055E">
              <w:rPr>
                <w:rFonts w:eastAsia="Times New Roman" w:cs="Times New Roman"/>
                <w:sz w:val="18"/>
                <w:szCs w:val="18"/>
                <w:lang w:eastAsia="lv-LV"/>
              </w:rPr>
              <w:br/>
              <w:t xml:space="preserve">3) iedzīvotāju skaits, kas gūst labumu no </w:t>
            </w:r>
            <w:proofErr w:type="spellStart"/>
            <w:r w:rsidRPr="00BF055E">
              <w:rPr>
                <w:rFonts w:eastAsia="Times New Roman" w:cs="Times New Roman"/>
                <w:sz w:val="18"/>
                <w:szCs w:val="18"/>
                <w:lang w:eastAsia="lv-LV"/>
              </w:rPr>
              <w:t>pretplūdu</w:t>
            </w:r>
            <w:proofErr w:type="spellEnd"/>
            <w:r w:rsidRPr="00BF055E">
              <w:rPr>
                <w:rFonts w:eastAsia="Times New Roman" w:cs="Times New Roman"/>
                <w:sz w:val="18"/>
                <w:szCs w:val="18"/>
                <w:lang w:eastAsia="lv-LV"/>
              </w:rPr>
              <w:t xml:space="preserve"> pasākumiem – 20 272;</w:t>
            </w:r>
            <w:r w:rsidRPr="00BF055E">
              <w:rPr>
                <w:rFonts w:eastAsia="Times New Roman" w:cs="Times New Roman"/>
                <w:sz w:val="18"/>
                <w:szCs w:val="18"/>
                <w:lang w:eastAsia="lv-LV"/>
              </w:rPr>
              <w:br/>
              <w:t>4) iedzīvotāju skaits, kuriem ir pieejama jauna vai uzlabota “zaļā” infrastruktūra – 20 006.</w:t>
            </w:r>
          </w:p>
        </w:tc>
        <w:tc>
          <w:tcPr>
            <w:tcW w:w="2835" w:type="dxa"/>
            <w:tcBorders>
              <w:top w:val="nil"/>
              <w:left w:val="nil"/>
              <w:bottom w:val="single" w:sz="4" w:space="0" w:color="auto"/>
              <w:right w:val="single" w:sz="4" w:space="0" w:color="auto"/>
            </w:tcBorders>
            <w:shd w:val="clear" w:color="000000" w:fill="FFFFFF"/>
            <w:hideMark/>
          </w:tcPr>
          <w:p w14:paraId="7CA2913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1) MK noteikumu apstiprināšana (27.06.2023.);</w:t>
            </w:r>
            <w:r w:rsidRPr="00BF055E">
              <w:rPr>
                <w:rFonts w:eastAsia="Times New Roman" w:cs="Times New Roman"/>
                <w:sz w:val="18"/>
                <w:szCs w:val="18"/>
                <w:lang w:eastAsia="lv-LV"/>
              </w:rPr>
              <w:br/>
              <w:t>2) projektu iesniegumu vērtēšanas kritēriju apstiprināšana ES fondu Uzraudzības komitejā (30.06.2023.);</w:t>
            </w:r>
            <w:r w:rsidRPr="00BF055E">
              <w:rPr>
                <w:rFonts w:eastAsia="Times New Roman" w:cs="Times New Roman"/>
                <w:sz w:val="18"/>
                <w:szCs w:val="18"/>
                <w:lang w:eastAsia="lv-LV"/>
              </w:rPr>
              <w:br/>
              <w:t>3) ierobežotas atlases uzsākšana (24.07.2023);</w:t>
            </w:r>
            <w:r w:rsidRPr="00BF055E">
              <w:rPr>
                <w:rFonts w:eastAsia="Times New Roman" w:cs="Times New Roman"/>
                <w:sz w:val="18"/>
                <w:szCs w:val="18"/>
                <w:lang w:eastAsia="lv-LV"/>
              </w:rPr>
              <w:br/>
              <w:t>4) līguma slēgšana un projekta īstenošana.</w:t>
            </w:r>
            <w:r w:rsidRPr="00BF055E">
              <w:rPr>
                <w:rFonts w:eastAsia="Times New Roman" w:cs="Times New Roman"/>
                <w:sz w:val="18"/>
                <w:szCs w:val="18"/>
                <w:lang w:eastAsia="lv-LV"/>
              </w:rPr>
              <w:br/>
            </w:r>
            <w:r w:rsidRPr="00BF055E">
              <w:rPr>
                <w:rFonts w:eastAsia="Times New Roman" w:cs="Times New Roman"/>
                <w:sz w:val="18"/>
                <w:szCs w:val="18"/>
                <w:u w:val="single"/>
                <w:lang w:eastAsia="lv-LV"/>
              </w:rPr>
              <w:br/>
              <w:t>2.kārtai:</w:t>
            </w:r>
            <w:r w:rsidRPr="00BF055E">
              <w:rPr>
                <w:rFonts w:eastAsia="Times New Roman" w:cs="Times New Roman"/>
                <w:sz w:val="18"/>
                <w:szCs w:val="18"/>
                <w:lang w:eastAsia="lv-LV"/>
              </w:rPr>
              <w:br/>
              <w:t xml:space="preserve">1) MK noteikumu apstiprināšana </w:t>
            </w:r>
            <w:r w:rsidRPr="00BF055E">
              <w:rPr>
                <w:rFonts w:eastAsia="Times New Roman" w:cs="Times New Roman"/>
                <w:sz w:val="18"/>
                <w:szCs w:val="18"/>
                <w:lang w:eastAsia="lv-LV"/>
              </w:rPr>
              <w:lastRenderedPageBreak/>
              <w:t>(30.04.2024.);</w:t>
            </w:r>
            <w:r w:rsidRPr="00BF055E">
              <w:rPr>
                <w:rFonts w:eastAsia="Times New Roman" w:cs="Times New Roman"/>
                <w:sz w:val="18"/>
                <w:szCs w:val="18"/>
                <w:lang w:eastAsia="lv-LV"/>
              </w:rPr>
              <w:br/>
              <w:t>2) projektu iesniegumu vērtēšanas kritēriju apstiprināšana ES fondu Uzraudzības komitejā (15.03.2024.);</w:t>
            </w:r>
            <w:r w:rsidRPr="00BF055E">
              <w:rPr>
                <w:rFonts w:eastAsia="Times New Roman" w:cs="Times New Roman"/>
                <w:sz w:val="18"/>
                <w:szCs w:val="18"/>
                <w:lang w:eastAsia="lv-LV"/>
              </w:rPr>
              <w:br/>
              <w:t>3) ierobežotas atlases uzsākšana (13.06.2024);</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03A901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1.kārtai:</w:t>
            </w:r>
            <w:r w:rsidRPr="00BF055E">
              <w:rPr>
                <w:rFonts w:eastAsia="Times New Roman" w:cs="Times New Roman"/>
                <w:sz w:val="18"/>
                <w:szCs w:val="18"/>
                <w:lang w:eastAsia="lv-LV"/>
              </w:rPr>
              <w:br/>
              <w:t>01.01.2023.-31.12.2025.</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2.kārtai:</w:t>
            </w:r>
            <w:r w:rsidRPr="00BF055E">
              <w:rPr>
                <w:rFonts w:eastAsia="Times New Roman" w:cs="Times New Roman"/>
                <w:sz w:val="18"/>
                <w:szCs w:val="18"/>
                <w:lang w:eastAsia="lv-LV"/>
              </w:rPr>
              <w:br/>
              <w:t>01.01.2023.-31.12.2029.</w:t>
            </w:r>
          </w:p>
        </w:tc>
        <w:tc>
          <w:tcPr>
            <w:tcW w:w="1559" w:type="dxa"/>
            <w:tcBorders>
              <w:top w:val="nil"/>
              <w:left w:val="nil"/>
              <w:bottom w:val="single" w:sz="4" w:space="0" w:color="auto"/>
              <w:right w:val="single" w:sz="4" w:space="0" w:color="auto"/>
            </w:tcBorders>
            <w:shd w:val="clear" w:color="000000" w:fill="FFFFFF"/>
            <w:hideMark/>
          </w:tcPr>
          <w:p w14:paraId="05BBEE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14,4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2,5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(valsts budžets, pašvaldību budžets)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2.kārtai:</w:t>
            </w:r>
            <w:r w:rsidRPr="00BF055E">
              <w:rPr>
                <w:rFonts w:eastAsia="Times New Roman" w:cs="Times New Roman"/>
                <w:sz w:val="18"/>
                <w:szCs w:val="18"/>
                <w:lang w:eastAsia="lv-LV"/>
              </w:rPr>
              <w:br/>
              <w:t xml:space="preserve">34,8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6,1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lastRenderedPageBreak/>
              <w:t xml:space="preserve">nacionālais finansējums (pašvaldību budžets) </w:t>
            </w:r>
          </w:p>
        </w:tc>
        <w:tc>
          <w:tcPr>
            <w:tcW w:w="993" w:type="dxa"/>
            <w:tcBorders>
              <w:top w:val="nil"/>
              <w:left w:val="nil"/>
              <w:bottom w:val="single" w:sz="4" w:space="0" w:color="auto"/>
              <w:right w:val="single" w:sz="4" w:space="0" w:color="auto"/>
            </w:tcBorders>
            <w:shd w:val="clear" w:color="000000" w:fill="FFFFFF"/>
            <w:hideMark/>
          </w:tcPr>
          <w:p w14:paraId="15B901E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VARAM/CFLA</w:t>
            </w:r>
          </w:p>
        </w:tc>
        <w:tc>
          <w:tcPr>
            <w:tcW w:w="850" w:type="dxa"/>
            <w:tcBorders>
              <w:top w:val="nil"/>
              <w:left w:val="nil"/>
              <w:bottom w:val="single" w:sz="4" w:space="0" w:color="auto"/>
              <w:right w:val="single" w:sz="4" w:space="0" w:color="auto"/>
            </w:tcBorders>
            <w:shd w:val="clear" w:color="000000" w:fill="FFFFFF"/>
            <w:hideMark/>
          </w:tcPr>
          <w:p w14:paraId="758A18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4DCAED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7D114A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1B6414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697FB4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inovācijas un infrastruktūra; 11. Ilgtspējīgas pilsētas un kopienas; 13. </w:t>
            </w:r>
            <w:r w:rsidRPr="00BF055E">
              <w:rPr>
                <w:rFonts w:eastAsia="Times New Roman" w:cs="Times New Roman"/>
                <w:sz w:val="18"/>
                <w:szCs w:val="18"/>
                <w:lang w:eastAsia="lv-LV"/>
              </w:rPr>
              <w:lastRenderedPageBreak/>
              <w:t>Rīcība klimata jomā</w:t>
            </w:r>
          </w:p>
        </w:tc>
      </w:tr>
      <w:tr w:rsidR="00BF055E" w:rsidRPr="00BF055E" w14:paraId="42DD71E7"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527C3E0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Notekūdeņu un to dūņu apsaimniekošanas sistēmas attīstība piesārņojuma samazināšanai (Programma</w:t>
            </w:r>
            <w:r w:rsidRPr="00BF055E">
              <w:rPr>
                <w:rFonts w:eastAsia="Times New Roman" w:cs="Times New Roman"/>
                <w:sz w:val="18"/>
                <w:szCs w:val="18"/>
                <w:lang w:eastAsia="lv-LV"/>
              </w:rPr>
              <w:br/>
              <w:t>2.2.1.1. (tikai 1.k.; bez 2.k. elastības finansējuma rādītājos un finansēs))</w:t>
            </w:r>
          </w:p>
        </w:tc>
        <w:tc>
          <w:tcPr>
            <w:tcW w:w="2183" w:type="dxa"/>
            <w:tcBorders>
              <w:top w:val="nil"/>
              <w:left w:val="nil"/>
              <w:bottom w:val="single" w:sz="4" w:space="0" w:color="auto"/>
              <w:right w:val="single" w:sz="4" w:space="0" w:color="auto"/>
            </w:tcBorders>
            <w:shd w:val="clear" w:color="000000" w:fill="FFFFFF"/>
            <w:hideMark/>
          </w:tcPr>
          <w:p w14:paraId="0365435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zaļās pārejas veicināšanai, lai atbalstītu notekūdeņu un to dūņu apstrādes infrastruktūras izveidi un atjaunošanu aglomerācijās, kurās tuvāko gadu laikā būs jāievēro stingrākas prasības, t.sk. ūdenssaimniecības pakalpojumu efektivitātes uzlabošanai, atbilstošas infrastruktūras jaudas nodrošināšanai, darbības efektivitātes uzlabošanai un piesārņojuma samazināšanai.</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 xml:space="preserve">1) atbalstīti vismaz 15 uzņēmumi (t. sk. </w:t>
            </w:r>
            <w:proofErr w:type="spellStart"/>
            <w:r w:rsidRPr="00BF055E">
              <w:rPr>
                <w:rFonts w:eastAsia="Times New Roman" w:cs="Times New Roman"/>
                <w:sz w:val="18"/>
                <w:szCs w:val="18"/>
                <w:lang w:eastAsia="lv-LV"/>
              </w:rPr>
              <w:t>mikrouzņēmumi</w:t>
            </w:r>
            <w:proofErr w:type="spellEnd"/>
            <w:r w:rsidRPr="00BF055E">
              <w:rPr>
                <w:rFonts w:eastAsia="Times New Roman" w:cs="Times New Roman"/>
                <w:sz w:val="18"/>
                <w:szCs w:val="18"/>
                <w:lang w:eastAsia="lv-LV"/>
              </w:rPr>
              <w:t>, mazie, vidējie un lielie uzņēmumi);</w:t>
            </w:r>
            <w:r w:rsidRPr="00BF055E">
              <w:rPr>
                <w:rFonts w:eastAsia="Times New Roman" w:cs="Times New Roman"/>
                <w:sz w:val="18"/>
                <w:szCs w:val="18"/>
                <w:lang w:eastAsia="lv-LV"/>
              </w:rPr>
              <w:br/>
              <w:t xml:space="preserve">2) iedzīvotāju skaits, kuriem uzlabota notekūdeņu attīrīšanas </w:t>
            </w:r>
            <w:r w:rsidRPr="00BF055E">
              <w:rPr>
                <w:rFonts w:eastAsia="Times New Roman" w:cs="Times New Roman"/>
                <w:sz w:val="18"/>
                <w:szCs w:val="18"/>
                <w:lang w:eastAsia="lv-LV"/>
              </w:rPr>
              <w:lastRenderedPageBreak/>
              <w:t>kvalitāte un efektivitāte (ievērojot bāzes vērtību 656 710) – vismaz 713 510.</w:t>
            </w:r>
          </w:p>
        </w:tc>
        <w:tc>
          <w:tcPr>
            <w:tcW w:w="2835" w:type="dxa"/>
            <w:tcBorders>
              <w:top w:val="nil"/>
              <w:left w:val="nil"/>
              <w:bottom w:val="single" w:sz="4" w:space="0" w:color="auto"/>
              <w:right w:val="single" w:sz="4" w:space="0" w:color="auto"/>
            </w:tcBorders>
            <w:shd w:val="clear" w:color="000000" w:fill="FFFFFF"/>
            <w:hideMark/>
          </w:tcPr>
          <w:p w14:paraId="5ED5AA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(07.05.2024.);</w:t>
            </w:r>
            <w:r w:rsidRPr="00BF055E">
              <w:rPr>
                <w:rFonts w:eastAsia="Times New Roman" w:cs="Times New Roman"/>
                <w:sz w:val="18"/>
                <w:szCs w:val="18"/>
                <w:lang w:eastAsia="lv-LV"/>
              </w:rPr>
              <w:br/>
              <w:t>2) projektu iesniegumu vērtēšanas kritēriju apstiprināšana ES fondu Uzraudzības komitejā (29.02.2024.; grozījumi 22.05.2024.);</w:t>
            </w:r>
            <w:r w:rsidRPr="00BF055E">
              <w:rPr>
                <w:rFonts w:eastAsia="Times New Roman" w:cs="Times New Roman"/>
                <w:sz w:val="18"/>
                <w:szCs w:val="18"/>
                <w:lang w:eastAsia="lv-LV"/>
              </w:rPr>
              <w:br/>
              <w:t>3) atklātas atlases uzsākšana (19.06.2024.);</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45F0B8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01.01.2021.-31.12.2029.</w:t>
            </w:r>
          </w:p>
        </w:tc>
        <w:tc>
          <w:tcPr>
            <w:tcW w:w="1559" w:type="dxa"/>
            <w:tcBorders>
              <w:top w:val="nil"/>
              <w:left w:val="nil"/>
              <w:bottom w:val="single" w:sz="4" w:space="0" w:color="auto"/>
              <w:right w:val="single" w:sz="4" w:space="0" w:color="auto"/>
            </w:tcBorders>
            <w:shd w:val="clear" w:color="000000" w:fill="FFFFFF"/>
            <w:hideMark/>
          </w:tcPr>
          <w:p w14:paraId="3ED4BF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51,6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27,8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p>
        </w:tc>
        <w:tc>
          <w:tcPr>
            <w:tcW w:w="993" w:type="dxa"/>
            <w:tcBorders>
              <w:top w:val="nil"/>
              <w:left w:val="nil"/>
              <w:bottom w:val="single" w:sz="4" w:space="0" w:color="auto"/>
              <w:right w:val="single" w:sz="4" w:space="0" w:color="auto"/>
            </w:tcBorders>
            <w:shd w:val="clear" w:color="000000" w:fill="FFFFFF"/>
            <w:hideMark/>
          </w:tcPr>
          <w:p w14:paraId="02B9DE5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2F94165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F28B8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384C5AD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644570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56F2FC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6. Tīrs ūdens un sanitārija; 9. Ražošana, inovācijas un infrastruktūra; 11. Ilgtspējīgas pilsētas un kopienas; 13. Rīcība klimata jomā</w:t>
            </w:r>
          </w:p>
        </w:tc>
      </w:tr>
      <w:tr w:rsidR="00BF055E" w:rsidRPr="00BF055E" w14:paraId="28661F0B"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44677D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Atkritumu šķirošana, pārstrāde un reģenerācija (Programma</w:t>
            </w:r>
            <w:r w:rsidRPr="00BF055E">
              <w:rPr>
                <w:rFonts w:eastAsia="Times New Roman" w:cs="Times New Roman"/>
                <w:sz w:val="18"/>
                <w:szCs w:val="18"/>
                <w:lang w:eastAsia="lv-LV"/>
              </w:rPr>
              <w:br/>
              <w:t>2.2.2.1. (visas 3 kārtas;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5134C5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zaļās pārejas veicināšanai, lai atbalstītu jaunu atkritumu pārstrādes iekārtu izveidi, kā arī atkritumu apsaimniekošanas reģionālo sistēmu attīstību atbilstoši atkritumu apsaimniekošanas reģionālajos plānos noteiktajām prioritātēm, tādējādi veicinot pāreju uz aprites ekonomiku.</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nodrošināta papildu jauda atkritumu pārstrādei 60 000 t/gadā: 1.kārta – 30 000 t/gadā; 2.kārta – 30 000 t/gadā;</w:t>
            </w:r>
            <w:r w:rsidRPr="00BF055E">
              <w:rPr>
                <w:rFonts w:eastAsia="Times New Roman" w:cs="Times New Roman"/>
                <w:sz w:val="18"/>
                <w:szCs w:val="18"/>
                <w:lang w:eastAsia="lv-LV"/>
              </w:rPr>
              <w:br/>
              <w:t xml:space="preserve">2) atbalstīti 8 uzņēmumi (t. sk. </w:t>
            </w:r>
            <w:proofErr w:type="spellStart"/>
            <w:r w:rsidRPr="00BF055E">
              <w:rPr>
                <w:rFonts w:eastAsia="Times New Roman" w:cs="Times New Roman"/>
                <w:sz w:val="18"/>
                <w:szCs w:val="18"/>
                <w:lang w:eastAsia="lv-LV"/>
              </w:rPr>
              <w:t>mikrouzņēmumi</w:t>
            </w:r>
            <w:proofErr w:type="spellEnd"/>
            <w:r w:rsidRPr="00BF055E">
              <w:rPr>
                <w:rFonts w:eastAsia="Times New Roman" w:cs="Times New Roman"/>
                <w:sz w:val="18"/>
                <w:szCs w:val="18"/>
                <w:lang w:eastAsia="lv-LV"/>
              </w:rPr>
              <w:t>, mazi, vidēji un lieli uzņēmumi): 1.kārta – 3 komersanti; 2., 3.kārta – 5 komersanti;</w:t>
            </w:r>
            <w:r w:rsidRPr="00BF055E">
              <w:rPr>
                <w:rFonts w:eastAsia="Times New Roman" w:cs="Times New Roman"/>
                <w:sz w:val="18"/>
                <w:szCs w:val="18"/>
                <w:lang w:eastAsia="lv-LV"/>
              </w:rPr>
              <w:br/>
              <w:t>3) pārstrādāto atkritumu apjoms 205 000 t/gadā: 1.kārta – 102 500 t/gadā; 2.kārta – 102 500 t/gadā;</w:t>
            </w:r>
            <w:r w:rsidRPr="00BF055E">
              <w:rPr>
                <w:rFonts w:eastAsia="Times New Roman" w:cs="Times New Roman"/>
                <w:sz w:val="18"/>
                <w:szCs w:val="18"/>
                <w:lang w:eastAsia="lv-LV"/>
              </w:rPr>
              <w:br/>
              <w:t>4) šķiroto atkritumu apjoma palielinājums: 2.kārta - par 500 t/gadā.</w:t>
            </w:r>
          </w:p>
        </w:tc>
        <w:tc>
          <w:tcPr>
            <w:tcW w:w="2835" w:type="dxa"/>
            <w:tcBorders>
              <w:top w:val="nil"/>
              <w:left w:val="nil"/>
              <w:bottom w:val="single" w:sz="4" w:space="0" w:color="auto"/>
              <w:right w:val="single" w:sz="4" w:space="0" w:color="auto"/>
            </w:tcBorders>
            <w:shd w:val="clear" w:color="000000" w:fill="FFFFFF"/>
            <w:hideMark/>
          </w:tcPr>
          <w:p w14:paraId="708868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lang w:eastAsia="lv-LV"/>
              </w:rPr>
              <w:br/>
              <w:t>1) MK noteikumu apstiprināšana (26.03.2024.);</w:t>
            </w:r>
            <w:r w:rsidRPr="00BF055E">
              <w:rPr>
                <w:rFonts w:eastAsia="Times New Roman" w:cs="Times New Roman"/>
                <w:sz w:val="18"/>
                <w:szCs w:val="18"/>
                <w:lang w:eastAsia="lv-LV"/>
              </w:rPr>
              <w:br/>
              <w:t>2) projektu iesniegumu vērtēšanas kritēriju apstiprināšana ES fondu Uzraudzības komitejā (22.11.2023.);</w:t>
            </w:r>
            <w:r w:rsidRPr="00BF055E">
              <w:rPr>
                <w:rFonts w:eastAsia="Times New Roman" w:cs="Times New Roman"/>
                <w:sz w:val="18"/>
                <w:szCs w:val="18"/>
                <w:lang w:eastAsia="lv-LV"/>
              </w:rPr>
              <w:br/>
              <w:t>3) atklātas atlases uzsākšana (02.05.2024.);</w:t>
            </w:r>
            <w:r w:rsidRPr="00BF055E">
              <w:rPr>
                <w:rFonts w:eastAsia="Times New Roman" w:cs="Times New Roman"/>
                <w:sz w:val="18"/>
                <w:szCs w:val="18"/>
                <w:lang w:eastAsia="lv-LV"/>
              </w:rPr>
              <w:br/>
              <w:t>4) līgumu slēgšana un projektu īstenošana.</w:t>
            </w:r>
            <w:r w:rsidRPr="00BF055E">
              <w:rPr>
                <w:rFonts w:eastAsia="Times New Roman" w:cs="Times New Roman"/>
                <w:sz w:val="18"/>
                <w:szCs w:val="18"/>
                <w:lang w:eastAsia="lv-LV"/>
              </w:rPr>
              <w:br/>
            </w:r>
            <w:r w:rsidRPr="00BF055E">
              <w:rPr>
                <w:rFonts w:eastAsia="Times New Roman" w:cs="Times New Roman"/>
                <w:sz w:val="18"/>
                <w:szCs w:val="18"/>
                <w:u w:val="single"/>
                <w:lang w:eastAsia="lv-LV"/>
              </w:rPr>
              <w:br/>
              <w:t>2.-3.kārtai:</w:t>
            </w:r>
            <w:r w:rsidRPr="00BF055E">
              <w:rPr>
                <w:rFonts w:eastAsia="Times New Roman" w:cs="Times New Roman"/>
                <w:sz w:val="18"/>
                <w:szCs w:val="18"/>
                <w:lang w:eastAsia="lv-LV"/>
              </w:rPr>
              <w:br/>
              <w:t>1) MK noteikumu izstrāde un saskaņošanas uzsākšana TAP (2024.g. 3.ceturksnis);</w:t>
            </w:r>
            <w:r w:rsidRPr="00BF055E">
              <w:rPr>
                <w:rFonts w:eastAsia="Times New Roman" w:cs="Times New Roman"/>
                <w:sz w:val="18"/>
                <w:szCs w:val="18"/>
                <w:lang w:eastAsia="lv-LV"/>
              </w:rPr>
              <w:br/>
              <w:t>2) MK noteikumu apstiprināšana (2024.g. 4.ceturksnis);</w:t>
            </w:r>
            <w:r w:rsidRPr="00BF055E">
              <w:rPr>
                <w:rFonts w:eastAsia="Times New Roman" w:cs="Times New Roman"/>
                <w:sz w:val="18"/>
                <w:szCs w:val="18"/>
                <w:lang w:eastAsia="lv-LV"/>
              </w:rPr>
              <w:br/>
              <w:t>3) projektu iesniegumu vērtēšanas kritēriju izskatīšana tematiskajā apakškomitejā (2024.g. 3.ceturksnis);</w:t>
            </w:r>
            <w:r w:rsidRPr="00BF055E">
              <w:rPr>
                <w:rFonts w:eastAsia="Times New Roman" w:cs="Times New Roman"/>
                <w:sz w:val="18"/>
                <w:szCs w:val="18"/>
                <w:lang w:eastAsia="lv-LV"/>
              </w:rPr>
              <w:br/>
              <w:t>4) projektu iesniegumu vērtēšanas kritēriju apstiprināšana ES fondu Uzraudzības komitejā (2024.g. 4.ceturksnis);</w:t>
            </w:r>
            <w:r w:rsidRPr="00BF055E">
              <w:rPr>
                <w:rFonts w:eastAsia="Times New Roman" w:cs="Times New Roman"/>
                <w:sz w:val="18"/>
                <w:szCs w:val="18"/>
                <w:lang w:eastAsia="lv-LV"/>
              </w:rPr>
              <w:br/>
              <w:t>5) atklātas vai ierobežotas atlases uzsākšana katrai kārtai atsevišķi (2025.g. 1.ceturksnis-2.ceturksnis);</w:t>
            </w:r>
            <w:r w:rsidRPr="00BF055E">
              <w:rPr>
                <w:rFonts w:eastAsia="Times New Roman" w:cs="Times New Roman"/>
                <w:sz w:val="18"/>
                <w:szCs w:val="18"/>
                <w:lang w:eastAsia="lv-LV"/>
              </w:rPr>
              <w:br/>
              <w:t>6)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3C1C1E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lang w:eastAsia="lv-LV"/>
              </w:rPr>
              <w:br/>
              <w:t>01.07.2023.-31.12.2029.</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2.-3.kārtai:</w:t>
            </w:r>
            <w:r w:rsidRPr="00BF055E">
              <w:rPr>
                <w:rFonts w:eastAsia="Times New Roman" w:cs="Times New Roman"/>
                <w:sz w:val="18"/>
                <w:szCs w:val="18"/>
                <w:lang w:eastAsia="lv-LV"/>
              </w:rPr>
              <w:br/>
              <w:t>01.01.2023.-31.12.2029.</w:t>
            </w:r>
          </w:p>
        </w:tc>
        <w:tc>
          <w:tcPr>
            <w:tcW w:w="1559" w:type="dxa"/>
            <w:tcBorders>
              <w:top w:val="nil"/>
              <w:left w:val="nil"/>
              <w:bottom w:val="single" w:sz="4" w:space="0" w:color="auto"/>
              <w:right w:val="single" w:sz="4" w:space="0" w:color="auto"/>
            </w:tcBorders>
            <w:shd w:val="clear" w:color="000000" w:fill="FFFFFF"/>
            <w:hideMark/>
          </w:tcPr>
          <w:p w14:paraId="1DCB18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20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KF; </w:t>
            </w:r>
            <w:r w:rsidRPr="00BF055E">
              <w:rPr>
                <w:rFonts w:eastAsia="Times New Roman" w:cs="Times New Roman"/>
                <w:sz w:val="18"/>
                <w:szCs w:val="18"/>
                <w:lang w:eastAsia="lv-LV"/>
              </w:rPr>
              <w:br/>
              <w:t xml:space="preserve">6,7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 xml:space="preserve">2.kārtai: </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 xml:space="preserve">20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KF; </w:t>
            </w:r>
            <w:r w:rsidRPr="00BF055E">
              <w:rPr>
                <w:rFonts w:eastAsia="Times New Roman" w:cs="Times New Roman"/>
                <w:sz w:val="18"/>
                <w:szCs w:val="18"/>
                <w:lang w:eastAsia="lv-LV"/>
              </w:rPr>
              <w:br/>
              <w:t xml:space="preserve">6,7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r w:rsidRPr="00BF055E">
              <w:rPr>
                <w:rFonts w:eastAsia="Times New Roman" w:cs="Times New Roman"/>
                <w:sz w:val="18"/>
                <w:szCs w:val="18"/>
                <w:u w:val="single"/>
                <w:lang w:eastAsia="lv-LV"/>
              </w:rPr>
              <w:br/>
            </w:r>
            <w:r w:rsidRPr="00BF055E">
              <w:rPr>
                <w:rFonts w:eastAsia="Times New Roman" w:cs="Times New Roman"/>
                <w:sz w:val="18"/>
                <w:szCs w:val="18"/>
                <w:u w:val="single"/>
                <w:lang w:eastAsia="lv-LV"/>
              </w:rPr>
              <w:br/>
              <w:t>3.kārtai:</w:t>
            </w:r>
            <w:r w:rsidRPr="00BF055E">
              <w:rPr>
                <w:rFonts w:eastAsia="Times New Roman" w:cs="Times New Roman"/>
                <w:sz w:val="18"/>
                <w:szCs w:val="18"/>
                <w:lang w:eastAsia="lv-LV"/>
              </w:rPr>
              <w:br/>
              <w:t xml:space="preserve">25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KF; </w:t>
            </w:r>
            <w:r w:rsidRPr="00BF055E">
              <w:rPr>
                <w:rFonts w:eastAsia="Times New Roman" w:cs="Times New Roman"/>
                <w:sz w:val="18"/>
                <w:szCs w:val="18"/>
                <w:lang w:eastAsia="lv-LV"/>
              </w:rPr>
              <w:br/>
              <w:t xml:space="preserve">4,4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 </w:t>
            </w:r>
          </w:p>
        </w:tc>
        <w:tc>
          <w:tcPr>
            <w:tcW w:w="993" w:type="dxa"/>
            <w:tcBorders>
              <w:top w:val="nil"/>
              <w:left w:val="nil"/>
              <w:bottom w:val="single" w:sz="4" w:space="0" w:color="auto"/>
              <w:right w:val="single" w:sz="4" w:space="0" w:color="auto"/>
            </w:tcBorders>
            <w:shd w:val="clear" w:color="000000" w:fill="FFFFFF"/>
            <w:hideMark/>
          </w:tcPr>
          <w:p w14:paraId="136A491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6F83B9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2B63AC7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29DB54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5E50151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145A8B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12. Atbildīgs patēriņš un ražošana; 13. Rīcība klimata jomā</w:t>
            </w:r>
          </w:p>
        </w:tc>
      </w:tr>
      <w:tr w:rsidR="00BF055E" w:rsidRPr="00BF055E" w14:paraId="4CF04014"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70C1A3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Atkritumu dalītā vākšana (Programma</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2.2.2.2. (abas kārtas;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4F9994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Investīcijas zaļās pārejas veicināšanai, lai attīstītu atkritumu dalītas vākšanas </w:t>
            </w:r>
            <w:r w:rsidRPr="00BF055E">
              <w:rPr>
                <w:rFonts w:eastAsia="Times New Roman" w:cs="Times New Roman"/>
                <w:sz w:val="18"/>
                <w:szCs w:val="18"/>
                <w:lang w:eastAsia="lv-LV"/>
              </w:rPr>
              <w:lastRenderedPageBreak/>
              <w:t>sistēmu, sagatavošanu atkārtotai izmantošanai, pārstrādei un reģenerācijai.</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 xml:space="preserve">1) atbalstīti 4 uzņēmumi (t. sk. </w:t>
            </w:r>
            <w:proofErr w:type="spellStart"/>
            <w:r w:rsidRPr="00BF055E">
              <w:rPr>
                <w:rFonts w:eastAsia="Times New Roman" w:cs="Times New Roman"/>
                <w:sz w:val="18"/>
                <w:szCs w:val="18"/>
                <w:lang w:eastAsia="lv-LV"/>
              </w:rPr>
              <w:t>mikrouzņēmumi</w:t>
            </w:r>
            <w:proofErr w:type="spellEnd"/>
            <w:r w:rsidRPr="00BF055E">
              <w:rPr>
                <w:rFonts w:eastAsia="Times New Roman" w:cs="Times New Roman"/>
                <w:sz w:val="18"/>
                <w:szCs w:val="18"/>
                <w:lang w:eastAsia="lv-LV"/>
              </w:rPr>
              <w:t>, mazi, vidēji un lieli uzņēmumi);</w:t>
            </w:r>
            <w:r w:rsidRPr="00BF055E">
              <w:rPr>
                <w:rFonts w:eastAsia="Times New Roman" w:cs="Times New Roman"/>
                <w:sz w:val="18"/>
                <w:szCs w:val="18"/>
                <w:lang w:eastAsia="lv-LV"/>
              </w:rPr>
              <w:br/>
              <w:t>2) šķiroto atkritumu apjoma palielinājums par 9500 t/gadā: 1.kārta – 4750 t/gadā; 2.kārta – 4750 t/gadā.</w:t>
            </w:r>
          </w:p>
        </w:tc>
        <w:tc>
          <w:tcPr>
            <w:tcW w:w="2835" w:type="dxa"/>
            <w:tcBorders>
              <w:top w:val="nil"/>
              <w:left w:val="nil"/>
              <w:bottom w:val="single" w:sz="4" w:space="0" w:color="auto"/>
              <w:right w:val="single" w:sz="4" w:space="0" w:color="auto"/>
            </w:tcBorders>
            <w:shd w:val="clear" w:color="000000" w:fill="FFFFFF"/>
            <w:hideMark/>
          </w:tcPr>
          <w:p w14:paraId="51D923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1.kārtai:</w:t>
            </w:r>
            <w:r w:rsidRPr="00BF055E">
              <w:rPr>
                <w:rFonts w:eastAsia="Times New Roman" w:cs="Times New Roman"/>
                <w:sz w:val="18"/>
                <w:szCs w:val="18"/>
                <w:lang w:eastAsia="lv-LV"/>
              </w:rPr>
              <w:br/>
              <w:t>1) MK noteikumu apstiprināšana (26.03.2024.);</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2) projektu iesniegumu vērtēšanas kritēriju apstiprināšana ES fondu Uzraudzības komitejā (18.12.2023.);</w:t>
            </w:r>
            <w:r w:rsidRPr="00BF055E">
              <w:rPr>
                <w:rFonts w:eastAsia="Times New Roman" w:cs="Times New Roman"/>
                <w:sz w:val="18"/>
                <w:szCs w:val="18"/>
                <w:lang w:eastAsia="lv-LV"/>
              </w:rPr>
              <w:br/>
              <w:t>3) atklātas atlases uzsākšana (15.05.2024.);</w:t>
            </w:r>
            <w:r w:rsidRPr="00BF055E">
              <w:rPr>
                <w:rFonts w:eastAsia="Times New Roman" w:cs="Times New Roman"/>
                <w:sz w:val="18"/>
                <w:szCs w:val="18"/>
                <w:lang w:eastAsia="lv-LV"/>
              </w:rPr>
              <w:br/>
              <w:t>4) līgumu slēgšana un projektu īstenošana.</w:t>
            </w:r>
            <w:r w:rsidRPr="00BF055E">
              <w:rPr>
                <w:rFonts w:eastAsia="Times New Roman" w:cs="Times New Roman"/>
                <w:sz w:val="18"/>
                <w:szCs w:val="18"/>
                <w:lang w:eastAsia="lv-LV"/>
              </w:rPr>
              <w:br/>
            </w:r>
            <w:r w:rsidRPr="00BF055E">
              <w:rPr>
                <w:rFonts w:eastAsia="Times New Roman" w:cs="Times New Roman"/>
                <w:sz w:val="18"/>
                <w:szCs w:val="18"/>
                <w:u w:val="single"/>
                <w:lang w:eastAsia="lv-LV"/>
              </w:rPr>
              <w:br/>
              <w:t>2.kārtai:</w:t>
            </w:r>
            <w:r w:rsidRPr="00BF055E">
              <w:rPr>
                <w:rFonts w:eastAsia="Times New Roman" w:cs="Times New Roman"/>
                <w:sz w:val="18"/>
                <w:szCs w:val="18"/>
                <w:lang w:eastAsia="lv-LV"/>
              </w:rPr>
              <w:br/>
              <w:t>1) MK noteikumu izstrāde un saskaņošanas uzsākšana TAP (03.04.2024.);</w:t>
            </w:r>
            <w:r w:rsidRPr="00BF055E">
              <w:rPr>
                <w:rFonts w:eastAsia="Times New Roman" w:cs="Times New Roman"/>
                <w:sz w:val="18"/>
                <w:szCs w:val="18"/>
                <w:lang w:eastAsia="lv-LV"/>
              </w:rPr>
              <w:br/>
              <w:t>2) MK noteikumu apstiprināšana (2024.g. 3.ceturksnis);</w:t>
            </w:r>
            <w:r w:rsidRPr="00BF055E">
              <w:rPr>
                <w:rFonts w:eastAsia="Times New Roman" w:cs="Times New Roman"/>
                <w:sz w:val="18"/>
                <w:szCs w:val="18"/>
                <w:lang w:eastAsia="lv-LV"/>
              </w:rPr>
              <w:br/>
              <w:t>3) projektu iesniegumu vērtēšanas kritēriju apstiprināšana ES fondu Uzraudzības komitejā (04.06.2024.);</w:t>
            </w:r>
            <w:r w:rsidRPr="00BF055E">
              <w:rPr>
                <w:rFonts w:eastAsia="Times New Roman" w:cs="Times New Roman"/>
                <w:sz w:val="18"/>
                <w:szCs w:val="18"/>
                <w:lang w:eastAsia="lv-LV"/>
              </w:rPr>
              <w:br/>
              <w:t>4) atklātas atlases uzsākšana (2024.g. 3.ceturksnis);</w:t>
            </w:r>
            <w:r w:rsidRPr="00BF055E">
              <w:rPr>
                <w:rFonts w:eastAsia="Times New Roman" w:cs="Times New Roman"/>
                <w:sz w:val="18"/>
                <w:szCs w:val="18"/>
                <w:lang w:eastAsia="lv-LV"/>
              </w:rPr>
              <w:br/>
              <w:t>5)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1230238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1.kārtai:</w:t>
            </w:r>
            <w:r w:rsidRPr="00BF055E">
              <w:rPr>
                <w:rFonts w:eastAsia="Times New Roman" w:cs="Times New Roman"/>
                <w:sz w:val="18"/>
                <w:szCs w:val="18"/>
                <w:lang w:eastAsia="lv-LV"/>
              </w:rPr>
              <w:br/>
              <w:t>03.04.2024.-</w:t>
            </w:r>
            <w:r w:rsidRPr="00BF055E">
              <w:rPr>
                <w:rFonts w:eastAsia="Times New Roman" w:cs="Times New Roman"/>
                <w:sz w:val="18"/>
                <w:szCs w:val="18"/>
                <w:lang w:eastAsia="lv-LV"/>
              </w:rPr>
              <w:lastRenderedPageBreak/>
              <w:t>31.12.2025.</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2.kārtai:</w:t>
            </w:r>
            <w:r w:rsidRPr="00BF055E">
              <w:rPr>
                <w:rFonts w:eastAsia="Times New Roman" w:cs="Times New Roman"/>
                <w:sz w:val="18"/>
                <w:szCs w:val="18"/>
                <w:lang w:eastAsia="lv-LV"/>
              </w:rPr>
              <w:br/>
              <w:t>01.01.2023.-31.12.2027.</w:t>
            </w:r>
          </w:p>
        </w:tc>
        <w:tc>
          <w:tcPr>
            <w:tcW w:w="1559" w:type="dxa"/>
            <w:tcBorders>
              <w:top w:val="nil"/>
              <w:left w:val="nil"/>
              <w:bottom w:val="single" w:sz="4" w:space="0" w:color="auto"/>
              <w:right w:val="single" w:sz="4" w:space="0" w:color="auto"/>
            </w:tcBorders>
            <w:shd w:val="clear" w:color="000000" w:fill="FFFFFF"/>
            <w:hideMark/>
          </w:tcPr>
          <w:p w14:paraId="5BD098B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1.kārtai:</w:t>
            </w:r>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2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KF; </w:t>
            </w:r>
            <w:r w:rsidRPr="00BF055E">
              <w:rPr>
                <w:rFonts w:eastAsia="Times New Roman" w:cs="Times New Roman"/>
                <w:sz w:val="18"/>
                <w:szCs w:val="18"/>
                <w:lang w:eastAsia="lv-LV"/>
              </w:rPr>
              <w:br/>
              <w:t>0,4 milj.</w:t>
            </w:r>
            <w:r w:rsidRPr="00BF055E">
              <w:rPr>
                <w:rFonts w:eastAsia="Times New Roman" w:cs="Times New Roman"/>
                <w:i/>
                <w:iCs/>
                <w:sz w:val="18"/>
                <w:szCs w:val="18"/>
                <w:lang w:eastAsia="lv-LV"/>
              </w:rPr>
              <w:t xml:space="preserve">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lastRenderedPageBreak/>
              <w:t>nacionālais finansējums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 xml:space="preserve">2.kārtai: </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 xml:space="preserve">2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KF; </w:t>
            </w:r>
            <w:r w:rsidRPr="00BF055E">
              <w:rPr>
                <w:rFonts w:eastAsia="Times New Roman" w:cs="Times New Roman"/>
                <w:sz w:val="18"/>
                <w:szCs w:val="18"/>
                <w:lang w:eastAsia="lv-LV"/>
              </w:rPr>
              <w:br/>
              <w:t xml:space="preserve">1,6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 privātais finansējums)</w:t>
            </w:r>
          </w:p>
        </w:tc>
        <w:tc>
          <w:tcPr>
            <w:tcW w:w="993" w:type="dxa"/>
            <w:tcBorders>
              <w:top w:val="nil"/>
              <w:left w:val="nil"/>
              <w:bottom w:val="single" w:sz="4" w:space="0" w:color="auto"/>
              <w:right w:val="single" w:sz="4" w:space="0" w:color="auto"/>
            </w:tcBorders>
            <w:shd w:val="clear" w:color="000000" w:fill="FFFFFF"/>
            <w:hideMark/>
          </w:tcPr>
          <w:p w14:paraId="6C804D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VARAM/CFLA</w:t>
            </w:r>
          </w:p>
        </w:tc>
        <w:tc>
          <w:tcPr>
            <w:tcW w:w="850" w:type="dxa"/>
            <w:tcBorders>
              <w:top w:val="nil"/>
              <w:left w:val="nil"/>
              <w:bottom w:val="single" w:sz="4" w:space="0" w:color="auto"/>
              <w:right w:val="single" w:sz="4" w:space="0" w:color="auto"/>
            </w:tcBorders>
            <w:shd w:val="clear" w:color="000000" w:fill="FFFFFF"/>
            <w:hideMark/>
          </w:tcPr>
          <w:p w14:paraId="111E5C6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4CB517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2020(3); 2021(1); 2022(1); </w:t>
            </w:r>
            <w:r w:rsidRPr="00BF055E">
              <w:rPr>
                <w:rFonts w:eastAsia="Times New Roman" w:cs="Times New Roman"/>
                <w:sz w:val="18"/>
                <w:szCs w:val="18"/>
                <w:lang w:eastAsia="lv-LV"/>
              </w:rPr>
              <w:lastRenderedPageBreak/>
              <w:t>2022(3); 2023(1); 2023(3); 2024(4)</w:t>
            </w:r>
          </w:p>
        </w:tc>
        <w:tc>
          <w:tcPr>
            <w:tcW w:w="992" w:type="dxa"/>
            <w:tcBorders>
              <w:top w:val="nil"/>
              <w:left w:val="nil"/>
              <w:bottom w:val="single" w:sz="4" w:space="0" w:color="auto"/>
              <w:right w:val="single" w:sz="4" w:space="0" w:color="auto"/>
            </w:tcBorders>
            <w:shd w:val="clear" w:color="000000" w:fill="FFFFFF"/>
            <w:hideMark/>
          </w:tcPr>
          <w:p w14:paraId="1700A2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Taisnīga zaļā un </w:t>
            </w:r>
            <w:r w:rsidRPr="00BF055E">
              <w:rPr>
                <w:rFonts w:eastAsia="Times New Roman" w:cs="Times New Roman"/>
                <w:sz w:val="18"/>
                <w:szCs w:val="18"/>
                <w:lang w:eastAsia="lv-LV"/>
              </w:rPr>
              <w:lastRenderedPageBreak/>
              <w:t>digitālā pārkārtošanās</w:t>
            </w:r>
          </w:p>
        </w:tc>
        <w:tc>
          <w:tcPr>
            <w:tcW w:w="992" w:type="dxa"/>
            <w:tcBorders>
              <w:top w:val="nil"/>
              <w:left w:val="nil"/>
              <w:bottom w:val="single" w:sz="4" w:space="0" w:color="auto"/>
              <w:right w:val="single" w:sz="4" w:space="0" w:color="auto"/>
            </w:tcBorders>
            <w:shd w:val="clear" w:color="000000" w:fill="FFFFFF"/>
            <w:hideMark/>
          </w:tcPr>
          <w:p w14:paraId="0E76A15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815" w:type="dxa"/>
            <w:tcBorders>
              <w:top w:val="nil"/>
              <w:left w:val="nil"/>
              <w:bottom w:val="single" w:sz="4" w:space="0" w:color="auto"/>
              <w:right w:val="single" w:sz="4" w:space="0" w:color="auto"/>
            </w:tcBorders>
            <w:shd w:val="clear" w:color="000000" w:fill="FFFFFF"/>
            <w:hideMark/>
          </w:tcPr>
          <w:p w14:paraId="781807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w:t>
            </w:r>
            <w:r w:rsidRPr="00BF055E">
              <w:rPr>
                <w:rFonts w:eastAsia="Times New Roman" w:cs="Times New Roman"/>
                <w:sz w:val="18"/>
                <w:szCs w:val="18"/>
                <w:lang w:eastAsia="lv-LV"/>
              </w:rPr>
              <w:lastRenderedPageBreak/>
              <w:t>inovācijas un infrastruktūra; 11. Ilgtspējīgas pilsētas un kopienas; 12. Atbildīgs patēriņš un ražošana; 13. Rīcība klimata jomā</w:t>
            </w:r>
          </w:p>
        </w:tc>
      </w:tr>
      <w:tr w:rsidR="00BF055E" w:rsidRPr="00BF055E" w14:paraId="5CD0F46A"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37D71BC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Vides izglītību veicinoši pasākumi sabiedrības informētībai un prasmju attīstībai (Programma</w:t>
            </w:r>
            <w:r w:rsidRPr="00BF055E">
              <w:rPr>
                <w:rFonts w:eastAsia="Times New Roman" w:cs="Times New Roman"/>
                <w:sz w:val="18"/>
                <w:szCs w:val="18"/>
                <w:lang w:eastAsia="lv-LV"/>
              </w:rPr>
              <w:br/>
              <w:t>2.2.3.2. (bez elastības finansējuma finansēs))</w:t>
            </w:r>
          </w:p>
        </w:tc>
        <w:tc>
          <w:tcPr>
            <w:tcW w:w="2183" w:type="dxa"/>
            <w:tcBorders>
              <w:top w:val="nil"/>
              <w:left w:val="nil"/>
              <w:bottom w:val="single" w:sz="4" w:space="0" w:color="auto"/>
              <w:right w:val="single" w:sz="4" w:space="0" w:color="auto"/>
            </w:tcBorders>
            <w:shd w:val="clear" w:color="000000" w:fill="FFFFFF"/>
            <w:hideMark/>
          </w:tcPr>
          <w:p w14:paraId="52526D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zaļās pārejas veicināšanai, lai veicinātu vispārēju sabiedrības informētību un izglītošanu par bioloģiskās daudzveidības un klimata jautājumiem, kā arī vispārējiem vides procesiem, uzlabotu sabiedrības vides apziņu, veicot ieguldījumus nacionālo parku dabas centru (kas ir arī tūrisma objekti) infrastruktūras pilnveidē un attīstībā, </w:t>
            </w:r>
            <w:r w:rsidRPr="00BF055E">
              <w:rPr>
                <w:rFonts w:eastAsia="Times New Roman" w:cs="Times New Roman"/>
                <w:sz w:val="18"/>
                <w:szCs w:val="18"/>
                <w:lang w:eastAsia="lv-LV"/>
              </w:rPr>
              <w:lastRenderedPageBreak/>
              <w:t>nodrošinot mūsdienīgu saturu un metodes, kas veicinātu sabiedrības izpratni par bioloģisko daudzveidību, klimata jautājumiem un vispārējiem vides procesiem.</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atbalstīti 4 kultūras un tūrisma objekti;</w:t>
            </w:r>
            <w:r w:rsidRPr="00BF055E">
              <w:rPr>
                <w:rFonts w:eastAsia="Times New Roman" w:cs="Times New Roman"/>
                <w:sz w:val="18"/>
                <w:szCs w:val="18"/>
                <w:lang w:eastAsia="lv-LV"/>
              </w:rPr>
              <w:br/>
              <w:t>2) kopējais atbalstīto kultūras un tūrisma objektu apmeklētāju skaits - 201 000.</w:t>
            </w:r>
          </w:p>
        </w:tc>
        <w:tc>
          <w:tcPr>
            <w:tcW w:w="2835" w:type="dxa"/>
            <w:tcBorders>
              <w:top w:val="nil"/>
              <w:left w:val="nil"/>
              <w:bottom w:val="single" w:sz="4" w:space="0" w:color="auto"/>
              <w:right w:val="single" w:sz="4" w:space="0" w:color="auto"/>
            </w:tcBorders>
            <w:shd w:val="clear" w:color="000000" w:fill="FFFFFF"/>
            <w:hideMark/>
          </w:tcPr>
          <w:p w14:paraId="3F4C162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(09.07.2024.);</w:t>
            </w:r>
            <w:r w:rsidRPr="00BF055E">
              <w:rPr>
                <w:rFonts w:eastAsia="Times New Roman" w:cs="Times New Roman"/>
                <w:sz w:val="18"/>
                <w:szCs w:val="18"/>
                <w:lang w:eastAsia="lv-LV"/>
              </w:rPr>
              <w:br/>
              <w:t>2) projektu iesniegumu vērtēšanas kritēriju apstiprināšana ES fondu Uzraudzības komitejā (02.11.2023., grozījumi 11.06.2024.);</w:t>
            </w:r>
            <w:r w:rsidRPr="00BF055E">
              <w:rPr>
                <w:rFonts w:eastAsia="Times New Roman" w:cs="Times New Roman"/>
                <w:sz w:val="18"/>
                <w:szCs w:val="18"/>
                <w:lang w:eastAsia="lv-LV"/>
              </w:rPr>
              <w:br/>
              <w:t>3) ierobežotas atlases uzsākšana (09.08.2024.);</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64FA18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01.01.2023.-31.12.2029.</w:t>
            </w:r>
          </w:p>
        </w:tc>
        <w:tc>
          <w:tcPr>
            <w:tcW w:w="1559" w:type="dxa"/>
            <w:tcBorders>
              <w:top w:val="nil"/>
              <w:left w:val="nil"/>
              <w:bottom w:val="single" w:sz="4" w:space="0" w:color="auto"/>
              <w:right w:val="single" w:sz="4" w:space="0" w:color="auto"/>
            </w:tcBorders>
            <w:shd w:val="clear" w:color="000000" w:fill="FFFFFF"/>
            <w:hideMark/>
          </w:tcPr>
          <w:p w14:paraId="6987F40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8,1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1,4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(valsts budžets)</w:t>
            </w:r>
          </w:p>
        </w:tc>
        <w:tc>
          <w:tcPr>
            <w:tcW w:w="993" w:type="dxa"/>
            <w:tcBorders>
              <w:top w:val="nil"/>
              <w:left w:val="nil"/>
              <w:bottom w:val="single" w:sz="4" w:space="0" w:color="auto"/>
              <w:right w:val="single" w:sz="4" w:space="0" w:color="auto"/>
            </w:tcBorders>
            <w:shd w:val="clear" w:color="000000" w:fill="FFFFFF"/>
            <w:hideMark/>
          </w:tcPr>
          <w:p w14:paraId="1FA96F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422C717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3E08E2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75F3A72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1F5F5FF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28F1BC4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inovācijas un infrastruktūra; 11. Ilgtspējīgas pilsētas un kopienas; 13. Rīcība </w:t>
            </w:r>
            <w:r w:rsidRPr="00BF055E">
              <w:rPr>
                <w:rFonts w:eastAsia="Times New Roman" w:cs="Times New Roman"/>
                <w:sz w:val="18"/>
                <w:szCs w:val="18"/>
                <w:lang w:eastAsia="lv-LV"/>
              </w:rPr>
              <w:lastRenderedPageBreak/>
              <w:t>klimata jomā</w:t>
            </w:r>
          </w:p>
        </w:tc>
      </w:tr>
      <w:tr w:rsidR="00BF055E" w:rsidRPr="00BF055E" w14:paraId="770624DD"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573D73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Pasākumi bioloģiskās daudzveidības veicināšanai un saglabāšanai (Programma</w:t>
            </w:r>
            <w:r w:rsidRPr="00BF055E">
              <w:rPr>
                <w:rFonts w:eastAsia="Times New Roman" w:cs="Times New Roman"/>
                <w:sz w:val="18"/>
                <w:szCs w:val="18"/>
                <w:lang w:eastAsia="lv-LV"/>
              </w:rPr>
              <w:br/>
              <w:t>2.2.3.3.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6B8BA6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zaļās pārejas veicināšanai, lai uzlabotu dabas aizsardzību un bioloģisko daudzveidību, izstrādājot īpaši aizsargājamo dabas teritoriju dabas aizsardzības plānus, kā arī īpaši aizsargājamo dabas teritoriju aizsardzības un apsaimniekošanas pasākumu īstenošanas  veicināšana </w:t>
            </w:r>
            <w:proofErr w:type="spellStart"/>
            <w:r w:rsidRPr="00BF055E">
              <w:rPr>
                <w:rFonts w:eastAsia="Times New Roman" w:cs="Times New Roman"/>
                <w:i/>
                <w:iCs/>
                <w:sz w:val="18"/>
                <w:szCs w:val="18"/>
                <w:lang w:eastAsia="lv-LV"/>
              </w:rPr>
              <w:t>Natura</w:t>
            </w:r>
            <w:proofErr w:type="spellEnd"/>
            <w:r w:rsidRPr="00BF055E">
              <w:rPr>
                <w:rFonts w:eastAsia="Times New Roman" w:cs="Times New Roman"/>
                <w:sz w:val="18"/>
                <w:szCs w:val="18"/>
                <w:lang w:eastAsia="lv-LV"/>
              </w:rPr>
              <w:t xml:space="preserve"> 2000 teritorijās, iekļaujot dzīvotņu atjaunošanu un infrastruktūras izveidi antropogēnās slodzes mazināšanai, sugu aizsardzības plānu ieviešanu, zaļās infrastruktūras elementu izveidi ārpus </w:t>
            </w:r>
            <w:proofErr w:type="spellStart"/>
            <w:r w:rsidRPr="00BF055E">
              <w:rPr>
                <w:rFonts w:eastAsia="Times New Roman" w:cs="Times New Roman"/>
                <w:i/>
                <w:iCs/>
                <w:sz w:val="18"/>
                <w:szCs w:val="18"/>
                <w:lang w:eastAsia="lv-LV"/>
              </w:rPr>
              <w:t>Natura</w:t>
            </w:r>
            <w:proofErr w:type="spellEnd"/>
            <w:r w:rsidRPr="00BF055E">
              <w:rPr>
                <w:rFonts w:eastAsia="Times New Roman" w:cs="Times New Roman"/>
                <w:sz w:val="18"/>
                <w:szCs w:val="18"/>
                <w:lang w:eastAsia="lv-LV"/>
              </w:rPr>
              <w:t xml:space="preserve"> 2000 teritorijas.</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Sasniedzamie rezultāti:</w:t>
            </w:r>
            <w:r w:rsidRPr="00BF055E">
              <w:rPr>
                <w:rFonts w:eastAsia="Times New Roman" w:cs="Times New Roman"/>
                <w:sz w:val="18"/>
                <w:szCs w:val="18"/>
                <w:lang w:eastAsia="lv-LV"/>
              </w:rPr>
              <w:br/>
              <w:t xml:space="preserve">1) 43 754 ha </w:t>
            </w:r>
            <w:proofErr w:type="spellStart"/>
            <w:r w:rsidRPr="00BF055E">
              <w:rPr>
                <w:rFonts w:eastAsia="Times New Roman" w:cs="Times New Roman"/>
                <w:i/>
                <w:iCs/>
                <w:sz w:val="18"/>
                <w:szCs w:val="18"/>
                <w:lang w:eastAsia="lv-LV"/>
              </w:rPr>
              <w:t>Natura</w:t>
            </w:r>
            <w:proofErr w:type="spellEnd"/>
            <w:r w:rsidRPr="00BF055E">
              <w:rPr>
                <w:rFonts w:eastAsia="Times New Roman" w:cs="Times New Roman"/>
                <w:sz w:val="18"/>
                <w:szCs w:val="18"/>
                <w:lang w:eastAsia="lv-LV"/>
              </w:rPr>
              <w:t xml:space="preserve"> 2000 teritoriju platība, uz kurām attiecas aizsardzības un atjaunošanas pasākumi;</w:t>
            </w:r>
            <w:r w:rsidRPr="00BF055E">
              <w:rPr>
                <w:rFonts w:eastAsia="Times New Roman" w:cs="Times New Roman"/>
                <w:sz w:val="18"/>
                <w:szCs w:val="18"/>
                <w:lang w:eastAsia="lv-LV"/>
              </w:rPr>
              <w:br/>
              <w:t>2) atjaunotas degradētas ekosistēmas 8 515 ha platībā.</w:t>
            </w:r>
          </w:p>
        </w:tc>
        <w:tc>
          <w:tcPr>
            <w:tcW w:w="2835" w:type="dxa"/>
            <w:tcBorders>
              <w:top w:val="nil"/>
              <w:left w:val="nil"/>
              <w:bottom w:val="single" w:sz="4" w:space="0" w:color="auto"/>
              <w:right w:val="single" w:sz="4" w:space="0" w:color="auto"/>
            </w:tcBorders>
            <w:shd w:val="clear" w:color="000000" w:fill="FFFFFF"/>
            <w:hideMark/>
          </w:tcPr>
          <w:p w14:paraId="67849F8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 2.kārta:</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1) MK noteikumu apstiprināšana (26.03.2024., grozījumi 04.06.2024.);</w:t>
            </w:r>
            <w:r w:rsidRPr="00BF055E">
              <w:rPr>
                <w:rFonts w:eastAsia="Times New Roman" w:cs="Times New Roman"/>
                <w:sz w:val="18"/>
                <w:szCs w:val="18"/>
                <w:lang w:eastAsia="lv-LV"/>
              </w:rPr>
              <w:br/>
              <w:t>2) projektu iesniegumu vērtēšanas kritēriju apstiprināšana ES fondu Uzraudzības komitejā (05.12.2023.);</w:t>
            </w:r>
            <w:r w:rsidRPr="00BF055E">
              <w:rPr>
                <w:rFonts w:eastAsia="Times New Roman" w:cs="Times New Roman"/>
                <w:sz w:val="18"/>
                <w:szCs w:val="18"/>
                <w:lang w:eastAsia="lv-LV"/>
              </w:rPr>
              <w:br/>
              <w:t>3) atlases uzsākšana (1.kārtai - ierobežota atlase 26.04.2024.; 2.kārtai - atklāta atlase 29.04.2024.);</w:t>
            </w:r>
            <w:r w:rsidRPr="00BF055E">
              <w:rPr>
                <w:rFonts w:eastAsia="Times New Roman" w:cs="Times New Roman"/>
                <w:sz w:val="18"/>
                <w:szCs w:val="18"/>
                <w:lang w:eastAsia="lv-LV"/>
              </w:rPr>
              <w:br/>
              <w:t>4) līgumu slēgšana un projektu īstenošana.</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3., 4.kārta:</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1) MK noteikumu izstrāde un saskaņošanas uzsākšana TAP (2024.g. 3.ceturksnis);</w:t>
            </w:r>
            <w:r w:rsidRPr="00BF055E">
              <w:rPr>
                <w:rFonts w:eastAsia="Times New Roman" w:cs="Times New Roman"/>
                <w:sz w:val="18"/>
                <w:szCs w:val="18"/>
                <w:lang w:eastAsia="lv-LV"/>
              </w:rPr>
              <w:br/>
              <w:t>2) MK noteikumu apstiprināšana (2024.g. 4.ceturksnis);</w:t>
            </w:r>
            <w:r w:rsidRPr="00BF055E">
              <w:rPr>
                <w:rFonts w:eastAsia="Times New Roman" w:cs="Times New Roman"/>
                <w:sz w:val="18"/>
                <w:szCs w:val="18"/>
                <w:lang w:eastAsia="lv-LV"/>
              </w:rPr>
              <w:br/>
              <w:t xml:space="preserve">3) projektu iesniegumu vērtēšanas kritēriju izskatīšana tematiskajā </w:t>
            </w:r>
            <w:r w:rsidRPr="00BF055E">
              <w:rPr>
                <w:rFonts w:eastAsia="Times New Roman" w:cs="Times New Roman"/>
                <w:sz w:val="18"/>
                <w:szCs w:val="18"/>
                <w:lang w:eastAsia="lv-LV"/>
              </w:rPr>
              <w:lastRenderedPageBreak/>
              <w:t>apakškomitejā (2024.g. 3.ceturksnis);</w:t>
            </w:r>
            <w:r w:rsidRPr="00BF055E">
              <w:rPr>
                <w:rFonts w:eastAsia="Times New Roman" w:cs="Times New Roman"/>
                <w:sz w:val="18"/>
                <w:szCs w:val="18"/>
                <w:lang w:eastAsia="lv-LV"/>
              </w:rPr>
              <w:br/>
              <w:t>4) projektu iesniegumu vērtēšanas kritēriju apstiprināšanas ES fondu Uzraudzības komitejā (2024.g. 4.ceturksnis);</w:t>
            </w:r>
            <w:r w:rsidRPr="00BF055E">
              <w:rPr>
                <w:rFonts w:eastAsia="Times New Roman" w:cs="Times New Roman"/>
                <w:sz w:val="18"/>
                <w:szCs w:val="18"/>
                <w:lang w:eastAsia="lv-LV"/>
              </w:rPr>
              <w:br/>
              <w:t>5) ierobežotas vai atklātas atlases (katrai kārtai atsevišķi) uzsākšana (2025.g. 1.ceturksnis);</w:t>
            </w:r>
            <w:r w:rsidRPr="00BF055E">
              <w:rPr>
                <w:rFonts w:eastAsia="Times New Roman" w:cs="Times New Roman"/>
                <w:sz w:val="18"/>
                <w:szCs w:val="18"/>
                <w:lang w:eastAsia="lv-LV"/>
              </w:rPr>
              <w:br/>
              <w:t>6)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65E979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 2.kārta:</w:t>
            </w:r>
            <w:r w:rsidRPr="00BF055E">
              <w:rPr>
                <w:rFonts w:eastAsia="Times New Roman" w:cs="Times New Roman"/>
                <w:sz w:val="18"/>
                <w:szCs w:val="18"/>
                <w:lang w:eastAsia="lv-LV"/>
              </w:rPr>
              <w:br/>
              <w:t>01.01.2023.-31.12.2027.</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3., 4.kārta:</w:t>
            </w:r>
            <w:r w:rsidRPr="00BF055E">
              <w:rPr>
                <w:rFonts w:eastAsia="Times New Roman" w:cs="Times New Roman"/>
                <w:sz w:val="18"/>
                <w:szCs w:val="18"/>
                <w:lang w:eastAsia="lv-LV"/>
              </w:rPr>
              <w:br/>
              <w:t>2025.-2029.</w:t>
            </w:r>
          </w:p>
        </w:tc>
        <w:tc>
          <w:tcPr>
            <w:tcW w:w="1559" w:type="dxa"/>
            <w:tcBorders>
              <w:top w:val="nil"/>
              <w:left w:val="nil"/>
              <w:bottom w:val="single" w:sz="4" w:space="0" w:color="auto"/>
              <w:right w:val="single" w:sz="4" w:space="0" w:color="auto"/>
            </w:tcBorders>
            <w:shd w:val="clear" w:color="000000" w:fill="FFFFFF"/>
            <w:hideMark/>
          </w:tcPr>
          <w:p w14:paraId="48EFB36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2,5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 0,4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(valsts budžets)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 xml:space="preserve">2.kārtai: </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 xml:space="preserve">2,5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0,4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w:t>
            </w:r>
            <w:r w:rsidRPr="00BF055E">
              <w:rPr>
                <w:rFonts w:eastAsia="Times New Roman" w:cs="Times New Roman"/>
                <w:sz w:val="18"/>
                <w:szCs w:val="18"/>
                <w:lang w:eastAsia="lv-LV"/>
              </w:rPr>
              <w:br/>
            </w:r>
            <w:r w:rsidRPr="00BF055E">
              <w:rPr>
                <w:rFonts w:eastAsia="Times New Roman" w:cs="Times New Roman"/>
                <w:sz w:val="18"/>
                <w:szCs w:val="18"/>
                <w:u w:val="single"/>
                <w:lang w:eastAsia="lv-LV"/>
              </w:rPr>
              <w:br/>
              <w:t>3.kārtai: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 xml:space="preserve">16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2,8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br/>
            </w:r>
            <w:r w:rsidRPr="00BF055E">
              <w:rPr>
                <w:rFonts w:eastAsia="Times New Roman" w:cs="Times New Roman"/>
                <w:sz w:val="18"/>
                <w:szCs w:val="18"/>
                <w:u w:val="single"/>
                <w:lang w:eastAsia="lv-LV"/>
              </w:rPr>
              <w:t>4.kārtai: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 xml:space="preserve">7,3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2,8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w:t>
            </w:r>
          </w:p>
        </w:tc>
        <w:tc>
          <w:tcPr>
            <w:tcW w:w="993" w:type="dxa"/>
            <w:tcBorders>
              <w:top w:val="nil"/>
              <w:left w:val="nil"/>
              <w:bottom w:val="single" w:sz="4" w:space="0" w:color="auto"/>
              <w:right w:val="single" w:sz="4" w:space="0" w:color="auto"/>
            </w:tcBorders>
            <w:shd w:val="clear" w:color="000000" w:fill="FFFFFF"/>
            <w:hideMark/>
          </w:tcPr>
          <w:p w14:paraId="2EC35B2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VARAM/CFLA</w:t>
            </w:r>
          </w:p>
        </w:tc>
        <w:tc>
          <w:tcPr>
            <w:tcW w:w="850" w:type="dxa"/>
            <w:tcBorders>
              <w:top w:val="nil"/>
              <w:left w:val="nil"/>
              <w:bottom w:val="single" w:sz="4" w:space="0" w:color="auto"/>
              <w:right w:val="single" w:sz="4" w:space="0" w:color="auto"/>
            </w:tcBorders>
            <w:shd w:val="clear" w:color="000000" w:fill="FFFFFF"/>
            <w:hideMark/>
          </w:tcPr>
          <w:p w14:paraId="178CB8F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0CA1A9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30E64F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0E770AF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07EBAAD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13. Rīcība klimata jomā; 15. Dzīvība uz zemes</w:t>
            </w:r>
          </w:p>
        </w:tc>
      </w:tr>
      <w:tr w:rsidR="00BF055E" w:rsidRPr="00BF055E" w14:paraId="5D225CC4"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41C130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Vides monitoringa attīstība harmonizētai vides un klimata datu informācijas nodrošināšanai (Programma</w:t>
            </w:r>
            <w:r w:rsidRPr="00BF055E">
              <w:rPr>
                <w:rFonts w:eastAsia="Times New Roman" w:cs="Times New Roman"/>
                <w:sz w:val="18"/>
                <w:szCs w:val="18"/>
                <w:lang w:eastAsia="lv-LV"/>
              </w:rPr>
              <w:br/>
              <w:t>2.2.3.4. (VARAM ir tikai 1.kārta; elastības finansējums nav plānots))</w:t>
            </w:r>
          </w:p>
        </w:tc>
        <w:tc>
          <w:tcPr>
            <w:tcW w:w="2183" w:type="dxa"/>
            <w:tcBorders>
              <w:top w:val="nil"/>
              <w:left w:val="nil"/>
              <w:bottom w:val="single" w:sz="4" w:space="0" w:color="auto"/>
              <w:right w:val="single" w:sz="4" w:space="0" w:color="auto"/>
            </w:tcBorders>
            <w:shd w:val="clear" w:color="auto" w:fill="auto"/>
            <w:hideMark/>
          </w:tcPr>
          <w:p w14:paraId="2B7E59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zaļās pārejas veicināšanai, lai nodrošinātu sabiedrību un iestādes ar savlaicīgu, kvalitatīvu un vispusīgu informāciju par vides stāvokļa izmaiņām, attīstot valsts vides monitoringa un kontroles sistēmas darbību un īstenojot sistemātiskus, regulārus un mērķtiecīgus vides stāvokļa novērojumus un mērījumus.</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uzstādītas gaisa piesārņojuma uzraudzības sistēmas 2 gaisa kvalitātes zonās;</w:t>
            </w:r>
            <w:r w:rsidRPr="00BF055E">
              <w:rPr>
                <w:rFonts w:eastAsia="Times New Roman" w:cs="Times New Roman"/>
                <w:sz w:val="18"/>
                <w:szCs w:val="18"/>
                <w:lang w:eastAsia="lv-LV"/>
              </w:rPr>
              <w:br/>
              <w:t xml:space="preserve">2) veiktas investīcijas jaunā vai modernizētā katastrofu monitoringa, gatavības, brīdinājuma un reaģēšanas sistēmās attiecībā uz dabas katastrofām 10 875 000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apmērā;</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3) nodrošināts klimata un vides monitorings 242 vietās.</w:t>
            </w:r>
          </w:p>
        </w:tc>
        <w:tc>
          <w:tcPr>
            <w:tcW w:w="2835" w:type="dxa"/>
            <w:tcBorders>
              <w:top w:val="nil"/>
              <w:left w:val="nil"/>
              <w:bottom w:val="single" w:sz="4" w:space="0" w:color="auto"/>
              <w:right w:val="single" w:sz="4" w:space="0" w:color="auto"/>
            </w:tcBorders>
            <w:shd w:val="clear" w:color="000000" w:fill="FFFFFF"/>
            <w:hideMark/>
          </w:tcPr>
          <w:p w14:paraId="294D8A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(13.07.2023.);</w:t>
            </w:r>
            <w:r w:rsidRPr="00BF055E">
              <w:rPr>
                <w:rFonts w:eastAsia="Times New Roman" w:cs="Times New Roman"/>
                <w:sz w:val="18"/>
                <w:szCs w:val="18"/>
                <w:lang w:eastAsia="lv-LV"/>
              </w:rPr>
              <w:br/>
              <w:t>2) projektu iesniegumu vērtēšanas kritēriju apstiprināšana ES fondu Uzraudzības komitejā (01.06.2023.);</w:t>
            </w:r>
            <w:r w:rsidRPr="00BF055E">
              <w:rPr>
                <w:rFonts w:eastAsia="Times New Roman" w:cs="Times New Roman"/>
                <w:sz w:val="18"/>
                <w:szCs w:val="18"/>
                <w:lang w:eastAsia="lv-LV"/>
              </w:rPr>
              <w:br/>
              <w:t>3) ierobežotas atlases uzsākšana (11.08.2023.);</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1EB61F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01.01.2023.-31.12.2029.</w:t>
            </w:r>
          </w:p>
        </w:tc>
        <w:tc>
          <w:tcPr>
            <w:tcW w:w="1559" w:type="dxa"/>
            <w:tcBorders>
              <w:top w:val="nil"/>
              <w:left w:val="nil"/>
              <w:bottom w:val="single" w:sz="4" w:space="0" w:color="auto"/>
              <w:right w:val="single" w:sz="4" w:space="0" w:color="auto"/>
            </w:tcBorders>
            <w:shd w:val="clear" w:color="000000" w:fill="FFFFFF"/>
            <w:hideMark/>
          </w:tcPr>
          <w:p w14:paraId="4BE5C76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9,2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1,6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(valsts budžets)</w:t>
            </w:r>
          </w:p>
        </w:tc>
        <w:tc>
          <w:tcPr>
            <w:tcW w:w="993" w:type="dxa"/>
            <w:tcBorders>
              <w:top w:val="nil"/>
              <w:left w:val="nil"/>
              <w:bottom w:val="single" w:sz="4" w:space="0" w:color="auto"/>
              <w:right w:val="single" w:sz="4" w:space="0" w:color="auto"/>
            </w:tcBorders>
            <w:shd w:val="clear" w:color="000000" w:fill="FFFFFF"/>
            <w:hideMark/>
          </w:tcPr>
          <w:p w14:paraId="491FB06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5FC0490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6EBE359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121A7D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1D3F39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1D86F2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w:t>
            </w:r>
          </w:p>
        </w:tc>
      </w:tr>
      <w:tr w:rsidR="00BF055E" w:rsidRPr="00BF055E" w14:paraId="145DB7FD"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0A4DAF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Gaisa piesārņojuma samazināšanas pasākumi pašvaldībās (Programma</w:t>
            </w:r>
            <w:r w:rsidRPr="00BF055E">
              <w:rPr>
                <w:rFonts w:eastAsia="Times New Roman" w:cs="Times New Roman"/>
                <w:sz w:val="18"/>
                <w:szCs w:val="18"/>
                <w:lang w:eastAsia="lv-LV"/>
              </w:rPr>
              <w:br/>
              <w:t>2.2.3.5. (divas kārtas;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616235E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zaļās pārejas veicināšanai, lai samazinātu gaisa piesārņojuma radīto negatīvo ietekmi uz vidi un cilvēku veselību, īstenojot gaisa piesārņojumu mazinošus pasākumus saskaņā ar Rīgas </w:t>
            </w:r>
            <w:proofErr w:type="spellStart"/>
            <w:r w:rsidRPr="00BF055E">
              <w:rPr>
                <w:rFonts w:eastAsia="Times New Roman" w:cs="Times New Roman"/>
                <w:sz w:val="18"/>
                <w:szCs w:val="18"/>
                <w:lang w:eastAsia="lv-LV"/>
              </w:rPr>
              <w:t>valstspilsētas</w:t>
            </w:r>
            <w:proofErr w:type="spellEnd"/>
            <w:r w:rsidRPr="00BF055E">
              <w:rPr>
                <w:rFonts w:eastAsia="Times New Roman" w:cs="Times New Roman"/>
                <w:sz w:val="18"/>
                <w:szCs w:val="18"/>
                <w:lang w:eastAsia="lv-LV"/>
              </w:rPr>
              <w:t xml:space="preserve">, Liepājas </w:t>
            </w:r>
            <w:proofErr w:type="spellStart"/>
            <w:r w:rsidRPr="00BF055E">
              <w:rPr>
                <w:rFonts w:eastAsia="Times New Roman" w:cs="Times New Roman"/>
                <w:sz w:val="18"/>
                <w:szCs w:val="18"/>
                <w:lang w:eastAsia="lv-LV"/>
              </w:rPr>
              <w:t>valstspilsētas</w:t>
            </w:r>
            <w:proofErr w:type="spellEnd"/>
            <w:r w:rsidRPr="00BF055E">
              <w:rPr>
                <w:rFonts w:eastAsia="Times New Roman" w:cs="Times New Roman"/>
                <w:sz w:val="18"/>
                <w:szCs w:val="18"/>
                <w:lang w:eastAsia="lv-LV"/>
              </w:rPr>
              <w:t xml:space="preserve"> un Rēzeknes </w:t>
            </w:r>
            <w:proofErr w:type="spellStart"/>
            <w:r w:rsidRPr="00BF055E">
              <w:rPr>
                <w:rFonts w:eastAsia="Times New Roman" w:cs="Times New Roman"/>
                <w:sz w:val="18"/>
                <w:szCs w:val="18"/>
                <w:lang w:eastAsia="lv-LV"/>
              </w:rPr>
              <w:t>valstspilsētas</w:t>
            </w:r>
            <w:proofErr w:type="spellEnd"/>
            <w:r w:rsidRPr="00BF055E">
              <w:rPr>
                <w:rFonts w:eastAsia="Times New Roman" w:cs="Times New Roman"/>
                <w:sz w:val="18"/>
                <w:szCs w:val="18"/>
                <w:lang w:eastAsia="lv-LV"/>
              </w:rPr>
              <w:t xml:space="preserve"> gaisa kvalitātes uzlabošanas rīcības programmu.</w:t>
            </w:r>
            <w:r w:rsidRPr="00BF055E">
              <w:rPr>
                <w:rFonts w:eastAsia="Times New Roman" w:cs="Times New Roman"/>
                <w:sz w:val="18"/>
                <w:szCs w:val="18"/>
                <w:lang w:eastAsia="lv-LV"/>
              </w:rPr>
              <w:br/>
              <w:t>Sasniedzamais rezultāts: iedzīvotāju skaits, kas gūst labumu no gaisa kvalitātes pasākumiem – 49 872.</w:t>
            </w:r>
          </w:p>
        </w:tc>
        <w:tc>
          <w:tcPr>
            <w:tcW w:w="2835" w:type="dxa"/>
            <w:tcBorders>
              <w:top w:val="nil"/>
              <w:left w:val="nil"/>
              <w:bottom w:val="single" w:sz="4" w:space="0" w:color="auto"/>
              <w:right w:val="single" w:sz="4" w:space="0" w:color="auto"/>
            </w:tcBorders>
            <w:shd w:val="clear" w:color="000000" w:fill="FFFFFF"/>
            <w:hideMark/>
          </w:tcPr>
          <w:p w14:paraId="0FBB3BA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(16.01.2024.);</w:t>
            </w:r>
            <w:r w:rsidRPr="00BF055E">
              <w:rPr>
                <w:rFonts w:eastAsia="Times New Roman" w:cs="Times New Roman"/>
                <w:sz w:val="18"/>
                <w:szCs w:val="18"/>
                <w:lang w:eastAsia="lv-LV"/>
              </w:rPr>
              <w:br/>
              <w:t>2) projektu iesniegumu vērtēšanas kritēriju apstiprināšana ES fondu Uzraudzības komitejā (06.10.2023.);</w:t>
            </w:r>
            <w:r w:rsidRPr="00BF055E">
              <w:rPr>
                <w:rFonts w:eastAsia="Times New Roman" w:cs="Times New Roman"/>
                <w:sz w:val="18"/>
                <w:szCs w:val="18"/>
                <w:lang w:eastAsia="lv-LV"/>
              </w:rPr>
              <w:br/>
              <w:t>3) ierobežotas atlases uzsākšana (1.kārtai - 18.03.2024.; 2.kārtai - 2025.g. 1.ceturksnis);</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1CEC7A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01.01.2021.-31.12.2028.</w:t>
            </w:r>
          </w:p>
        </w:tc>
        <w:tc>
          <w:tcPr>
            <w:tcW w:w="1559" w:type="dxa"/>
            <w:tcBorders>
              <w:top w:val="nil"/>
              <w:left w:val="nil"/>
              <w:bottom w:val="single" w:sz="4" w:space="0" w:color="auto"/>
              <w:right w:val="single" w:sz="4" w:space="0" w:color="auto"/>
            </w:tcBorders>
            <w:shd w:val="clear" w:color="000000" w:fill="FFFFFF"/>
            <w:hideMark/>
          </w:tcPr>
          <w:p w14:paraId="3719762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w:t>
            </w:r>
            <w:r w:rsidRPr="00BF055E">
              <w:rPr>
                <w:rFonts w:eastAsia="Times New Roman" w:cs="Times New Roman"/>
                <w:sz w:val="18"/>
                <w:szCs w:val="18"/>
                <w:lang w:eastAsia="lv-LV"/>
              </w:rPr>
              <w:br/>
              <w:t xml:space="preserve">4,2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0,7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2.kārta:</w:t>
            </w:r>
            <w:r w:rsidRPr="00BF055E">
              <w:rPr>
                <w:rFonts w:eastAsia="Times New Roman" w:cs="Times New Roman"/>
                <w:sz w:val="18"/>
                <w:szCs w:val="18"/>
                <w:lang w:eastAsia="lv-LV"/>
              </w:rPr>
              <w:br/>
              <w:t xml:space="preserve">0,8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0,1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 privātais finansējums)</w:t>
            </w:r>
          </w:p>
        </w:tc>
        <w:tc>
          <w:tcPr>
            <w:tcW w:w="993" w:type="dxa"/>
            <w:tcBorders>
              <w:top w:val="nil"/>
              <w:left w:val="nil"/>
              <w:bottom w:val="single" w:sz="4" w:space="0" w:color="auto"/>
              <w:right w:val="single" w:sz="4" w:space="0" w:color="auto"/>
            </w:tcBorders>
            <w:shd w:val="clear" w:color="000000" w:fill="FFFFFF"/>
            <w:hideMark/>
          </w:tcPr>
          <w:p w14:paraId="66D7B99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7CF8ECB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749E0E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6E92011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724123E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80C211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13. Rīcība klimata jomā; 15. Dzīvība uz zemes</w:t>
            </w:r>
          </w:p>
        </w:tc>
      </w:tr>
      <w:tr w:rsidR="00BF055E" w:rsidRPr="00BF055E" w14:paraId="57F3461B"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6A680F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Gaisa piesārņojumu mazinošu pasākumu īstenošana, uzlabojot mājsaimniecību siltumapgādes sistēmas (Programma</w:t>
            </w:r>
            <w:r w:rsidRPr="00BF055E">
              <w:rPr>
                <w:rFonts w:eastAsia="Times New Roman" w:cs="Times New Roman"/>
                <w:sz w:val="18"/>
                <w:szCs w:val="18"/>
                <w:lang w:eastAsia="lv-LV"/>
              </w:rPr>
              <w:br/>
              <w:t>2.2.3.6. (četras kārtas;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35264F0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zaļās pārejas veicināšanai, lai samazinātu gaisa piesārņojuma radīto negatīvo ietekmi uz vidi un cilvēku veselību, aizstājot mājsaimniecību sektora dzīvojamās mājās siltumapgādē izmantotās sadedzināšanas iekārtas, uzlabojot individuālo siltumapgādes sistēmu efektivitāti, ieviešot siltumapgādes iekārtas un </w:t>
            </w:r>
            <w:r w:rsidRPr="00BF055E">
              <w:rPr>
                <w:rFonts w:eastAsia="Times New Roman" w:cs="Times New Roman"/>
                <w:sz w:val="18"/>
                <w:szCs w:val="18"/>
                <w:lang w:eastAsia="lv-LV"/>
              </w:rPr>
              <w:lastRenderedPageBreak/>
              <w:t>tehnoloģijas, kas būtiski samazina gaisa piesārņojumu, tai skaitā dzīvojamās mājas pieslēdzot efektīvām centralizētām pilsētu siltumapgādes sistēmām.</w:t>
            </w:r>
            <w:r w:rsidRPr="00BF055E">
              <w:rPr>
                <w:rFonts w:eastAsia="Times New Roman" w:cs="Times New Roman"/>
                <w:sz w:val="18"/>
                <w:szCs w:val="18"/>
                <w:lang w:eastAsia="lv-LV"/>
              </w:rPr>
              <w:br/>
              <w:t xml:space="preserve">Sasniedzamie rezultāti: </w:t>
            </w:r>
            <w:r w:rsidRPr="00BF055E">
              <w:rPr>
                <w:rFonts w:eastAsia="Times New Roman" w:cs="Times New Roman"/>
                <w:sz w:val="18"/>
                <w:szCs w:val="18"/>
                <w:lang w:eastAsia="lv-LV"/>
              </w:rPr>
              <w:br/>
              <w:t>1) iedzīvotāju skaits, kas gūst labumu no gaisa kvalitātes pasākumiem – 2 795;</w:t>
            </w:r>
            <w:r w:rsidRPr="00BF055E">
              <w:rPr>
                <w:rFonts w:eastAsia="Times New Roman" w:cs="Times New Roman"/>
                <w:sz w:val="18"/>
                <w:szCs w:val="18"/>
                <w:lang w:eastAsia="lv-LV"/>
              </w:rPr>
              <w:br/>
              <w:t>2) PM2,5 daļiņu emisijas samazinājums vismaz 50 t/gadā.</w:t>
            </w:r>
          </w:p>
        </w:tc>
        <w:tc>
          <w:tcPr>
            <w:tcW w:w="2835" w:type="dxa"/>
            <w:tcBorders>
              <w:top w:val="nil"/>
              <w:left w:val="nil"/>
              <w:bottom w:val="single" w:sz="4" w:space="0" w:color="auto"/>
              <w:right w:val="single" w:sz="4" w:space="0" w:color="auto"/>
            </w:tcBorders>
            <w:shd w:val="clear" w:color="000000" w:fill="FFFFFF"/>
            <w:hideMark/>
          </w:tcPr>
          <w:p w14:paraId="19B2909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(04.04.2023.; grozījumi 21.05.2024.);</w:t>
            </w:r>
            <w:r w:rsidRPr="00BF055E">
              <w:rPr>
                <w:rFonts w:eastAsia="Times New Roman" w:cs="Times New Roman"/>
                <w:sz w:val="18"/>
                <w:szCs w:val="18"/>
                <w:lang w:eastAsia="lv-LV"/>
              </w:rPr>
              <w:br/>
              <w:t>2) projektu iesniegumu vērtēšanas kritēriju apstiprināšana ES fondu Uzraudzības komitejā (26.01.2023.);</w:t>
            </w:r>
            <w:r w:rsidRPr="00BF055E">
              <w:rPr>
                <w:rFonts w:eastAsia="Times New Roman" w:cs="Times New Roman"/>
                <w:sz w:val="18"/>
                <w:szCs w:val="18"/>
                <w:lang w:eastAsia="lv-LV"/>
              </w:rPr>
              <w:br/>
              <w:t>3) atklātas atlases uzsākšana (1.kārtai - 26.05.2023.; 2.kārtai - 26.07.2023.; 3.kārtai - 26.09.2023.; 4.kārtai - 01.03.2024.);</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7262C5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07.04.2023.-31.12.2025.</w:t>
            </w:r>
          </w:p>
        </w:tc>
        <w:tc>
          <w:tcPr>
            <w:tcW w:w="1559" w:type="dxa"/>
            <w:tcBorders>
              <w:top w:val="nil"/>
              <w:left w:val="nil"/>
              <w:bottom w:val="single" w:sz="4" w:space="0" w:color="auto"/>
              <w:right w:val="single" w:sz="4" w:space="0" w:color="auto"/>
            </w:tcBorders>
            <w:shd w:val="clear" w:color="000000" w:fill="FFFFFF"/>
            <w:hideMark/>
          </w:tcPr>
          <w:p w14:paraId="523BEF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w:t>
            </w:r>
            <w:r w:rsidRPr="00BF055E">
              <w:rPr>
                <w:rFonts w:eastAsia="Times New Roman" w:cs="Times New Roman"/>
                <w:sz w:val="18"/>
                <w:szCs w:val="18"/>
                <w:lang w:eastAsia="lv-LV"/>
              </w:rPr>
              <w:br/>
              <w:t xml:space="preserve">0,08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0,01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2.kārta:</w:t>
            </w:r>
            <w:r w:rsidRPr="00BF055E">
              <w:rPr>
                <w:rFonts w:eastAsia="Times New Roman" w:cs="Times New Roman"/>
                <w:sz w:val="18"/>
                <w:szCs w:val="18"/>
                <w:lang w:eastAsia="lv-LV"/>
              </w:rPr>
              <w:br/>
              <w:t xml:space="preserve">2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0,4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w:t>
            </w:r>
            <w:r w:rsidRPr="00BF055E">
              <w:rPr>
                <w:rFonts w:eastAsia="Times New Roman" w:cs="Times New Roman"/>
                <w:sz w:val="18"/>
                <w:szCs w:val="18"/>
                <w:lang w:eastAsia="lv-LV"/>
              </w:rPr>
              <w:lastRenderedPageBreak/>
              <w:t>finansējums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3.kārta:</w:t>
            </w:r>
            <w:r w:rsidRPr="00BF055E">
              <w:rPr>
                <w:rFonts w:eastAsia="Times New Roman" w:cs="Times New Roman"/>
                <w:sz w:val="18"/>
                <w:szCs w:val="18"/>
                <w:lang w:eastAsia="lv-LV"/>
              </w:rPr>
              <w:br/>
              <w:t xml:space="preserve">0,7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0,1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4.kārta:</w:t>
            </w:r>
            <w:r w:rsidRPr="00BF055E">
              <w:rPr>
                <w:rFonts w:eastAsia="Times New Roman" w:cs="Times New Roman"/>
                <w:sz w:val="18"/>
                <w:szCs w:val="18"/>
                <w:lang w:eastAsia="lv-LV"/>
              </w:rPr>
              <w:br/>
              <w:t xml:space="preserve">9,5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1,7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p>
        </w:tc>
        <w:tc>
          <w:tcPr>
            <w:tcW w:w="993" w:type="dxa"/>
            <w:tcBorders>
              <w:top w:val="nil"/>
              <w:left w:val="nil"/>
              <w:bottom w:val="single" w:sz="4" w:space="0" w:color="auto"/>
              <w:right w:val="single" w:sz="4" w:space="0" w:color="auto"/>
            </w:tcBorders>
            <w:shd w:val="clear" w:color="000000" w:fill="FFFFFF"/>
            <w:hideMark/>
          </w:tcPr>
          <w:p w14:paraId="606422C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VARAM/CFLA</w:t>
            </w:r>
          </w:p>
        </w:tc>
        <w:tc>
          <w:tcPr>
            <w:tcW w:w="850" w:type="dxa"/>
            <w:tcBorders>
              <w:top w:val="nil"/>
              <w:left w:val="nil"/>
              <w:bottom w:val="single" w:sz="4" w:space="0" w:color="auto"/>
              <w:right w:val="single" w:sz="4" w:space="0" w:color="auto"/>
            </w:tcBorders>
            <w:shd w:val="clear" w:color="000000" w:fill="FFFFFF"/>
            <w:hideMark/>
          </w:tcPr>
          <w:p w14:paraId="7C97878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C3758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5251D0D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27C4D85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5AB4E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inovācijas un infrastruktūra; 11. Ilgtspējīgas pilsētas un kopienas; 13. </w:t>
            </w:r>
            <w:r w:rsidRPr="00BF055E">
              <w:rPr>
                <w:rFonts w:eastAsia="Times New Roman" w:cs="Times New Roman"/>
                <w:sz w:val="18"/>
                <w:szCs w:val="18"/>
                <w:lang w:eastAsia="lv-LV"/>
              </w:rPr>
              <w:lastRenderedPageBreak/>
              <w:t>Rīcība klimata jomā</w:t>
            </w:r>
          </w:p>
        </w:tc>
      </w:tr>
      <w:tr w:rsidR="00BF055E" w:rsidRPr="00BF055E" w14:paraId="1EEE563E"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2AD563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Gaisa piesārņojošo vielu emisiju samazināšana pašvaldību siltumapgādē (Programma</w:t>
            </w:r>
            <w:r w:rsidRPr="00BF055E">
              <w:rPr>
                <w:rFonts w:eastAsia="Times New Roman" w:cs="Times New Roman"/>
                <w:sz w:val="18"/>
                <w:szCs w:val="18"/>
                <w:lang w:eastAsia="lv-LV"/>
              </w:rPr>
              <w:br/>
              <w:t>2.2.3.7.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575DFD4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zaļās pārejas veicināšanai, lai samazinātu gaisa piesārņojuma radīto negatīvo ietekmi uz vidi un cilvēku veselību, uzlabojot sabiedrisko pakalpojumu sniedzēju centralizētajā siltumapgādē izmantoto sadedzināšanas iekārtu darbību, ieviešot tehniskos risinājumus, kas samazina putekļu (daļiņu) emisijas gaisā.</w:t>
            </w:r>
            <w:r w:rsidRPr="00BF055E">
              <w:rPr>
                <w:rFonts w:eastAsia="Times New Roman" w:cs="Times New Roman"/>
                <w:sz w:val="18"/>
                <w:szCs w:val="18"/>
                <w:lang w:eastAsia="lv-LV"/>
              </w:rPr>
              <w:br/>
              <w:t xml:space="preserve">Sasniedzamais rezultāts: iedzīvotāju skaits, kas gūst </w:t>
            </w:r>
            <w:r w:rsidRPr="00BF055E">
              <w:rPr>
                <w:rFonts w:eastAsia="Times New Roman" w:cs="Times New Roman"/>
                <w:sz w:val="18"/>
                <w:szCs w:val="18"/>
                <w:lang w:eastAsia="lv-LV"/>
              </w:rPr>
              <w:lastRenderedPageBreak/>
              <w:t>labumu no gaisa kvalitātes pasākumiem – 76 552.</w:t>
            </w:r>
          </w:p>
        </w:tc>
        <w:tc>
          <w:tcPr>
            <w:tcW w:w="2835" w:type="dxa"/>
            <w:tcBorders>
              <w:top w:val="nil"/>
              <w:left w:val="nil"/>
              <w:bottom w:val="single" w:sz="4" w:space="0" w:color="auto"/>
              <w:right w:val="single" w:sz="4" w:space="0" w:color="auto"/>
            </w:tcBorders>
            <w:shd w:val="clear" w:color="000000" w:fill="FFFFFF"/>
            <w:hideMark/>
          </w:tcPr>
          <w:p w14:paraId="4BCB4CD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(04.04.2023.; grozījumi 06.02.2024.);</w:t>
            </w:r>
            <w:r w:rsidRPr="00BF055E">
              <w:rPr>
                <w:rFonts w:eastAsia="Times New Roman" w:cs="Times New Roman"/>
                <w:sz w:val="18"/>
                <w:szCs w:val="18"/>
                <w:lang w:eastAsia="lv-LV"/>
              </w:rPr>
              <w:br/>
              <w:t>2) projektu iesniegumu vērtēšanas kritēriju apstiprināšana ES fondu Uzraudzības komitejā (26.09.2023.);</w:t>
            </w:r>
            <w:r w:rsidRPr="00BF055E">
              <w:rPr>
                <w:rFonts w:eastAsia="Times New Roman" w:cs="Times New Roman"/>
                <w:sz w:val="18"/>
                <w:szCs w:val="18"/>
                <w:lang w:eastAsia="lv-LV"/>
              </w:rPr>
              <w:br/>
              <w:t>3) atklātas atlases uzsākšana (12.03.2024.);</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514E99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14.01.2021.-31.12.2027.</w:t>
            </w:r>
          </w:p>
        </w:tc>
        <w:tc>
          <w:tcPr>
            <w:tcW w:w="1559" w:type="dxa"/>
            <w:tcBorders>
              <w:top w:val="nil"/>
              <w:left w:val="nil"/>
              <w:bottom w:val="single" w:sz="4" w:space="0" w:color="auto"/>
              <w:right w:val="single" w:sz="4" w:space="0" w:color="auto"/>
            </w:tcBorders>
            <w:shd w:val="clear" w:color="000000" w:fill="FFFFFF"/>
            <w:hideMark/>
          </w:tcPr>
          <w:p w14:paraId="4F596C3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2,8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0,5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p>
        </w:tc>
        <w:tc>
          <w:tcPr>
            <w:tcW w:w="993" w:type="dxa"/>
            <w:tcBorders>
              <w:top w:val="nil"/>
              <w:left w:val="nil"/>
              <w:bottom w:val="single" w:sz="4" w:space="0" w:color="auto"/>
              <w:right w:val="single" w:sz="4" w:space="0" w:color="auto"/>
            </w:tcBorders>
            <w:shd w:val="clear" w:color="000000" w:fill="FFFFFF"/>
            <w:hideMark/>
          </w:tcPr>
          <w:p w14:paraId="34983BA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4F35B4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A5AD1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6926888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0651AA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0605933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13. Rīcība klimata jomā</w:t>
            </w:r>
          </w:p>
        </w:tc>
      </w:tr>
      <w:tr w:rsidR="00BF055E" w:rsidRPr="00BF055E" w14:paraId="1791FA13"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386F3C2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Atteikšanās no kūdras izmantošanas enerģētikā (Programma (TPTP)</w:t>
            </w:r>
            <w:r w:rsidRPr="00BF055E">
              <w:rPr>
                <w:rFonts w:eastAsia="Times New Roman" w:cs="Times New Roman"/>
                <w:sz w:val="18"/>
                <w:szCs w:val="18"/>
                <w:lang w:eastAsia="lv-LV"/>
              </w:rPr>
              <w:br/>
              <w:t>6.1.1.1. (1.k.; pārējās kārtas - AR elastības finansējumu rādītājos un finansēs))</w:t>
            </w:r>
          </w:p>
        </w:tc>
        <w:tc>
          <w:tcPr>
            <w:tcW w:w="2183" w:type="dxa"/>
            <w:tcBorders>
              <w:top w:val="nil"/>
              <w:left w:val="nil"/>
              <w:bottom w:val="single" w:sz="4" w:space="0" w:color="auto"/>
              <w:right w:val="single" w:sz="4" w:space="0" w:color="auto"/>
            </w:tcBorders>
            <w:shd w:val="clear" w:color="000000" w:fill="FFFFFF"/>
            <w:hideMark/>
          </w:tcPr>
          <w:p w14:paraId="1E635D6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zaļās pārejas veicināšanai, lai veiktu vēsturisko kūdras ieguves vietu izpēti, kūdras sadedzināšanas iekārtu enerģijas ieguvē apzināšanu un alternatīvu izpēti un uz iegūtās informācijas pamata veicinātu investīciju piesaisti vēsturisko kūdras ieguves vietu sanācijai un kūdras sadedzināšanas iekārtu nomaiņai pret cita </w:t>
            </w:r>
            <w:proofErr w:type="spellStart"/>
            <w:r w:rsidRPr="00BF055E">
              <w:rPr>
                <w:rFonts w:eastAsia="Times New Roman" w:cs="Times New Roman"/>
                <w:sz w:val="18"/>
                <w:szCs w:val="18"/>
                <w:lang w:eastAsia="lv-LV"/>
              </w:rPr>
              <w:t>atjaunīgā</w:t>
            </w:r>
            <w:proofErr w:type="spellEnd"/>
            <w:r w:rsidRPr="00BF055E">
              <w:rPr>
                <w:rFonts w:eastAsia="Times New Roman" w:cs="Times New Roman"/>
                <w:sz w:val="18"/>
                <w:szCs w:val="18"/>
                <w:lang w:eastAsia="lv-LV"/>
              </w:rPr>
              <w:t xml:space="preserve"> enerģijas resursa izmantošanas tehnoloģijām.</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sanēta (atjaunota) zeme vēsturiskajās kūdras ieguves vietās 12 100 ha platībā;</w:t>
            </w:r>
            <w:r w:rsidRPr="00BF055E">
              <w:rPr>
                <w:rFonts w:eastAsia="Times New Roman" w:cs="Times New Roman"/>
                <w:sz w:val="18"/>
                <w:szCs w:val="18"/>
                <w:lang w:eastAsia="lv-LV"/>
              </w:rPr>
              <w:br/>
              <w:t>2) kopējās aplēstās siltumnīcefekta gāzu emisijas -42 398 CO</w:t>
            </w:r>
            <w:r w:rsidRPr="00E733CA">
              <w:rPr>
                <w:rFonts w:eastAsia="Times New Roman" w:cs="Times New Roman"/>
                <w:sz w:val="18"/>
                <w:szCs w:val="18"/>
                <w:vertAlign w:val="subscript"/>
                <w:lang w:eastAsia="lv-LV"/>
              </w:rPr>
              <w:t>2</w:t>
            </w:r>
            <w:r w:rsidRPr="00BF055E">
              <w:rPr>
                <w:rFonts w:eastAsia="Times New Roman" w:cs="Times New Roman"/>
                <w:sz w:val="18"/>
                <w:szCs w:val="18"/>
                <w:lang w:eastAsia="lv-LV"/>
              </w:rPr>
              <w:t xml:space="preserve"> emisijas ekvivalenta t/gadā.</w:t>
            </w:r>
          </w:p>
        </w:tc>
        <w:tc>
          <w:tcPr>
            <w:tcW w:w="2835" w:type="dxa"/>
            <w:tcBorders>
              <w:top w:val="nil"/>
              <w:left w:val="nil"/>
              <w:bottom w:val="single" w:sz="4" w:space="0" w:color="auto"/>
              <w:right w:val="single" w:sz="4" w:space="0" w:color="auto"/>
            </w:tcBorders>
            <w:shd w:val="clear" w:color="000000" w:fill="FFFFFF"/>
            <w:hideMark/>
          </w:tcPr>
          <w:p w14:paraId="65037C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1) MK noteikumu apstiprināšana (09.07.2024.);</w:t>
            </w:r>
            <w:r w:rsidRPr="00BF055E">
              <w:rPr>
                <w:rFonts w:eastAsia="Times New Roman" w:cs="Times New Roman"/>
                <w:sz w:val="18"/>
                <w:szCs w:val="18"/>
                <w:lang w:eastAsia="lv-LV"/>
              </w:rPr>
              <w:br/>
              <w:t>2) projektu iesniegumu vērtēšanas kritēriju izņēmuma attiecībā uz vienoto kritēriju un vienoto izvēles kritēriju piemērošanu apstiprināšana ES fondu Uzraudzības komitejā (23.04.2024.);</w:t>
            </w:r>
            <w:r w:rsidRPr="00BF055E">
              <w:rPr>
                <w:rFonts w:eastAsia="Times New Roman" w:cs="Times New Roman"/>
                <w:sz w:val="18"/>
                <w:szCs w:val="18"/>
                <w:lang w:eastAsia="lv-LV"/>
              </w:rPr>
              <w:br/>
              <w:t>3) ierobežotas atlases uzsākšana (08.08.2024.);</w:t>
            </w:r>
            <w:r w:rsidRPr="00BF055E">
              <w:rPr>
                <w:rFonts w:eastAsia="Times New Roman" w:cs="Times New Roman"/>
                <w:sz w:val="18"/>
                <w:szCs w:val="18"/>
                <w:lang w:eastAsia="lv-LV"/>
              </w:rPr>
              <w:br/>
              <w:t>4) līguma slēgšana un projekta īstenošana.</w:t>
            </w:r>
            <w:r w:rsidRPr="00BF055E">
              <w:rPr>
                <w:rFonts w:eastAsia="Times New Roman" w:cs="Times New Roman"/>
                <w:sz w:val="18"/>
                <w:szCs w:val="18"/>
                <w:lang w:eastAsia="lv-LV"/>
              </w:rPr>
              <w:br/>
            </w:r>
            <w:r w:rsidRPr="00BF055E">
              <w:rPr>
                <w:rFonts w:eastAsia="Times New Roman" w:cs="Times New Roman"/>
                <w:sz w:val="18"/>
                <w:szCs w:val="18"/>
                <w:u w:val="single"/>
                <w:lang w:eastAsia="lv-LV"/>
              </w:rPr>
              <w:br/>
              <w:t>2.-4.kārtai:</w:t>
            </w:r>
            <w:r w:rsidRPr="00BF055E">
              <w:rPr>
                <w:rFonts w:eastAsia="Times New Roman" w:cs="Times New Roman"/>
                <w:sz w:val="18"/>
                <w:szCs w:val="18"/>
                <w:u w:val="single"/>
                <w:lang w:eastAsia="lv-LV"/>
              </w:rPr>
              <w:br/>
            </w:r>
            <w:r w:rsidRPr="00BF055E">
              <w:rPr>
                <w:rFonts w:eastAsia="Times New Roman" w:cs="Times New Roman"/>
                <w:sz w:val="18"/>
                <w:szCs w:val="18"/>
                <w:lang w:eastAsia="lv-LV"/>
              </w:rPr>
              <w:t>1) MK noteikumu izstrāde un saskaņošanas uzsākšana TAP katrai kārtai atsevišķi (2024.g. 3.ceturksnis- 2025.g. 3.ceturksnis);</w:t>
            </w:r>
            <w:r w:rsidRPr="00BF055E">
              <w:rPr>
                <w:rFonts w:eastAsia="Times New Roman" w:cs="Times New Roman"/>
                <w:sz w:val="18"/>
                <w:szCs w:val="18"/>
                <w:lang w:eastAsia="lv-LV"/>
              </w:rPr>
              <w:br/>
              <w:t>2) MK noteikumu apstiprināšana katrai kārtai atsevišķi (2024.g. 4.ceturksnis- 2025.g. 4. ceturksnis);</w:t>
            </w:r>
            <w:r w:rsidRPr="00BF055E">
              <w:rPr>
                <w:rFonts w:eastAsia="Times New Roman" w:cs="Times New Roman"/>
                <w:sz w:val="18"/>
                <w:szCs w:val="18"/>
                <w:lang w:eastAsia="lv-LV"/>
              </w:rPr>
              <w:br/>
              <w:t>3) projektu iesniegumu vērtēšanas kritēriju izskatīšana tematiskajā apakškomitejā katrai kārtai atsevišķi (2024.g. 3.ceturksnis - 2025.gada 3.ceturksnis);</w:t>
            </w:r>
            <w:r w:rsidRPr="00BF055E">
              <w:rPr>
                <w:rFonts w:eastAsia="Times New Roman" w:cs="Times New Roman"/>
                <w:sz w:val="18"/>
                <w:szCs w:val="18"/>
                <w:lang w:eastAsia="lv-LV"/>
              </w:rPr>
              <w:br/>
              <w:t>4) projektu iesniegumu vērtēšanas kritēriju apstiprināšana ES fondu Uzraudzības komitejā katrai kārtai atsevišķi (2024.g. 4.ceturksnis - 2025.g. 4.ceturksnis);</w:t>
            </w:r>
            <w:r w:rsidRPr="00BF055E">
              <w:rPr>
                <w:rFonts w:eastAsia="Times New Roman" w:cs="Times New Roman"/>
                <w:sz w:val="18"/>
                <w:szCs w:val="18"/>
                <w:lang w:eastAsia="lv-LV"/>
              </w:rPr>
              <w:br/>
              <w:t xml:space="preserve">5) atklātas vai ierobežotas atlases uzsākšana katrai kārtai atsevišķi (2025.g. 1.ceturksnis-2026.g. </w:t>
            </w:r>
            <w:r w:rsidRPr="00BF055E">
              <w:rPr>
                <w:rFonts w:eastAsia="Times New Roman" w:cs="Times New Roman"/>
                <w:sz w:val="18"/>
                <w:szCs w:val="18"/>
                <w:lang w:eastAsia="lv-LV"/>
              </w:rPr>
              <w:lastRenderedPageBreak/>
              <w:t>1.ceturksnis);</w:t>
            </w:r>
            <w:r w:rsidRPr="00BF055E">
              <w:rPr>
                <w:rFonts w:eastAsia="Times New Roman" w:cs="Times New Roman"/>
                <w:sz w:val="18"/>
                <w:szCs w:val="18"/>
                <w:lang w:eastAsia="lv-LV"/>
              </w:rPr>
              <w:br/>
              <w:t>6)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51D2080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lastRenderedPageBreak/>
              <w:t>1.kārtai:</w:t>
            </w:r>
            <w:r w:rsidRPr="00BF055E">
              <w:rPr>
                <w:rFonts w:eastAsia="Times New Roman" w:cs="Times New Roman"/>
                <w:sz w:val="18"/>
                <w:szCs w:val="18"/>
                <w:lang w:eastAsia="lv-LV"/>
              </w:rPr>
              <w:br/>
              <w:t>01.01.2024.-31.12.2026.</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2.-4.kārtai:</w:t>
            </w:r>
            <w:r w:rsidRPr="00BF055E">
              <w:rPr>
                <w:rFonts w:eastAsia="Times New Roman" w:cs="Times New Roman"/>
                <w:sz w:val="18"/>
                <w:szCs w:val="18"/>
                <w:lang w:eastAsia="lv-LV"/>
              </w:rPr>
              <w:br/>
              <w:t>01.01.2024.-31.12.2029.</w:t>
            </w:r>
          </w:p>
        </w:tc>
        <w:tc>
          <w:tcPr>
            <w:tcW w:w="1559" w:type="dxa"/>
            <w:tcBorders>
              <w:top w:val="nil"/>
              <w:left w:val="nil"/>
              <w:bottom w:val="single" w:sz="4" w:space="0" w:color="auto"/>
              <w:right w:val="single" w:sz="4" w:space="0" w:color="auto"/>
            </w:tcBorders>
            <w:shd w:val="clear" w:color="000000" w:fill="FFFFFF"/>
            <w:hideMark/>
          </w:tcPr>
          <w:p w14:paraId="0189F97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u w:val="single"/>
                <w:lang w:eastAsia="lv-LV"/>
              </w:rPr>
              <w:t>1.kārtai:</w:t>
            </w:r>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br/>
              <w:t xml:space="preserve">1,9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TPF; </w:t>
            </w:r>
            <w:r w:rsidRPr="00BF055E">
              <w:rPr>
                <w:rFonts w:eastAsia="Times New Roman" w:cs="Times New Roman"/>
                <w:sz w:val="18"/>
                <w:szCs w:val="18"/>
                <w:lang w:eastAsia="lv-LV"/>
              </w:rPr>
              <w:br/>
              <w:t xml:space="preserve">0,3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(valsts budžets)</w:t>
            </w:r>
            <w:r w:rsidRPr="00BF055E">
              <w:rPr>
                <w:rFonts w:eastAsia="Times New Roman" w:cs="Times New Roman"/>
                <w:sz w:val="18"/>
                <w:szCs w:val="18"/>
                <w:lang w:eastAsia="lv-LV"/>
              </w:rPr>
              <w:br/>
            </w:r>
            <w:r w:rsidRPr="00BF055E">
              <w:rPr>
                <w:rFonts w:eastAsia="Times New Roman" w:cs="Times New Roman"/>
                <w:sz w:val="18"/>
                <w:szCs w:val="18"/>
                <w:lang w:eastAsia="lv-LV"/>
              </w:rPr>
              <w:br/>
            </w:r>
            <w:r w:rsidRPr="00BF055E">
              <w:rPr>
                <w:rFonts w:eastAsia="Times New Roman" w:cs="Times New Roman"/>
                <w:sz w:val="18"/>
                <w:szCs w:val="18"/>
                <w:u w:val="single"/>
                <w:lang w:eastAsia="lv-LV"/>
              </w:rPr>
              <w:t>2.-4.kārtai:</w:t>
            </w:r>
            <w:r w:rsidRPr="00BF055E">
              <w:rPr>
                <w:rFonts w:eastAsia="Times New Roman" w:cs="Times New Roman"/>
                <w:sz w:val="18"/>
                <w:szCs w:val="18"/>
                <w:lang w:eastAsia="lv-LV"/>
              </w:rPr>
              <w:br/>
              <w:t xml:space="preserve">47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TPF (t.sk. 3,6 milj. elastības finansējums); </w:t>
            </w:r>
            <w:r w:rsidRPr="00BF055E">
              <w:rPr>
                <w:rFonts w:eastAsia="Times New Roman" w:cs="Times New Roman"/>
                <w:sz w:val="18"/>
                <w:szCs w:val="18"/>
                <w:lang w:eastAsia="lv-LV"/>
              </w:rPr>
              <w:br/>
              <w:t xml:space="preserve">8,3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(t.sk. 0,6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elastības finansējums) </w:t>
            </w:r>
          </w:p>
        </w:tc>
        <w:tc>
          <w:tcPr>
            <w:tcW w:w="993" w:type="dxa"/>
            <w:tcBorders>
              <w:top w:val="nil"/>
              <w:left w:val="nil"/>
              <w:bottom w:val="single" w:sz="4" w:space="0" w:color="auto"/>
              <w:right w:val="single" w:sz="4" w:space="0" w:color="auto"/>
            </w:tcBorders>
            <w:shd w:val="clear" w:color="000000" w:fill="FFFFFF"/>
            <w:hideMark/>
          </w:tcPr>
          <w:p w14:paraId="253306D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3199648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 (JTF)</w:t>
            </w:r>
          </w:p>
        </w:tc>
        <w:tc>
          <w:tcPr>
            <w:tcW w:w="851" w:type="dxa"/>
            <w:tcBorders>
              <w:top w:val="nil"/>
              <w:left w:val="nil"/>
              <w:bottom w:val="single" w:sz="4" w:space="0" w:color="auto"/>
              <w:right w:val="single" w:sz="4" w:space="0" w:color="auto"/>
            </w:tcBorders>
            <w:shd w:val="clear" w:color="000000" w:fill="FFFFFF"/>
            <w:hideMark/>
          </w:tcPr>
          <w:p w14:paraId="64B37E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5512882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42FEB7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0E11FE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11. Ilgtspējīgas pilsētas un kopienas; 13. Rīcība klimata jomā</w:t>
            </w:r>
          </w:p>
        </w:tc>
      </w:tr>
      <w:tr w:rsidR="00BF055E" w:rsidRPr="00BF055E" w14:paraId="1DA012CA"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563368D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IKT risinājumu un pakalpojumu attīstība un iespēju radīšana privātajam sektoram (Programma 1.3.1.1. (bez elastības finansējuma rādītājos un finansēs))</w:t>
            </w:r>
          </w:p>
        </w:tc>
        <w:tc>
          <w:tcPr>
            <w:tcW w:w="2183" w:type="dxa"/>
            <w:tcBorders>
              <w:top w:val="nil"/>
              <w:left w:val="nil"/>
              <w:bottom w:val="single" w:sz="4" w:space="0" w:color="auto"/>
              <w:right w:val="single" w:sz="4" w:space="0" w:color="auto"/>
            </w:tcBorders>
            <w:shd w:val="clear" w:color="auto" w:fill="auto"/>
            <w:hideMark/>
          </w:tcPr>
          <w:p w14:paraId="0D4AEE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digitālās pārkārtošanas veicināšanai, lai attīstītu valsts informācijas un komunikācijas tehnoloģiju risinājumus un pakalpojumus un veicinātu privātā sektora </w:t>
            </w:r>
            <w:proofErr w:type="spellStart"/>
            <w:r w:rsidRPr="00BF055E">
              <w:rPr>
                <w:rFonts w:eastAsia="Times New Roman" w:cs="Times New Roman"/>
                <w:sz w:val="18"/>
                <w:szCs w:val="18"/>
                <w:lang w:eastAsia="lv-LV"/>
              </w:rPr>
              <w:t>digitalizāciju</w:t>
            </w:r>
            <w:proofErr w:type="spellEnd"/>
            <w:r w:rsidRPr="00BF055E">
              <w:rPr>
                <w:rFonts w:eastAsia="Times New Roman" w:cs="Times New Roman"/>
                <w:sz w:val="18"/>
                <w:szCs w:val="18"/>
                <w:lang w:eastAsia="lv-LV"/>
              </w:rPr>
              <w:t xml:space="preserve"> un jaunu pakalpojumu veidošanu.</w:t>
            </w:r>
            <w:r w:rsidRPr="00BF055E">
              <w:rPr>
                <w:rFonts w:eastAsia="Times New Roman" w:cs="Times New Roman"/>
                <w:sz w:val="18"/>
                <w:szCs w:val="18"/>
                <w:lang w:eastAsia="lv-LV"/>
              </w:rPr>
              <w:br/>
              <w:t xml:space="preserve">Sasniedzamie rezultāti: </w:t>
            </w:r>
            <w:r w:rsidRPr="00BF055E">
              <w:rPr>
                <w:rFonts w:eastAsia="Times New Roman" w:cs="Times New Roman"/>
                <w:sz w:val="18"/>
                <w:szCs w:val="18"/>
                <w:lang w:eastAsia="lv-LV"/>
              </w:rPr>
              <w:br/>
              <w:t xml:space="preserve">1) uzņēmumiem izstrādāto digitālo pakalpojumu, produktu un procesu vērtība - 73 591 656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r w:rsidRPr="00BF055E">
              <w:rPr>
                <w:rFonts w:eastAsia="Times New Roman" w:cs="Times New Roman"/>
                <w:sz w:val="18"/>
                <w:szCs w:val="18"/>
                <w:lang w:eastAsia="lv-LV"/>
              </w:rPr>
              <w:br/>
              <w:t>2) vismaz 17 publiskā sektora iestādes, kas atbalstītas digitālo pakalpojumu, produktu un procesu izstrādei;</w:t>
            </w:r>
            <w:r w:rsidRPr="00BF055E">
              <w:rPr>
                <w:rFonts w:eastAsia="Times New Roman" w:cs="Times New Roman"/>
                <w:sz w:val="18"/>
                <w:szCs w:val="18"/>
                <w:lang w:eastAsia="lv-LV"/>
              </w:rPr>
              <w:br/>
              <w:t xml:space="preserve">3) vismaz 769 lietotāji (saimnieciskās darbības veicēji, iestādes), kuri ir transformējuši savus procesus, balstoties uz </w:t>
            </w:r>
            <w:proofErr w:type="spellStart"/>
            <w:r w:rsidRPr="00BF055E">
              <w:rPr>
                <w:rFonts w:eastAsia="Times New Roman" w:cs="Times New Roman"/>
                <w:sz w:val="18"/>
                <w:szCs w:val="18"/>
                <w:lang w:eastAsia="lv-LV"/>
              </w:rPr>
              <w:t>digitalizētajiem</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sz w:val="18"/>
                <w:szCs w:val="18"/>
                <w:lang w:eastAsia="lv-LV"/>
              </w:rPr>
              <w:t>jaunizveidotajiem</w:t>
            </w:r>
            <w:proofErr w:type="spellEnd"/>
            <w:r w:rsidRPr="00BF055E">
              <w:rPr>
                <w:rFonts w:eastAsia="Times New Roman" w:cs="Times New Roman"/>
                <w:sz w:val="18"/>
                <w:szCs w:val="18"/>
                <w:lang w:eastAsia="lv-LV"/>
              </w:rPr>
              <w:t xml:space="preserve"> vai ievērojami uzlabotajiem valsts digitālajiem procesiem, tai skaitā lietotāji kā datu izmantotāji un datu devēji, lietotāji, kuri ir attīstījuši savus digitālos produktus, balstoties uz valsts </w:t>
            </w:r>
            <w:r w:rsidRPr="00BF055E">
              <w:rPr>
                <w:rFonts w:eastAsia="Times New Roman" w:cs="Times New Roman"/>
                <w:sz w:val="18"/>
                <w:szCs w:val="18"/>
                <w:lang w:eastAsia="lv-LV"/>
              </w:rPr>
              <w:lastRenderedPageBreak/>
              <w:t>pārvaldes risinājumiem vai integrējoties ar valsts platformām un informācijas sistēmām.</w:t>
            </w:r>
          </w:p>
        </w:tc>
        <w:tc>
          <w:tcPr>
            <w:tcW w:w="2835" w:type="dxa"/>
            <w:tcBorders>
              <w:top w:val="nil"/>
              <w:left w:val="nil"/>
              <w:bottom w:val="single" w:sz="4" w:space="0" w:color="auto"/>
              <w:right w:val="single" w:sz="4" w:space="0" w:color="auto"/>
            </w:tcBorders>
            <w:shd w:val="clear" w:color="000000" w:fill="FFFFFF"/>
            <w:hideMark/>
          </w:tcPr>
          <w:p w14:paraId="0EB82CB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(04.06.2024.);</w:t>
            </w:r>
            <w:r w:rsidRPr="00BF055E">
              <w:rPr>
                <w:rFonts w:eastAsia="Times New Roman" w:cs="Times New Roman"/>
                <w:sz w:val="18"/>
                <w:szCs w:val="18"/>
                <w:lang w:eastAsia="lv-LV"/>
              </w:rPr>
              <w:br/>
              <w:t>2) projektu iesniegumu vērtēšanas kritēriju apstiprināšana ES fondu Uzraudzības komitejā (09.02.2024.);</w:t>
            </w:r>
            <w:r w:rsidRPr="00BF055E">
              <w:rPr>
                <w:rFonts w:eastAsia="Times New Roman" w:cs="Times New Roman"/>
                <w:sz w:val="18"/>
                <w:szCs w:val="18"/>
                <w:lang w:eastAsia="lv-LV"/>
              </w:rPr>
              <w:br/>
              <w:t xml:space="preserve">3) projektu </w:t>
            </w:r>
            <w:proofErr w:type="spellStart"/>
            <w:r w:rsidRPr="00BF055E">
              <w:rPr>
                <w:rFonts w:eastAsia="Times New Roman" w:cs="Times New Roman"/>
                <w:sz w:val="18"/>
                <w:szCs w:val="18"/>
                <w:lang w:eastAsia="lv-LV"/>
              </w:rPr>
              <w:t>priekšatlases</w:t>
            </w:r>
            <w:proofErr w:type="spellEnd"/>
            <w:r w:rsidRPr="00BF055E">
              <w:rPr>
                <w:rFonts w:eastAsia="Times New Roman" w:cs="Times New Roman"/>
                <w:sz w:val="18"/>
                <w:szCs w:val="18"/>
                <w:lang w:eastAsia="lv-LV"/>
              </w:rPr>
              <w:t xml:space="preserve"> uzsākšana (23.02.2024.);</w:t>
            </w:r>
            <w:r w:rsidRPr="00BF055E">
              <w:rPr>
                <w:rFonts w:eastAsia="Times New Roman" w:cs="Times New Roman"/>
                <w:sz w:val="18"/>
                <w:szCs w:val="18"/>
                <w:lang w:eastAsia="lv-LV"/>
              </w:rPr>
              <w:br/>
              <w:t>4) ierobežotas atlases uzsākšana (pēc tam, kad MK būs apstiprināts pirmais MK rīkojums par projektu īstenošanu, 2024.g. 4.ceturksnis);</w:t>
            </w:r>
            <w:r w:rsidRPr="00BF055E">
              <w:rPr>
                <w:rFonts w:eastAsia="Times New Roman" w:cs="Times New Roman"/>
                <w:sz w:val="18"/>
                <w:szCs w:val="18"/>
                <w:lang w:eastAsia="lv-LV"/>
              </w:rPr>
              <w:br/>
              <w:t>5)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4A98B7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01.01.2024.-31.12.2029.</w:t>
            </w:r>
          </w:p>
        </w:tc>
        <w:tc>
          <w:tcPr>
            <w:tcW w:w="1559" w:type="dxa"/>
            <w:tcBorders>
              <w:top w:val="nil"/>
              <w:left w:val="nil"/>
              <w:bottom w:val="single" w:sz="4" w:space="0" w:color="auto"/>
              <w:right w:val="single" w:sz="4" w:space="0" w:color="auto"/>
            </w:tcBorders>
            <w:shd w:val="clear" w:color="000000" w:fill="FFFFFF"/>
            <w:hideMark/>
          </w:tcPr>
          <w:p w14:paraId="5FD32A8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125,1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22,1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(valsts budžets, pašvaldību budžets, privātais finansējums)</w:t>
            </w:r>
          </w:p>
        </w:tc>
        <w:tc>
          <w:tcPr>
            <w:tcW w:w="993" w:type="dxa"/>
            <w:tcBorders>
              <w:top w:val="nil"/>
              <w:left w:val="nil"/>
              <w:bottom w:val="single" w:sz="4" w:space="0" w:color="auto"/>
              <w:right w:val="single" w:sz="4" w:space="0" w:color="auto"/>
            </w:tcBorders>
            <w:shd w:val="clear" w:color="000000" w:fill="FFFFFF"/>
            <w:hideMark/>
          </w:tcPr>
          <w:p w14:paraId="431427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774425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0C596B9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2019(3); 2020(3); 2021(1); 2023(1); 2024(3)</w:t>
            </w:r>
          </w:p>
        </w:tc>
        <w:tc>
          <w:tcPr>
            <w:tcW w:w="992" w:type="dxa"/>
            <w:tcBorders>
              <w:top w:val="nil"/>
              <w:left w:val="nil"/>
              <w:bottom w:val="single" w:sz="4" w:space="0" w:color="auto"/>
              <w:right w:val="single" w:sz="4" w:space="0" w:color="auto"/>
            </w:tcBorders>
            <w:shd w:val="clear" w:color="000000" w:fill="FFFFFF"/>
            <w:hideMark/>
          </w:tcPr>
          <w:p w14:paraId="5D81A31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515BD4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AF7C0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16. Miers, taisnīgums, laba pārvaldība</w:t>
            </w:r>
          </w:p>
        </w:tc>
      </w:tr>
      <w:tr w:rsidR="00BF055E" w:rsidRPr="00BF055E" w14:paraId="453D05B5"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20FD9CA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Publiskās </w:t>
            </w:r>
            <w:proofErr w:type="spellStart"/>
            <w:r w:rsidRPr="00BF055E">
              <w:rPr>
                <w:rFonts w:eastAsia="Times New Roman" w:cs="Times New Roman"/>
                <w:sz w:val="18"/>
                <w:szCs w:val="18"/>
                <w:lang w:eastAsia="lv-LV"/>
              </w:rPr>
              <w:t>ārtelpas</w:t>
            </w:r>
            <w:proofErr w:type="spellEnd"/>
            <w:r w:rsidRPr="00BF055E">
              <w:rPr>
                <w:rFonts w:eastAsia="Times New Roman" w:cs="Times New Roman"/>
                <w:sz w:val="18"/>
                <w:szCs w:val="18"/>
                <w:lang w:eastAsia="lv-LV"/>
              </w:rPr>
              <w:t xml:space="preserve"> attīstība (Programma</w:t>
            </w:r>
            <w:r w:rsidRPr="00BF055E">
              <w:rPr>
                <w:rFonts w:eastAsia="Times New Roman" w:cs="Times New Roman"/>
                <w:sz w:val="18"/>
                <w:szCs w:val="18"/>
                <w:lang w:eastAsia="lv-LV"/>
              </w:rPr>
              <w:br/>
              <w:t>5.1.1.3.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3C6ED71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publiskās </w:t>
            </w:r>
            <w:proofErr w:type="spellStart"/>
            <w:r w:rsidRPr="00BF055E">
              <w:rPr>
                <w:rFonts w:eastAsia="Times New Roman" w:cs="Times New Roman"/>
                <w:sz w:val="18"/>
                <w:szCs w:val="18"/>
                <w:lang w:eastAsia="lv-LV"/>
              </w:rPr>
              <w:t>ārtelpas</w:t>
            </w:r>
            <w:proofErr w:type="spellEnd"/>
            <w:r w:rsidRPr="00BF055E">
              <w:rPr>
                <w:rFonts w:eastAsia="Times New Roman" w:cs="Times New Roman"/>
                <w:sz w:val="18"/>
                <w:szCs w:val="18"/>
                <w:lang w:eastAsia="lv-LV"/>
              </w:rPr>
              <w:t xml:space="preserve"> attīstīšanai pilsētu funkcionālajās teritorijās, lai uzlabotu dzīves vides kvalitāti un palielinātu sabiedrības drošību.</w:t>
            </w:r>
            <w:r w:rsidRPr="00BF055E">
              <w:rPr>
                <w:rFonts w:eastAsia="Times New Roman" w:cs="Times New Roman"/>
                <w:sz w:val="18"/>
                <w:szCs w:val="18"/>
                <w:lang w:eastAsia="lv-LV"/>
              </w:rPr>
              <w:br/>
              <w:t xml:space="preserve">Sasniedzamais rezultāts: </w:t>
            </w:r>
            <w:proofErr w:type="spellStart"/>
            <w:r w:rsidRPr="00BF055E">
              <w:rPr>
                <w:rFonts w:eastAsia="Times New Roman" w:cs="Times New Roman"/>
                <w:sz w:val="18"/>
                <w:szCs w:val="18"/>
                <w:lang w:eastAsia="lv-LV"/>
              </w:rPr>
              <w:t>jaunizveidotas</w:t>
            </w:r>
            <w:proofErr w:type="spellEnd"/>
            <w:r w:rsidRPr="00BF055E">
              <w:rPr>
                <w:rFonts w:eastAsia="Times New Roman" w:cs="Times New Roman"/>
                <w:sz w:val="18"/>
                <w:szCs w:val="18"/>
                <w:lang w:eastAsia="lv-LV"/>
              </w:rPr>
              <w:t xml:space="preserve"> vai atjaunotas atvērtās zonas (publiskas teritorijas) pilsētvidē vismaz 132 944 m</w:t>
            </w:r>
            <w:r w:rsidRPr="00BF055E">
              <w:rPr>
                <w:rFonts w:eastAsia="Times New Roman" w:cs="Times New Roman"/>
                <w:sz w:val="18"/>
                <w:szCs w:val="18"/>
                <w:vertAlign w:val="superscript"/>
                <w:lang w:eastAsia="lv-LV"/>
              </w:rPr>
              <w:t>2</w:t>
            </w:r>
            <w:r w:rsidRPr="00BF055E">
              <w:rPr>
                <w:rFonts w:eastAsia="Times New Roman" w:cs="Times New Roman"/>
                <w:sz w:val="18"/>
                <w:szCs w:val="18"/>
                <w:lang w:eastAsia="lv-LV"/>
              </w:rPr>
              <w:t xml:space="preserve"> platībā.</w:t>
            </w:r>
          </w:p>
        </w:tc>
        <w:tc>
          <w:tcPr>
            <w:tcW w:w="2835" w:type="dxa"/>
            <w:tcBorders>
              <w:top w:val="nil"/>
              <w:left w:val="nil"/>
              <w:bottom w:val="single" w:sz="4" w:space="0" w:color="auto"/>
              <w:right w:val="single" w:sz="4" w:space="0" w:color="auto"/>
            </w:tcBorders>
            <w:shd w:val="clear" w:color="000000" w:fill="FFFFFF"/>
            <w:hideMark/>
          </w:tcPr>
          <w:p w14:paraId="033F020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(06.06.2023.);</w:t>
            </w:r>
            <w:r w:rsidRPr="00BF055E">
              <w:rPr>
                <w:rFonts w:eastAsia="Times New Roman" w:cs="Times New Roman"/>
                <w:sz w:val="18"/>
                <w:szCs w:val="18"/>
                <w:lang w:eastAsia="lv-LV"/>
              </w:rPr>
              <w:br/>
              <w:t>2) projektu iesniegumu vērtēšanas kritēriju apstiprināšana ES fondu Uzraudzības komitejā (11.04.2023.);</w:t>
            </w:r>
            <w:r w:rsidRPr="00BF055E">
              <w:rPr>
                <w:rFonts w:eastAsia="Times New Roman" w:cs="Times New Roman"/>
                <w:sz w:val="18"/>
                <w:szCs w:val="18"/>
                <w:lang w:eastAsia="lv-LV"/>
              </w:rPr>
              <w:br/>
              <w:t>3) atklātas atlases uzsākšana (25.07.2023.);</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233C6FA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01.01.2021.-31.12.2026.</w:t>
            </w:r>
          </w:p>
        </w:tc>
        <w:tc>
          <w:tcPr>
            <w:tcW w:w="1559" w:type="dxa"/>
            <w:tcBorders>
              <w:top w:val="nil"/>
              <w:left w:val="nil"/>
              <w:bottom w:val="single" w:sz="4" w:space="0" w:color="auto"/>
              <w:right w:val="single" w:sz="4" w:space="0" w:color="auto"/>
            </w:tcBorders>
            <w:shd w:val="clear" w:color="000000" w:fill="FFFFFF"/>
            <w:hideMark/>
          </w:tcPr>
          <w:p w14:paraId="60940F3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26,7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w:t>
            </w:r>
            <w:r w:rsidRPr="00BF055E">
              <w:rPr>
                <w:rFonts w:eastAsia="Times New Roman" w:cs="Times New Roman"/>
                <w:sz w:val="18"/>
                <w:szCs w:val="18"/>
                <w:lang w:eastAsia="lv-LV"/>
              </w:rPr>
              <w:br/>
              <w:t xml:space="preserve">4,7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w:t>
            </w:r>
          </w:p>
        </w:tc>
        <w:tc>
          <w:tcPr>
            <w:tcW w:w="993" w:type="dxa"/>
            <w:tcBorders>
              <w:top w:val="nil"/>
              <w:left w:val="nil"/>
              <w:bottom w:val="single" w:sz="4" w:space="0" w:color="auto"/>
              <w:right w:val="single" w:sz="4" w:space="0" w:color="auto"/>
            </w:tcBorders>
            <w:shd w:val="clear" w:color="000000" w:fill="FFFFFF"/>
            <w:hideMark/>
          </w:tcPr>
          <w:p w14:paraId="2B19A9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VARAM/CFLA/pašvaldības</w:t>
            </w:r>
          </w:p>
        </w:tc>
        <w:tc>
          <w:tcPr>
            <w:tcW w:w="850" w:type="dxa"/>
            <w:tcBorders>
              <w:top w:val="nil"/>
              <w:left w:val="nil"/>
              <w:bottom w:val="single" w:sz="4" w:space="0" w:color="auto"/>
              <w:right w:val="single" w:sz="4" w:space="0" w:color="auto"/>
            </w:tcBorders>
            <w:shd w:val="clear" w:color="000000" w:fill="FFFFFF"/>
            <w:hideMark/>
          </w:tcPr>
          <w:p w14:paraId="12883D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0F9F277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92" w:type="dxa"/>
            <w:tcBorders>
              <w:top w:val="nil"/>
              <w:left w:val="nil"/>
              <w:bottom w:val="single" w:sz="4" w:space="0" w:color="auto"/>
              <w:right w:val="single" w:sz="4" w:space="0" w:color="auto"/>
            </w:tcBorders>
            <w:shd w:val="clear" w:color="000000" w:fill="FFFFFF"/>
            <w:hideMark/>
          </w:tcPr>
          <w:p w14:paraId="67B8A9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324AE3E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7E16A1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w:t>
            </w:r>
          </w:p>
        </w:tc>
      </w:tr>
      <w:tr w:rsidR="00BF055E" w:rsidRPr="00BF055E" w14:paraId="301F6C6D"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5110C28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Viedās pašvaldības (Programma</w:t>
            </w:r>
            <w:r w:rsidRPr="00BF055E">
              <w:rPr>
                <w:rFonts w:eastAsia="Times New Roman" w:cs="Times New Roman"/>
                <w:sz w:val="18"/>
                <w:szCs w:val="18"/>
                <w:lang w:eastAsia="lv-LV"/>
              </w:rPr>
              <w:br/>
              <w:t>5.1.1.4. (elastības finansējums nav plānots))</w:t>
            </w:r>
          </w:p>
        </w:tc>
        <w:tc>
          <w:tcPr>
            <w:tcW w:w="2183" w:type="dxa"/>
            <w:tcBorders>
              <w:top w:val="nil"/>
              <w:left w:val="nil"/>
              <w:bottom w:val="single" w:sz="4" w:space="0" w:color="auto"/>
              <w:right w:val="single" w:sz="4" w:space="0" w:color="auto"/>
            </w:tcBorders>
            <w:shd w:val="clear" w:color="auto" w:fill="auto"/>
            <w:hideMark/>
          </w:tcPr>
          <w:p w14:paraId="0B0288D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viedo pašvaldību attīstības veicināšanā, ieviešot viedus risinājumus pašvaldību autonomo funkciju un no tām izrietošu pārvaldes uzdevumu izpildes nodrošināšanā.</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plānošanas reģionos attīstīti vismaz pieci viedi risinājumi pašvaldības funkciju īstenošanā un pašvaldības pakalpojumu nodrošināšanā;</w:t>
            </w:r>
            <w:r w:rsidRPr="00BF055E">
              <w:rPr>
                <w:rFonts w:eastAsia="Times New Roman" w:cs="Times New Roman"/>
                <w:sz w:val="18"/>
                <w:szCs w:val="18"/>
                <w:lang w:eastAsia="lv-LV"/>
              </w:rPr>
              <w:br/>
              <w:t xml:space="preserve">2) vismaz piecās pašvaldībās par vismaz 10 procentiem samazinātas finansējuma saņēmēja </w:t>
            </w:r>
            <w:r w:rsidRPr="00BF055E">
              <w:rPr>
                <w:rFonts w:eastAsia="Times New Roman" w:cs="Times New Roman"/>
                <w:sz w:val="18"/>
                <w:szCs w:val="18"/>
                <w:lang w:eastAsia="lv-LV"/>
              </w:rPr>
              <w:lastRenderedPageBreak/>
              <w:t>pakalpojuma izmaksas uz vienu klientu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vai enerģijas patēriņš (megavatstundās), vai laika patēriņš (stundās).</w:t>
            </w:r>
          </w:p>
        </w:tc>
        <w:tc>
          <w:tcPr>
            <w:tcW w:w="2835" w:type="dxa"/>
            <w:tcBorders>
              <w:top w:val="nil"/>
              <w:left w:val="nil"/>
              <w:bottom w:val="single" w:sz="4" w:space="0" w:color="auto"/>
              <w:right w:val="single" w:sz="4" w:space="0" w:color="auto"/>
            </w:tcBorders>
            <w:shd w:val="clear" w:color="000000" w:fill="FFFFFF"/>
            <w:hideMark/>
          </w:tcPr>
          <w:p w14:paraId="7B492A0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(27.06.2023.);</w:t>
            </w:r>
            <w:r w:rsidRPr="00BF055E">
              <w:rPr>
                <w:rFonts w:eastAsia="Times New Roman" w:cs="Times New Roman"/>
                <w:sz w:val="18"/>
                <w:szCs w:val="18"/>
                <w:lang w:eastAsia="lv-LV"/>
              </w:rPr>
              <w:br/>
              <w:t>2) projektu iesniegumu vērtēšanas kritēriju apstiprināšana ES fondu Uzraudzības komitejā (11.04.2023.);</w:t>
            </w:r>
            <w:r w:rsidRPr="00BF055E">
              <w:rPr>
                <w:rFonts w:eastAsia="Times New Roman" w:cs="Times New Roman"/>
                <w:sz w:val="18"/>
                <w:szCs w:val="18"/>
                <w:lang w:eastAsia="lv-LV"/>
              </w:rPr>
              <w:br/>
              <w:t>3) ierobežotas atlases uzsākšana (08.07.2024.);</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40DE1AA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01.01.2021.-31.12.2029.</w:t>
            </w:r>
          </w:p>
        </w:tc>
        <w:tc>
          <w:tcPr>
            <w:tcW w:w="1559" w:type="dxa"/>
            <w:tcBorders>
              <w:top w:val="nil"/>
              <w:left w:val="nil"/>
              <w:bottom w:val="single" w:sz="4" w:space="0" w:color="auto"/>
              <w:right w:val="single" w:sz="4" w:space="0" w:color="auto"/>
            </w:tcBorders>
            <w:shd w:val="clear" w:color="000000" w:fill="FFFFFF"/>
            <w:hideMark/>
          </w:tcPr>
          <w:p w14:paraId="23B200F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15,5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2,7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w:t>
            </w:r>
          </w:p>
        </w:tc>
        <w:tc>
          <w:tcPr>
            <w:tcW w:w="993" w:type="dxa"/>
            <w:tcBorders>
              <w:top w:val="nil"/>
              <w:left w:val="nil"/>
              <w:bottom w:val="single" w:sz="4" w:space="0" w:color="auto"/>
              <w:right w:val="single" w:sz="4" w:space="0" w:color="auto"/>
            </w:tcBorders>
            <w:shd w:val="clear" w:color="000000" w:fill="FFFFFF"/>
            <w:hideMark/>
          </w:tcPr>
          <w:p w14:paraId="7EDAE9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VARAM/CFLA/pašvaldības</w:t>
            </w:r>
          </w:p>
        </w:tc>
        <w:tc>
          <w:tcPr>
            <w:tcW w:w="850" w:type="dxa"/>
            <w:tcBorders>
              <w:top w:val="nil"/>
              <w:left w:val="nil"/>
              <w:bottom w:val="single" w:sz="4" w:space="0" w:color="auto"/>
              <w:right w:val="single" w:sz="4" w:space="0" w:color="auto"/>
            </w:tcBorders>
            <w:shd w:val="clear" w:color="000000" w:fill="FFFFFF"/>
            <w:hideMark/>
          </w:tcPr>
          <w:p w14:paraId="2F4940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2838C0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w:t>
            </w:r>
          </w:p>
        </w:tc>
        <w:tc>
          <w:tcPr>
            <w:tcW w:w="992" w:type="dxa"/>
            <w:tcBorders>
              <w:top w:val="nil"/>
              <w:left w:val="nil"/>
              <w:bottom w:val="single" w:sz="4" w:space="0" w:color="auto"/>
              <w:right w:val="single" w:sz="4" w:space="0" w:color="auto"/>
            </w:tcBorders>
            <w:shd w:val="clear" w:color="000000" w:fill="FFFFFF"/>
            <w:hideMark/>
          </w:tcPr>
          <w:p w14:paraId="24345B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07AFA77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78B76EB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11. Ilgtspējīgas pilsētas un kopienas; 16. Miers, taisnīgums, laba pārvaldība</w:t>
            </w:r>
          </w:p>
        </w:tc>
      </w:tr>
      <w:tr w:rsidR="00BF055E" w:rsidRPr="00BF055E" w14:paraId="30BD4DFD"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408F548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Atbalsts uzņēmējdarbībai nepieciešamās publiskās infrastruktūras attīstībai, veicinot pāreju uz </w:t>
            </w:r>
            <w:proofErr w:type="spellStart"/>
            <w:r w:rsidRPr="00BF055E">
              <w:rPr>
                <w:rFonts w:eastAsia="Times New Roman" w:cs="Times New Roman"/>
                <w:sz w:val="18"/>
                <w:szCs w:val="18"/>
                <w:lang w:eastAsia="lv-LV"/>
              </w:rPr>
              <w:t>klimatneitrālu</w:t>
            </w:r>
            <w:proofErr w:type="spellEnd"/>
            <w:r w:rsidRPr="00BF055E">
              <w:rPr>
                <w:rFonts w:eastAsia="Times New Roman" w:cs="Times New Roman"/>
                <w:sz w:val="18"/>
                <w:szCs w:val="18"/>
                <w:lang w:eastAsia="lv-LV"/>
              </w:rPr>
              <w:t xml:space="preserve"> ekonomiku (Programma (TPTP)</w:t>
            </w:r>
            <w:r w:rsidRPr="00BF055E">
              <w:rPr>
                <w:rFonts w:eastAsia="Times New Roman" w:cs="Times New Roman"/>
                <w:sz w:val="18"/>
                <w:szCs w:val="18"/>
                <w:lang w:eastAsia="lv-LV"/>
              </w:rPr>
              <w:br/>
              <w:t>6.1.1.3. (bez elastības finansējuma rādītājos un finansēs))</w:t>
            </w:r>
          </w:p>
        </w:tc>
        <w:tc>
          <w:tcPr>
            <w:tcW w:w="2183" w:type="dxa"/>
            <w:tcBorders>
              <w:top w:val="nil"/>
              <w:left w:val="nil"/>
              <w:bottom w:val="single" w:sz="4" w:space="0" w:color="auto"/>
              <w:right w:val="single" w:sz="4" w:space="0" w:color="auto"/>
            </w:tcBorders>
            <w:shd w:val="clear" w:color="auto" w:fill="auto"/>
            <w:hideMark/>
          </w:tcPr>
          <w:p w14:paraId="55A9E0E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uzņēmējdarbības publiskās infrastruktūras attīstības veicināšanai, mazinot negatīvas sociālekonomiskās sekas reģionos, kurus pāreja uz </w:t>
            </w:r>
            <w:proofErr w:type="spellStart"/>
            <w:r w:rsidRPr="00BF055E">
              <w:rPr>
                <w:rFonts w:eastAsia="Times New Roman" w:cs="Times New Roman"/>
                <w:sz w:val="18"/>
                <w:szCs w:val="18"/>
                <w:lang w:eastAsia="lv-LV"/>
              </w:rPr>
              <w:t>klimatneitrālu</w:t>
            </w:r>
            <w:proofErr w:type="spellEnd"/>
            <w:r w:rsidRPr="00BF055E">
              <w:rPr>
                <w:rFonts w:eastAsia="Times New Roman" w:cs="Times New Roman"/>
                <w:sz w:val="18"/>
                <w:szCs w:val="18"/>
                <w:lang w:eastAsia="lv-LV"/>
              </w:rPr>
              <w:t xml:space="preserve"> ekonomiku ietekmējusi visvairāk.</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23 komersanti, kas gūst labumu no attīstītās publiskās infrastruktūras;</w:t>
            </w:r>
            <w:r w:rsidRPr="00BF055E">
              <w:rPr>
                <w:rFonts w:eastAsia="Times New Roman" w:cs="Times New Roman"/>
                <w:sz w:val="18"/>
                <w:szCs w:val="18"/>
                <w:lang w:eastAsia="lv-LV"/>
              </w:rPr>
              <w:br/>
              <w:t>2) to komersantu izveidotas 394 darbavietas, kuri guvuši labumu no attīstītās publiskās infrastruktūras;</w:t>
            </w:r>
            <w:r w:rsidRPr="00BF055E">
              <w:rPr>
                <w:rFonts w:eastAsia="Times New Roman" w:cs="Times New Roman"/>
                <w:sz w:val="18"/>
                <w:szCs w:val="18"/>
                <w:lang w:eastAsia="lv-LV"/>
              </w:rPr>
              <w:br/>
              <w:t xml:space="preserve">3) 30 695 395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privātās </w:t>
            </w:r>
            <w:proofErr w:type="spellStart"/>
            <w:r w:rsidRPr="00BF055E">
              <w:rPr>
                <w:rFonts w:eastAsia="Times New Roman" w:cs="Times New Roman"/>
                <w:sz w:val="18"/>
                <w:szCs w:val="18"/>
                <w:lang w:eastAsia="lv-LV"/>
              </w:rPr>
              <w:t>nefinanšu</w:t>
            </w:r>
            <w:proofErr w:type="spellEnd"/>
            <w:r w:rsidRPr="00BF055E">
              <w:rPr>
                <w:rFonts w:eastAsia="Times New Roman" w:cs="Times New Roman"/>
                <w:sz w:val="18"/>
                <w:szCs w:val="18"/>
                <w:lang w:eastAsia="lv-LV"/>
              </w:rPr>
              <w:t xml:space="preserve"> investīcijas nemateriālajos ieguldījumos un pamatlīdzekļos.</w:t>
            </w:r>
          </w:p>
        </w:tc>
        <w:tc>
          <w:tcPr>
            <w:tcW w:w="2835" w:type="dxa"/>
            <w:tcBorders>
              <w:top w:val="nil"/>
              <w:left w:val="nil"/>
              <w:bottom w:val="single" w:sz="4" w:space="0" w:color="auto"/>
              <w:right w:val="single" w:sz="4" w:space="0" w:color="auto"/>
            </w:tcBorders>
            <w:shd w:val="clear" w:color="000000" w:fill="FFFFFF"/>
            <w:hideMark/>
          </w:tcPr>
          <w:p w14:paraId="7127054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(17.10.2023.);</w:t>
            </w:r>
            <w:r w:rsidRPr="00BF055E">
              <w:rPr>
                <w:rFonts w:eastAsia="Times New Roman" w:cs="Times New Roman"/>
                <w:sz w:val="18"/>
                <w:szCs w:val="18"/>
                <w:lang w:eastAsia="lv-LV"/>
              </w:rPr>
              <w:br/>
              <w:t>2) projektu iesniegumu vērtēšanas kritēriju apstiprināšana ES fondu Uzraudzības komitejā (16.06.2023.);</w:t>
            </w:r>
            <w:r w:rsidRPr="00BF055E">
              <w:rPr>
                <w:rFonts w:eastAsia="Times New Roman" w:cs="Times New Roman"/>
                <w:sz w:val="18"/>
                <w:szCs w:val="18"/>
                <w:lang w:eastAsia="lv-LV"/>
              </w:rPr>
              <w:br/>
              <w:t>3) atklātas atlases uzsākšana (1.kārtai - 27.12.2023.);</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0101F6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01.01.2021.-31.12.2026.</w:t>
            </w:r>
          </w:p>
        </w:tc>
        <w:tc>
          <w:tcPr>
            <w:tcW w:w="1559" w:type="dxa"/>
            <w:tcBorders>
              <w:top w:val="nil"/>
              <w:left w:val="nil"/>
              <w:bottom w:val="single" w:sz="4" w:space="0" w:color="auto"/>
              <w:right w:val="single" w:sz="4" w:space="0" w:color="auto"/>
            </w:tcBorders>
            <w:shd w:val="clear" w:color="000000" w:fill="FFFFFF"/>
            <w:hideMark/>
          </w:tcPr>
          <w:p w14:paraId="4363A6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46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TPF; </w:t>
            </w:r>
            <w:r w:rsidRPr="00BF055E">
              <w:rPr>
                <w:rFonts w:eastAsia="Times New Roman" w:cs="Times New Roman"/>
                <w:sz w:val="18"/>
                <w:szCs w:val="18"/>
                <w:lang w:eastAsia="lv-LV"/>
              </w:rPr>
              <w:br/>
              <w:t xml:space="preserve">8,1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 privātais finansējums)</w:t>
            </w:r>
          </w:p>
        </w:tc>
        <w:tc>
          <w:tcPr>
            <w:tcW w:w="993" w:type="dxa"/>
            <w:tcBorders>
              <w:top w:val="nil"/>
              <w:left w:val="nil"/>
              <w:bottom w:val="single" w:sz="4" w:space="0" w:color="auto"/>
              <w:right w:val="single" w:sz="4" w:space="0" w:color="auto"/>
            </w:tcBorders>
            <w:shd w:val="clear" w:color="000000" w:fill="FFFFFF"/>
            <w:hideMark/>
          </w:tcPr>
          <w:p w14:paraId="60F272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VARAM/CFLA/pašvaldības</w:t>
            </w:r>
          </w:p>
        </w:tc>
        <w:tc>
          <w:tcPr>
            <w:tcW w:w="850" w:type="dxa"/>
            <w:tcBorders>
              <w:top w:val="nil"/>
              <w:left w:val="nil"/>
              <w:bottom w:val="single" w:sz="4" w:space="0" w:color="auto"/>
              <w:right w:val="single" w:sz="4" w:space="0" w:color="auto"/>
            </w:tcBorders>
            <w:shd w:val="clear" w:color="000000" w:fill="FFFFFF"/>
            <w:hideMark/>
          </w:tcPr>
          <w:p w14:paraId="500EB62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 (JTF)</w:t>
            </w:r>
          </w:p>
        </w:tc>
        <w:tc>
          <w:tcPr>
            <w:tcW w:w="851" w:type="dxa"/>
            <w:tcBorders>
              <w:top w:val="nil"/>
              <w:left w:val="nil"/>
              <w:bottom w:val="single" w:sz="4" w:space="0" w:color="auto"/>
              <w:right w:val="single" w:sz="4" w:space="0" w:color="auto"/>
            </w:tcBorders>
            <w:shd w:val="clear" w:color="000000" w:fill="FFFFFF"/>
            <w:hideMark/>
          </w:tcPr>
          <w:p w14:paraId="5F6F47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2024(3)</w:t>
            </w:r>
          </w:p>
        </w:tc>
        <w:tc>
          <w:tcPr>
            <w:tcW w:w="992" w:type="dxa"/>
            <w:tcBorders>
              <w:top w:val="nil"/>
              <w:left w:val="nil"/>
              <w:bottom w:val="single" w:sz="4" w:space="0" w:color="auto"/>
              <w:right w:val="single" w:sz="4" w:space="0" w:color="auto"/>
            </w:tcBorders>
            <w:shd w:val="clear" w:color="000000" w:fill="FFFFFF"/>
            <w:hideMark/>
          </w:tcPr>
          <w:p w14:paraId="4B201FB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 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2A6E55B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65DB7F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8. Cienīgs darbs un ekonomiskā izaugsme; 9. Ražošana, inovācijas un infrastruktūra; 11. Ilgtspējīgas pilsētas un kopienas; 13. Rīcība klimata jomā; 16. Miers, taisnīgums, laba pārvaldība</w:t>
            </w:r>
          </w:p>
        </w:tc>
      </w:tr>
      <w:tr w:rsidR="00BF055E" w:rsidRPr="00BF055E" w14:paraId="6137B824"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6965A35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nozīmes biotopu vai purvu </w:t>
            </w:r>
            <w:r w:rsidRPr="00BF055E">
              <w:rPr>
                <w:rFonts w:eastAsia="Times New Roman" w:cs="Times New Roman"/>
                <w:sz w:val="18"/>
                <w:szCs w:val="18"/>
                <w:lang w:eastAsia="lv-LV"/>
              </w:rPr>
              <w:lastRenderedPageBreak/>
              <w:t>ekosistēmu atjaunošana (Programma (TPTP)</w:t>
            </w:r>
            <w:r w:rsidRPr="00BF055E">
              <w:rPr>
                <w:rFonts w:eastAsia="Times New Roman" w:cs="Times New Roman"/>
                <w:sz w:val="18"/>
                <w:szCs w:val="18"/>
                <w:lang w:eastAsia="lv-LV"/>
              </w:rPr>
              <w:br/>
              <w:t>6.1.1.7. (elastības finansējums nav plānots))</w:t>
            </w:r>
          </w:p>
        </w:tc>
        <w:tc>
          <w:tcPr>
            <w:tcW w:w="2183" w:type="dxa"/>
            <w:tcBorders>
              <w:top w:val="nil"/>
              <w:left w:val="nil"/>
              <w:bottom w:val="single" w:sz="4" w:space="0" w:color="auto"/>
              <w:right w:val="single" w:sz="4" w:space="0" w:color="auto"/>
            </w:tcBorders>
            <w:shd w:val="clear" w:color="000000" w:fill="FFFFFF"/>
            <w:hideMark/>
          </w:tcPr>
          <w:p w14:paraId="7B386F4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Investīcijas ES nozīmes biotopu atjaunošanas </w:t>
            </w:r>
            <w:r w:rsidRPr="00BF055E">
              <w:rPr>
                <w:rFonts w:eastAsia="Times New Roman" w:cs="Times New Roman"/>
                <w:sz w:val="18"/>
                <w:szCs w:val="18"/>
                <w:lang w:eastAsia="lv-LV"/>
              </w:rPr>
              <w:lastRenderedPageBreak/>
              <w:t xml:space="preserve">veicināšanai vai vēsturisko kūdras ieguves vietu </w:t>
            </w:r>
            <w:proofErr w:type="spellStart"/>
            <w:r w:rsidRPr="00BF055E">
              <w:rPr>
                <w:rFonts w:eastAsia="Times New Roman" w:cs="Times New Roman"/>
                <w:sz w:val="18"/>
                <w:szCs w:val="18"/>
                <w:lang w:eastAsia="lv-LV"/>
              </w:rPr>
              <w:t>renaturalizācijai</w:t>
            </w:r>
            <w:proofErr w:type="spellEnd"/>
            <w:r w:rsidRPr="00BF055E">
              <w:rPr>
                <w:rFonts w:eastAsia="Times New Roman" w:cs="Times New Roman"/>
                <w:sz w:val="18"/>
                <w:szCs w:val="18"/>
                <w:lang w:eastAsia="lv-LV"/>
              </w:rPr>
              <w:t xml:space="preserve"> īpaši aizsargājamās dabas teritorijās bioloģiskās daudzveidības veicināšanai un ekosistēmu pakalpojumu nodrošināšanai. </w:t>
            </w:r>
            <w:r w:rsidRPr="00BF055E">
              <w:rPr>
                <w:rFonts w:eastAsia="Times New Roman" w:cs="Times New Roman"/>
                <w:sz w:val="18"/>
                <w:szCs w:val="18"/>
                <w:lang w:eastAsia="lv-LV"/>
              </w:rPr>
              <w:br/>
              <w:t xml:space="preserve">Sasniedzamie rezultāti: </w:t>
            </w:r>
            <w:r w:rsidRPr="00BF055E">
              <w:rPr>
                <w:rFonts w:eastAsia="Times New Roman" w:cs="Times New Roman"/>
                <w:sz w:val="18"/>
                <w:szCs w:val="18"/>
                <w:lang w:eastAsia="lv-LV"/>
              </w:rPr>
              <w:br/>
              <w:t xml:space="preserve">1) sanētās zemes platība 1500 ha (t.i., veikti ieguldījumi ES nozīmes biotopu atjaunošanā vai vēsturisko kūdras ieguves vietu </w:t>
            </w:r>
            <w:proofErr w:type="spellStart"/>
            <w:r w:rsidRPr="00BF055E">
              <w:rPr>
                <w:rFonts w:eastAsia="Times New Roman" w:cs="Times New Roman"/>
                <w:sz w:val="18"/>
                <w:szCs w:val="18"/>
                <w:lang w:eastAsia="lv-LV"/>
              </w:rPr>
              <w:t>renaturalizācijā</w:t>
            </w:r>
            <w:proofErr w:type="spellEnd"/>
            <w:r w:rsidRPr="00BF055E">
              <w:rPr>
                <w:rFonts w:eastAsia="Times New Roman" w:cs="Times New Roman"/>
                <w:sz w:val="18"/>
                <w:szCs w:val="18"/>
                <w:lang w:eastAsia="lv-LV"/>
              </w:rPr>
              <w:t xml:space="preserve"> 1500 hektāru platībā);</w:t>
            </w:r>
            <w:r w:rsidRPr="00BF055E">
              <w:rPr>
                <w:rFonts w:eastAsia="Times New Roman" w:cs="Times New Roman"/>
                <w:sz w:val="18"/>
                <w:szCs w:val="18"/>
                <w:lang w:eastAsia="lv-LV"/>
              </w:rPr>
              <w:br/>
              <w:t>2) atjaunotas degradētas ekosistēmas vismaz 4046 ha platībā.</w:t>
            </w:r>
          </w:p>
        </w:tc>
        <w:tc>
          <w:tcPr>
            <w:tcW w:w="2835" w:type="dxa"/>
            <w:tcBorders>
              <w:top w:val="nil"/>
              <w:left w:val="nil"/>
              <w:bottom w:val="single" w:sz="4" w:space="0" w:color="auto"/>
              <w:right w:val="single" w:sz="4" w:space="0" w:color="auto"/>
            </w:tcBorders>
            <w:shd w:val="clear" w:color="000000" w:fill="FFFFFF"/>
            <w:hideMark/>
          </w:tcPr>
          <w:p w14:paraId="3F1146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(28.05.2024.);</w:t>
            </w:r>
            <w:r w:rsidRPr="00BF055E">
              <w:rPr>
                <w:rFonts w:eastAsia="Times New Roman" w:cs="Times New Roman"/>
                <w:sz w:val="18"/>
                <w:szCs w:val="18"/>
                <w:lang w:eastAsia="lv-LV"/>
              </w:rPr>
              <w:br/>
            </w:r>
            <w:r w:rsidRPr="00BF055E">
              <w:rPr>
                <w:rFonts w:eastAsia="Times New Roman" w:cs="Times New Roman"/>
                <w:sz w:val="18"/>
                <w:szCs w:val="18"/>
                <w:lang w:eastAsia="lv-LV"/>
              </w:rPr>
              <w:lastRenderedPageBreak/>
              <w:t>2) projektu iesniegumu vērtēšanas kritēriju apstiprināšana ES fondu Uzraudzības komitejā (29.01.2024.);</w:t>
            </w:r>
            <w:r w:rsidRPr="00BF055E">
              <w:rPr>
                <w:rFonts w:eastAsia="Times New Roman" w:cs="Times New Roman"/>
                <w:sz w:val="18"/>
                <w:szCs w:val="18"/>
                <w:lang w:eastAsia="lv-LV"/>
              </w:rPr>
              <w:br/>
              <w:t>3) ierobežotas atlases uzsākšana (05.07.2024.);</w:t>
            </w:r>
            <w:r w:rsidRPr="00BF055E">
              <w:rPr>
                <w:rFonts w:eastAsia="Times New Roman" w:cs="Times New Roman"/>
                <w:sz w:val="18"/>
                <w:szCs w:val="18"/>
                <w:lang w:eastAsia="lv-LV"/>
              </w:rPr>
              <w:br/>
              <w:t>4) līguma slēgšana un projekta īstenošana.</w:t>
            </w:r>
          </w:p>
        </w:tc>
        <w:tc>
          <w:tcPr>
            <w:tcW w:w="850" w:type="dxa"/>
            <w:tcBorders>
              <w:top w:val="nil"/>
              <w:left w:val="nil"/>
              <w:bottom w:val="single" w:sz="4" w:space="0" w:color="auto"/>
              <w:right w:val="single" w:sz="4" w:space="0" w:color="auto"/>
            </w:tcBorders>
            <w:shd w:val="clear" w:color="000000" w:fill="FFFFFF"/>
            <w:hideMark/>
          </w:tcPr>
          <w:p w14:paraId="14D1B6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01.01.2024.-</w:t>
            </w:r>
            <w:r w:rsidRPr="00BF055E">
              <w:rPr>
                <w:rFonts w:eastAsia="Times New Roman" w:cs="Times New Roman"/>
                <w:sz w:val="18"/>
                <w:szCs w:val="18"/>
                <w:lang w:eastAsia="lv-LV"/>
              </w:rPr>
              <w:lastRenderedPageBreak/>
              <w:t>31.12.2029.</w:t>
            </w:r>
          </w:p>
        </w:tc>
        <w:tc>
          <w:tcPr>
            <w:tcW w:w="1559" w:type="dxa"/>
            <w:tcBorders>
              <w:top w:val="nil"/>
              <w:left w:val="nil"/>
              <w:bottom w:val="single" w:sz="4" w:space="0" w:color="auto"/>
              <w:right w:val="single" w:sz="4" w:space="0" w:color="auto"/>
            </w:tcBorders>
            <w:shd w:val="clear" w:color="000000" w:fill="FFFFFF"/>
            <w:hideMark/>
          </w:tcPr>
          <w:p w14:paraId="4C5D351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6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TPF; </w:t>
            </w:r>
            <w:r w:rsidRPr="00BF055E">
              <w:rPr>
                <w:rFonts w:eastAsia="Times New Roman" w:cs="Times New Roman"/>
                <w:sz w:val="18"/>
                <w:szCs w:val="18"/>
                <w:lang w:eastAsia="lv-LV"/>
              </w:rPr>
              <w:br/>
              <w:t xml:space="preserve">1,1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lastRenderedPageBreak/>
              <w:t>nacionālais finansējums (valsts budžets)</w:t>
            </w:r>
          </w:p>
        </w:tc>
        <w:tc>
          <w:tcPr>
            <w:tcW w:w="993" w:type="dxa"/>
            <w:tcBorders>
              <w:top w:val="nil"/>
              <w:left w:val="nil"/>
              <w:bottom w:val="single" w:sz="4" w:space="0" w:color="auto"/>
              <w:right w:val="single" w:sz="4" w:space="0" w:color="auto"/>
            </w:tcBorders>
            <w:shd w:val="clear" w:color="000000" w:fill="FFFFFF"/>
            <w:hideMark/>
          </w:tcPr>
          <w:p w14:paraId="2ECAED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VARAM/CFLA</w:t>
            </w:r>
          </w:p>
        </w:tc>
        <w:tc>
          <w:tcPr>
            <w:tcW w:w="850" w:type="dxa"/>
            <w:tcBorders>
              <w:top w:val="nil"/>
              <w:left w:val="nil"/>
              <w:bottom w:val="single" w:sz="4" w:space="0" w:color="auto"/>
              <w:right w:val="single" w:sz="4" w:space="0" w:color="auto"/>
            </w:tcBorders>
            <w:shd w:val="clear" w:color="000000" w:fill="FFFFFF"/>
            <w:hideMark/>
          </w:tcPr>
          <w:p w14:paraId="39FCA3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 (JTF)</w:t>
            </w:r>
          </w:p>
        </w:tc>
        <w:tc>
          <w:tcPr>
            <w:tcW w:w="851" w:type="dxa"/>
            <w:tcBorders>
              <w:top w:val="nil"/>
              <w:left w:val="nil"/>
              <w:bottom w:val="single" w:sz="4" w:space="0" w:color="auto"/>
              <w:right w:val="single" w:sz="4" w:space="0" w:color="auto"/>
            </w:tcBorders>
            <w:shd w:val="clear" w:color="000000" w:fill="FFFFFF"/>
            <w:hideMark/>
          </w:tcPr>
          <w:p w14:paraId="2C079A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2020(3); 2021(1); </w:t>
            </w:r>
            <w:r w:rsidRPr="00BF055E">
              <w:rPr>
                <w:rFonts w:eastAsia="Times New Roman" w:cs="Times New Roman"/>
                <w:sz w:val="18"/>
                <w:szCs w:val="18"/>
                <w:lang w:eastAsia="lv-LV"/>
              </w:rPr>
              <w:lastRenderedPageBreak/>
              <w:t>2022(1); 2022(3); 2023(1); 2023(3); 2024(4)</w:t>
            </w:r>
          </w:p>
        </w:tc>
        <w:tc>
          <w:tcPr>
            <w:tcW w:w="992" w:type="dxa"/>
            <w:tcBorders>
              <w:top w:val="nil"/>
              <w:left w:val="nil"/>
              <w:bottom w:val="single" w:sz="4" w:space="0" w:color="auto"/>
              <w:right w:val="single" w:sz="4" w:space="0" w:color="auto"/>
            </w:tcBorders>
            <w:shd w:val="clear" w:color="000000" w:fill="FFFFFF"/>
            <w:hideMark/>
          </w:tcPr>
          <w:p w14:paraId="3AD0B1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Taisnīga </w:t>
            </w:r>
            <w:r w:rsidRPr="00BF055E">
              <w:rPr>
                <w:rFonts w:eastAsia="Times New Roman" w:cs="Times New Roman"/>
                <w:sz w:val="18"/>
                <w:szCs w:val="18"/>
                <w:lang w:eastAsia="lv-LV"/>
              </w:rPr>
              <w:lastRenderedPageBreak/>
              <w:t>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7337399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815" w:type="dxa"/>
            <w:tcBorders>
              <w:top w:val="nil"/>
              <w:left w:val="nil"/>
              <w:bottom w:val="single" w:sz="4" w:space="0" w:color="auto"/>
              <w:right w:val="single" w:sz="4" w:space="0" w:color="auto"/>
            </w:tcBorders>
            <w:shd w:val="clear" w:color="000000" w:fill="FFFFFF"/>
            <w:hideMark/>
          </w:tcPr>
          <w:p w14:paraId="28A8725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13. Rīcība </w:t>
            </w:r>
            <w:r w:rsidRPr="00BF055E">
              <w:rPr>
                <w:rFonts w:eastAsia="Times New Roman" w:cs="Times New Roman"/>
                <w:sz w:val="18"/>
                <w:szCs w:val="18"/>
                <w:lang w:eastAsia="lv-LV"/>
              </w:rPr>
              <w:lastRenderedPageBreak/>
              <w:t>klimata jomā; 15. Dzīvība uz zemes</w:t>
            </w:r>
          </w:p>
        </w:tc>
      </w:tr>
      <w:tr w:rsidR="00BF055E" w:rsidRPr="00BF055E" w14:paraId="2F16D627"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31A027E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Glābšanas dienestu kapacitātes stiprināšana, īpaši Valsts ugunsdzēsības un glābšanas dienesta infrastruktūras un materiāltehniskās bāzes modernizācija</w:t>
            </w:r>
          </w:p>
        </w:tc>
        <w:tc>
          <w:tcPr>
            <w:tcW w:w="2183" w:type="dxa"/>
            <w:tcBorders>
              <w:top w:val="nil"/>
              <w:left w:val="nil"/>
              <w:bottom w:val="single" w:sz="4" w:space="0" w:color="auto"/>
              <w:right w:val="single" w:sz="4" w:space="0" w:color="auto"/>
            </w:tcBorders>
            <w:shd w:val="clear" w:color="auto" w:fill="auto"/>
            <w:hideMark/>
          </w:tcPr>
          <w:p w14:paraId="682889A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Politikas virziens – Klimata pārmaiņas un pielāgošanās klimata pārmaiņām (ANM)</w:t>
            </w:r>
            <w:r w:rsidRPr="00BF055E">
              <w:rPr>
                <w:rFonts w:eastAsia="Times New Roman" w:cs="Times New Roman"/>
                <w:sz w:val="18"/>
                <w:szCs w:val="18"/>
                <w:lang w:eastAsia="lv-LV"/>
              </w:rPr>
              <w:br/>
              <w:t xml:space="preserve">Investīcijas mērķis ir nodrošināt vienlīdzīgi efektīvu, ātru un kvalitatīvu katastrofu pārvaldībā iesaistīto dienestu darbu visā Latvijas teritorijā, uzlabojot reaģēšanā un katastrofu pārvaldībā iesaistīto dienestu sadarbību un koordināciju. Tās tvērums paredz izbūvēt 9 katastrofu pārvaldības centrus, zem </w:t>
            </w:r>
            <w:r w:rsidRPr="00BF055E">
              <w:rPr>
                <w:rFonts w:eastAsia="Times New Roman" w:cs="Times New Roman"/>
                <w:sz w:val="18"/>
                <w:szCs w:val="18"/>
                <w:lang w:eastAsia="lv-LV"/>
              </w:rPr>
              <w:lastRenderedPageBreak/>
              <w:t>viena jumta apvienojot visu katastrofu pārvaldībā iesaistītos dienestus.</w:t>
            </w:r>
          </w:p>
        </w:tc>
        <w:tc>
          <w:tcPr>
            <w:tcW w:w="2835" w:type="dxa"/>
            <w:tcBorders>
              <w:top w:val="nil"/>
              <w:left w:val="nil"/>
              <w:bottom w:val="single" w:sz="4" w:space="0" w:color="auto"/>
              <w:right w:val="single" w:sz="4" w:space="0" w:color="auto"/>
            </w:tcBorders>
            <w:shd w:val="clear" w:color="000000" w:fill="FFFFFF"/>
            <w:hideMark/>
          </w:tcPr>
          <w:p w14:paraId="7636EF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2022. gada 5. jūlijā tika apstiprināts informatīvais ziņojums un uzsākta projekta realizācija</w:t>
            </w:r>
          </w:p>
        </w:tc>
        <w:tc>
          <w:tcPr>
            <w:tcW w:w="850" w:type="dxa"/>
            <w:tcBorders>
              <w:top w:val="nil"/>
              <w:left w:val="nil"/>
              <w:bottom w:val="single" w:sz="4" w:space="0" w:color="auto"/>
              <w:right w:val="single" w:sz="4" w:space="0" w:color="auto"/>
            </w:tcBorders>
            <w:shd w:val="clear" w:color="000000" w:fill="FFFFFF"/>
            <w:hideMark/>
          </w:tcPr>
          <w:p w14:paraId="349164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2022. - 2026. gads</w:t>
            </w:r>
          </w:p>
        </w:tc>
        <w:tc>
          <w:tcPr>
            <w:tcW w:w="1559" w:type="dxa"/>
            <w:tcBorders>
              <w:top w:val="nil"/>
              <w:left w:val="nil"/>
              <w:bottom w:val="single" w:sz="4" w:space="0" w:color="auto"/>
              <w:right w:val="single" w:sz="4" w:space="0" w:color="auto"/>
            </w:tcBorders>
            <w:shd w:val="clear" w:color="auto" w:fill="auto"/>
            <w:hideMark/>
          </w:tcPr>
          <w:p w14:paraId="48BE8A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36 630 000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(ANM) 7 692 300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(VB)</w:t>
            </w:r>
          </w:p>
        </w:tc>
        <w:tc>
          <w:tcPr>
            <w:tcW w:w="993" w:type="dxa"/>
            <w:tcBorders>
              <w:top w:val="nil"/>
              <w:left w:val="nil"/>
              <w:bottom w:val="single" w:sz="4" w:space="0" w:color="auto"/>
              <w:right w:val="single" w:sz="4" w:space="0" w:color="auto"/>
            </w:tcBorders>
            <w:shd w:val="clear" w:color="000000" w:fill="FFFFFF"/>
            <w:hideMark/>
          </w:tcPr>
          <w:p w14:paraId="50CFF43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IeM</w:t>
            </w:r>
          </w:p>
        </w:tc>
        <w:tc>
          <w:tcPr>
            <w:tcW w:w="850" w:type="dxa"/>
            <w:tcBorders>
              <w:top w:val="nil"/>
              <w:left w:val="nil"/>
              <w:bottom w:val="single" w:sz="4" w:space="0" w:color="auto"/>
              <w:right w:val="single" w:sz="4" w:space="0" w:color="auto"/>
            </w:tcBorders>
            <w:shd w:val="clear" w:color="auto" w:fill="auto"/>
            <w:hideMark/>
          </w:tcPr>
          <w:p w14:paraId="54D8022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7DD7396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44C311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0A8AA05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03354EA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16. Miers, taisnīgums, laba pārvaldība</w:t>
            </w:r>
          </w:p>
        </w:tc>
      </w:tr>
      <w:tr w:rsidR="00BF055E" w:rsidRPr="00BF055E" w14:paraId="46048498"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1A22513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Katastrofu risku mazināšanas pasākumi</w:t>
            </w:r>
          </w:p>
        </w:tc>
        <w:tc>
          <w:tcPr>
            <w:tcW w:w="2183" w:type="dxa"/>
            <w:tcBorders>
              <w:top w:val="nil"/>
              <w:left w:val="nil"/>
              <w:bottom w:val="single" w:sz="4" w:space="0" w:color="auto"/>
              <w:right w:val="single" w:sz="4" w:space="0" w:color="auto"/>
            </w:tcBorders>
            <w:shd w:val="clear" w:color="000000" w:fill="FFFFFF"/>
            <w:hideMark/>
          </w:tcPr>
          <w:p w14:paraId="31927A8E" w14:textId="1E46064F"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Pol</w:t>
            </w:r>
            <w:r w:rsidR="005A608F">
              <w:rPr>
                <w:rFonts w:eastAsia="Times New Roman" w:cs="Times New Roman"/>
                <w:sz w:val="18"/>
                <w:szCs w:val="18"/>
                <w:lang w:eastAsia="lv-LV"/>
              </w:rPr>
              <w:t>i</w:t>
            </w:r>
            <w:r w:rsidRPr="00BF055E">
              <w:rPr>
                <w:rFonts w:eastAsia="Times New Roman" w:cs="Times New Roman"/>
                <w:sz w:val="18"/>
                <w:szCs w:val="18"/>
                <w:lang w:eastAsia="lv-LV"/>
              </w:rPr>
              <w:t xml:space="preserve">tikas mērķis - Zaļāka un noturīgāka Eiropa ar zemām oglekļa emisijām, kurā notiek pāreja uz </w:t>
            </w:r>
            <w:proofErr w:type="spellStart"/>
            <w:r w:rsidRPr="00BF055E">
              <w:rPr>
                <w:rFonts w:eastAsia="Times New Roman" w:cs="Times New Roman"/>
                <w:sz w:val="18"/>
                <w:szCs w:val="18"/>
                <w:lang w:eastAsia="lv-LV"/>
              </w:rPr>
              <w:t>bezoglekļa</w:t>
            </w:r>
            <w:proofErr w:type="spellEnd"/>
            <w:r w:rsidRPr="00BF055E">
              <w:rPr>
                <w:rFonts w:eastAsia="Times New Roman" w:cs="Times New Roman"/>
                <w:sz w:val="18"/>
                <w:szCs w:val="18"/>
                <w:lang w:eastAsia="lv-LV"/>
              </w:rPr>
              <w:t xml:space="preserve"> ekonomiku neto izteiksmē, veicinot taisnīgu pārkārtošanos uz tīru enerģiju, “zaļās” un “zilās” investīcijas, aprites ekonomiku, klimata pārmaiņu mazināšanu un pielāgošanos tām, risku novēršanu un pārvaldību un ilgtspējīgu mobilitāti pilsētvidēs (ERAF). Pasākuma mērķis ir veikt investīcijas VUGD katastrofu pārvaldības tehniskās kapacitātes attīstībā un stiprināšanā, </w:t>
            </w:r>
            <w:proofErr w:type="spellStart"/>
            <w:r w:rsidRPr="00BF055E">
              <w:rPr>
                <w:rFonts w:eastAsia="Times New Roman" w:cs="Times New Roman"/>
                <w:sz w:val="18"/>
                <w:szCs w:val="18"/>
                <w:lang w:eastAsia="lv-LV"/>
              </w:rPr>
              <w:t>prevencijas</w:t>
            </w:r>
            <w:proofErr w:type="spellEnd"/>
            <w:r w:rsidRPr="00BF055E">
              <w:rPr>
                <w:rFonts w:eastAsia="Times New Roman" w:cs="Times New Roman"/>
                <w:sz w:val="18"/>
                <w:szCs w:val="18"/>
                <w:lang w:eastAsia="lv-LV"/>
              </w:rPr>
              <w:t xml:space="preserve"> pasākumu paplašināšanā, IKT risinājumu ieviešanā un kopējās </w:t>
            </w:r>
            <w:proofErr w:type="spellStart"/>
            <w:r w:rsidRPr="00BF055E">
              <w:rPr>
                <w:rFonts w:eastAsia="Times New Roman" w:cs="Times New Roman"/>
                <w:sz w:val="18"/>
                <w:szCs w:val="18"/>
                <w:lang w:eastAsia="lv-LV"/>
              </w:rPr>
              <w:t>reaģētspējas</w:t>
            </w:r>
            <w:proofErr w:type="spellEnd"/>
            <w:r w:rsidRPr="00BF055E">
              <w:rPr>
                <w:rFonts w:eastAsia="Times New Roman" w:cs="Times New Roman"/>
                <w:sz w:val="18"/>
                <w:szCs w:val="18"/>
                <w:lang w:eastAsia="lv-LV"/>
              </w:rPr>
              <w:t xml:space="preserve"> uzlabošanā:</w:t>
            </w:r>
            <w:r w:rsidRPr="00BF055E">
              <w:rPr>
                <w:rFonts w:eastAsia="Times New Roman" w:cs="Times New Roman"/>
                <w:sz w:val="18"/>
                <w:szCs w:val="18"/>
                <w:lang w:eastAsia="lv-LV"/>
              </w:rPr>
              <w:br/>
              <w:t>a) specializētā ugunsdzēsības un glābšanas autotransporta iegādē;</w:t>
            </w:r>
            <w:r w:rsidRPr="00BF055E">
              <w:rPr>
                <w:rFonts w:eastAsia="Times New Roman" w:cs="Times New Roman"/>
                <w:sz w:val="18"/>
                <w:szCs w:val="18"/>
                <w:lang w:eastAsia="lv-LV"/>
              </w:rPr>
              <w:br/>
              <w:t>b) specializēto TL remonta bāzes būvniecībā;</w:t>
            </w:r>
            <w:r w:rsidRPr="00BF055E">
              <w:rPr>
                <w:rFonts w:eastAsia="Times New Roman" w:cs="Times New Roman"/>
                <w:sz w:val="18"/>
                <w:szCs w:val="18"/>
                <w:lang w:eastAsia="lv-LV"/>
              </w:rPr>
              <w:br/>
              <w:t xml:space="preserve">c) katastrofu zaudējumu datubāzes izveidē un ieviešanā; </w:t>
            </w:r>
            <w:r w:rsidRPr="00BF055E">
              <w:rPr>
                <w:rFonts w:eastAsia="Times New Roman" w:cs="Times New Roman"/>
                <w:sz w:val="18"/>
                <w:szCs w:val="18"/>
                <w:lang w:eastAsia="lv-LV"/>
              </w:rPr>
              <w:br/>
              <w:t xml:space="preserve">d) agrīnās brīdināšanas </w:t>
            </w:r>
            <w:r w:rsidRPr="00BF055E">
              <w:rPr>
                <w:rFonts w:eastAsia="Times New Roman" w:cs="Times New Roman"/>
                <w:sz w:val="18"/>
                <w:szCs w:val="18"/>
                <w:lang w:eastAsia="lv-LV"/>
              </w:rPr>
              <w:lastRenderedPageBreak/>
              <w:t xml:space="preserve">sistēmas izveidē un ieviešanā; </w:t>
            </w:r>
            <w:r w:rsidRPr="00BF055E">
              <w:rPr>
                <w:rFonts w:eastAsia="Times New Roman" w:cs="Times New Roman"/>
                <w:sz w:val="18"/>
                <w:szCs w:val="18"/>
                <w:lang w:eastAsia="lv-LV"/>
              </w:rPr>
              <w:br/>
              <w:t>e) stacionāro un pārvietojamo praktisko apmācības telpu iekārtošanā (Drošības klases).</w:t>
            </w:r>
          </w:p>
        </w:tc>
        <w:tc>
          <w:tcPr>
            <w:tcW w:w="2835" w:type="dxa"/>
            <w:tcBorders>
              <w:top w:val="nil"/>
              <w:left w:val="nil"/>
              <w:bottom w:val="single" w:sz="4" w:space="0" w:color="auto"/>
              <w:right w:val="single" w:sz="4" w:space="0" w:color="auto"/>
            </w:tcBorders>
            <w:shd w:val="clear" w:color="000000" w:fill="FFFFFF"/>
            <w:hideMark/>
          </w:tcPr>
          <w:p w14:paraId="5B746F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2023. gada 17. oktobrī tika pieņemti un 20. oktobrī stājās spēkā MK noteikumi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r w:rsidRPr="00BF055E">
              <w:rPr>
                <w:rFonts w:eastAsia="Times New Roman" w:cs="Times New Roman"/>
                <w:sz w:val="18"/>
                <w:szCs w:val="18"/>
                <w:lang w:eastAsia="lv-LV"/>
              </w:rPr>
              <w:br/>
              <w:t>2024. gada 20. februārī tika pieņemti un 27. februārī stājās spēkā MK noteikumi Nr. 118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īstenošanas noteikumi”;</w:t>
            </w:r>
            <w:r w:rsidRPr="00BF055E">
              <w:rPr>
                <w:rFonts w:eastAsia="Times New Roman" w:cs="Times New Roman"/>
                <w:sz w:val="18"/>
                <w:szCs w:val="18"/>
                <w:lang w:eastAsia="lv-LV"/>
              </w:rPr>
              <w:br/>
              <w:t>Šobrīd notiek 2.1.3.3. pasākuma otrās kārtas MK noteikumu sagatavošana (provizoriski tiks apstiprināti 2025. gadā) un ceturtās kārtas MK noteikumu sagatavošana (provizoriski tiks apstiprināti 2027. gadā).</w:t>
            </w:r>
          </w:p>
        </w:tc>
        <w:tc>
          <w:tcPr>
            <w:tcW w:w="850" w:type="dxa"/>
            <w:tcBorders>
              <w:top w:val="nil"/>
              <w:left w:val="nil"/>
              <w:bottom w:val="single" w:sz="4" w:space="0" w:color="auto"/>
              <w:right w:val="single" w:sz="4" w:space="0" w:color="auto"/>
            </w:tcBorders>
            <w:shd w:val="clear" w:color="000000" w:fill="FFFFFF"/>
            <w:hideMark/>
          </w:tcPr>
          <w:p w14:paraId="1CED34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 -2029. gads</w:t>
            </w:r>
          </w:p>
        </w:tc>
        <w:tc>
          <w:tcPr>
            <w:tcW w:w="1559" w:type="dxa"/>
            <w:tcBorders>
              <w:top w:val="nil"/>
              <w:left w:val="nil"/>
              <w:bottom w:val="single" w:sz="4" w:space="0" w:color="auto"/>
              <w:right w:val="single" w:sz="4" w:space="0" w:color="auto"/>
            </w:tcBorders>
            <w:shd w:val="clear" w:color="000000" w:fill="FFFFFF"/>
            <w:hideMark/>
          </w:tcPr>
          <w:p w14:paraId="530CF7E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55 094 176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 9 722 502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(VB)</w:t>
            </w:r>
          </w:p>
        </w:tc>
        <w:tc>
          <w:tcPr>
            <w:tcW w:w="993" w:type="dxa"/>
            <w:tcBorders>
              <w:top w:val="nil"/>
              <w:left w:val="nil"/>
              <w:bottom w:val="single" w:sz="4" w:space="0" w:color="auto"/>
              <w:right w:val="single" w:sz="4" w:space="0" w:color="auto"/>
            </w:tcBorders>
            <w:shd w:val="clear" w:color="000000" w:fill="FFFFFF"/>
            <w:hideMark/>
          </w:tcPr>
          <w:p w14:paraId="338FFA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IeM</w:t>
            </w:r>
          </w:p>
        </w:tc>
        <w:tc>
          <w:tcPr>
            <w:tcW w:w="850" w:type="dxa"/>
            <w:tcBorders>
              <w:top w:val="nil"/>
              <w:left w:val="nil"/>
              <w:bottom w:val="single" w:sz="4" w:space="0" w:color="auto"/>
              <w:right w:val="single" w:sz="4" w:space="0" w:color="auto"/>
            </w:tcBorders>
            <w:shd w:val="clear" w:color="000000" w:fill="FFFFFF"/>
            <w:hideMark/>
          </w:tcPr>
          <w:p w14:paraId="358D55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0A0BCB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018E562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4C8C823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56B72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 16. Miers, taisnīgums, laba pārvaldība</w:t>
            </w:r>
          </w:p>
        </w:tc>
      </w:tr>
      <w:tr w:rsidR="00BF055E" w:rsidRPr="00BF055E" w14:paraId="217A68DF"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365F83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w:t>
            </w:r>
          </w:p>
        </w:tc>
        <w:tc>
          <w:tcPr>
            <w:tcW w:w="2183" w:type="dxa"/>
            <w:tcBorders>
              <w:top w:val="nil"/>
              <w:left w:val="nil"/>
              <w:bottom w:val="single" w:sz="4" w:space="0" w:color="auto"/>
              <w:right w:val="single" w:sz="4" w:space="0" w:color="auto"/>
            </w:tcBorders>
            <w:shd w:val="clear" w:color="000000" w:fill="FFFFFF"/>
            <w:hideMark/>
          </w:tcPr>
          <w:p w14:paraId="0942B08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Mērķis - Izglītības un zinātnes ministrijas profesionālās izglītības iestāžu un koledžu (turpmāk – profesionālās izglītības iestādes) infrastruktūras modernizācija un uzlabošana, ietverot arī investīcijas viedā </w:t>
            </w:r>
            <w:proofErr w:type="spellStart"/>
            <w:r w:rsidRPr="00BF055E">
              <w:rPr>
                <w:rFonts w:eastAsia="Times New Roman" w:cs="Times New Roman"/>
                <w:sz w:val="18"/>
                <w:szCs w:val="18"/>
                <w:lang w:eastAsia="lv-LV"/>
              </w:rPr>
              <w:t>energovadībā</w:t>
            </w:r>
            <w:proofErr w:type="spellEnd"/>
            <w:r w:rsidRPr="00BF055E">
              <w:rPr>
                <w:rFonts w:eastAsia="Times New Roman" w:cs="Times New Roman"/>
                <w:sz w:val="18"/>
                <w:szCs w:val="18"/>
                <w:lang w:eastAsia="lv-LV"/>
              </w:rPr>
              <w:t xml:space="preserve">, videi draudzīgos ilgtermiņa apsaimniekošanas risinājumos enerģijas taupīšanai vai ieguvei no </w:t>
            </w:r>
            <w:proofErr w:type="spellStart"/>
            <w:r w:rsidRPr="00BF055E">
              <w:rPr>
                <w:rFonts w:eastAsia="Times New Roman" w:cs="Times New Roman"/>
                <w:sz w:val="18"/>
                <w:szCs w:val="18"/>
                <w:lang w:eastAsia="lv-LV"/>
              </w:rPr>
              <w:t>atjaunīgiem</w:t>
            </w:r>
            <w:proofErr w:type="spellEnd"/>
            <w:r w:rsidRPr="00BF055E">
              <w:rPr>
                <w:rFonts w:eastAsia="Times New Roman" w:cs="Times New Roman"/>
                <w:sz w:val="18"/>
                <w:szCs w:val="18"/>
                <w:lang w:eastAsia="lv-LV"/>
              </w:rPr>
              <w:t xml:space="preserve"> energoresursiem, un videi draudzīgas izglītības iestādes darbības demonstrējumu, </w:t>
            </w:r>
            <w:proofErr w:type="spellStart"/>
            <w:r w:rsidRPr="00BF055E">
              <w:rPr>
                <w:rFonts w:eastAsia="Times New Roman" w:cs="Times New Roman"/>
                <w:sz w:val="18"/>
                <w:szCs w:val="18"/>
                <w:lang w:eastAsia="lv-LV"/>
              </w:rPr>
              <w:t>etalonveidošanas</w:t>
            </w:r>
            <w:proofErr w:type="spellEnd"/>
            <w:r w:rsidRPr="00BF055E">
              <w:rPr>
                <w:rFonts w:eastAsia="Times New Roman" w:cs="Times New Roman"/>
                <w:sz w:val="18"/>
                <w:szCs w:val="18"/>
                <w:lang w:eastAsia="lv-LV"/>
              </w:rPr>
              <w:t xml:space="preserve"> iniciatīvās, prioritāri atbalstot darbības, kurās plānots sasniegt primārās enerģijas ietaupījumu ne mazāk kā 30 procentu apmērā.</w:t>
            </w:r>
          </w:p>
        </w:tc>
        <w:tc>
          <w:tcPr>
            <w:tcW w:w="2835" w:type="dxa"/>
            <w:tcBorders>
              <w:top w:val="nil"/>
              <w:left w:val="nil"/>
              <w:bottom w:val="single" w:sz="4" w:space="0" w:color="auto"/>
              <w:right w:val="single" w:sz="4" w:space="0" w:color="auto"/>
            </w:tcBorders>
            <w:shd w:val="clear" w:color="000000" w:fill="FFFFFF"/>
            <w:hideMark/>
          </w:tcPr>
          <w:p w14:paraId="5E7A7458" w14:textId="649546EA"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MK noteikumu projekts par pasākuma īstenošanu augustā tiks iesniegts MK. </w:t>
            </w:r>
            <w:proofErr w:type="spellStart"/>
            <w:r w:rsidRPr="00BF055E">
              <w:rPr>
                <w:rFonts w:eastAsia="Times New Roman" w:cs="Times New Roman"/>
                <w:sz w:val="18"/>
                <w:szCs w:val="18"/>
                <w:lang w:eastAsia="lv-LV"/>
              </w:rPr>
              <w:t>IV.cet</w:t>
            </w:r>
            <w:proofErr w:type="spellEnd"/>
            <w:r w:rsidRPr="00BF055E">
              <w:rPr>
                <w:rFonts w:eastAsia="Times New Roman" w:cs="Times New Roman"/>
                <w:sz w:val="18"/>
                <w:szCs w:val="18"/>
                <w:lang w:eastAsia="lv-LV"/>
              </w:rPr>
              <w:t xml:space="preserve">. plānota atlases nolikuma izstrāde un saskaņošana un  atlases uzsākšana. IV </w:t>
            </w:r>
            <w:proofErr w:type="spellStart"/>
            <w:r w:rsidRPr="00BF055E">
              <w:rPr>
                <w:rFonts w:eastAsia="Times New Roman" w:cs="Times New Roman"/>
                <w:sz w:val="18"/>
                <w:szCs w:val="18"/>
                <w:lang w:eastAsia="lv-LV"/>
              </w:rPr>
              <w:t>cet</w:t>
            </w:r>
            <w:proofErr w:type="spellEnd"/>
            <w:r w:rsidRPr="00BF055E">
              <w:rPr>
                <w:rFonts w:eastAsia="Times New Roman" w:cs="Times New Roman"/>
                <w:sz w:val="18"/>
                <w:szCs w:val="18"/>
                <w:lang w:eastAsia="lv-LV"/>
              </w:rPr>
              <w:t xml:space="preserve"> plānota projektu īstenošanas uzsākšana.</w:t>
            </w:r>
          </w:p>
        </w:tc>
        <w:tc>
          <w:tcPr>
            <w:tcW w:w="850" w:type="dxa"/>
            <w:tcBorders>
              <w:top w:val="nil"/>
              <w:left w:val="nil"/>
              <w:bottom w:val="single" w:sz="4" w:space="0" w:color="auto"/>
              <w:right w:val="single" w:sz="4" w:space="0" w:color="auto"/>
            </w:tcBorders>
            <w:shd w:val="clear" w:color="000000" w:fill="FFFFFF"/>
            <w:hideMark/>
          </w:tcPr>
          <w:p w14:paraId="1ACE3D3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 -2029.</w:t>
            </w:r>
          </w:p>
        </w:tc>
        <w:tc>
          <w:tcPr>
            <w:tcW w:w="1559" w:type="dxa"/>
            <w:tcBorders>
              <w:top w:val="nil"/>
              <w:left w:val="nil"/>
              <w:bottom w:val="single" w:sz="4" w:space="0" w:color="auto"/>
              <w:right w:val="single" w:sz="4" w:space="0" w:color="auto"/>
            </w:tcBorders>
            <w:shd w:val="clear" w:color="auto" w:fill="auto"/>
            <w:hideMark/>
          </w:tcPr>
          <w:p w14:paraId="7510553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ietvaros plānotais kopējais attiecināmais finansējums ir 19 140 000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finansējuma apjoms 3 018 862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Eiropas Reģionālās attīstības fonda finansējums 16 269 000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finansējuma apjoms 2 566 033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2 871 000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finansējuma apjoms 452 829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0EA28CE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AI - IZM</w:t>
            </w:r>
          </w:p>
        </w:tc>
        <w:tc>
          <w:tcPr>
            <w:tcW w:w="850" w:type="dxa"/>
            <w:tcBorders>
              <w:top w:val="nil"/>
              <w:left w:val="nil"/>
              <w:bottom w:val="single" w:sz="4" w:space="0" w:color="auto"/>
              <w:right w:val="single" w:sz="4" w:space="0" w:color="auto"/>
            </w:tcBorders>
            <w:shd w:val="clear" w:color="000000" w:fill="FFFFFF"/>
            <w:hideMark/>
          </w:tcPr>
          <w:p w14:paraId="0D0362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5E62B9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 2021(1); 2022(1); 2022(3); 2023(1); 2023(3); 2024(4)</w:t>
            </w:r>
          </w:p>
        </w:tc>
        <w:tc>
          <w:tcPr>
            <w:tcW w:w="992" w:type="dxa"/>
            <w:tcBorders>
              <w:top w:val="nil"/>
              <w:left w:val="nil"/>
              <w:bottom w:val="single" w:sz="4" w:space="0" w:color="auto"/>
              <w:right w:val="single" w:sz="4" w:space="0" w:color="auto"/>
            </w:tcBorders>
            <w:shd w:val="clear" w:color="000000" w:fill="FFFFFF"/>
            <w:hideMark/>
          </w:tcPr>
          <w:p w14:paraId="7A22A2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Taisnīga zaļā un digitālā pārkārtošanās</w:t>
            </w:r>
          </w:p>
        </w:tc>
        <w:tc>
          <w:tcPr>
            <w:tcW w:w="992" w:type="dxa"/>
            <w:tcBorders>
              <w:top w:val="nil"/>
              <w:left w:val="nil"/>
              <w:bottom w:val="single" w:sz="4" w:space="0" w:color="auto"/>
              <w:right w:val="single" w:sz="4" w:space="0" w:color="auto"/>
            </w:tcBorders>
            <w:shd w:val="clear" w:color="000000" w:fill="FFFFFF"/>
            <w:hideMark/>
          </w:tcPr>
          <w:p w14:paraId="1DB7A1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28BACD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7. Pieejama un atjaunojama enerģija; 9. Ražošana, inovācijas un infrastruktūra; 13. Rīcība klimata jomā; 16. Miers, taisnīgums, laba pārvaldība</w:t>
            </w:r>
          </w:p>
        </w:tc>
      </w:tr>
      <w:tr w:rsidR="00BF055E" w:rsidRPr="00BF055E" w14:paraId="2057775C"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7015E4D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kohēzijas politikas programmas 2021.–2027. </w:t>
            </w:r>
            <w:r w:rsidRPr="00BF055E">
              <w:rPr>
                <w:rFonts w:eastAsia="Times New Roman" w:cs="Times New Roman"/>
                <w:sz w:val="18"/>
                <w:szCs w:val="18"/>
                <w:lang w:eastAsia="lv-LV"/>
              </w:rPr>
              <w:lastRenderedPageBreak/>
              <w:t xml:space="preserve">gadam 1.1.1. specifiskā atbalsta mērķa "Pētniecības un inovāciju kapacitātes stiprināšana un progresīvu tehnoloģiju ieviešana kopējā P&amp;A sistēmā" 1.1.1.6. pasākums "Zinātniskās darbības </w:t>
            </w:r>
            <w:proofErr w:type="spellStart"/>
            <w:r w:rsidRPr="00BF055E">
              <w:rPr>
                <w:rFonts w:eastAsia="Times New Roman" w:cs="Times New Roman"/>
                <w:sz w:val="18"/>
                <w:szCs w:val="18"/>
                <w:lang w:eastAsia="lv-LV"/>
              </w:rPr>
              <w:t>digitalizācija</w:t>
            </w:r>
            <w:proofErr w:type="spellEnd"/>
            <w:r w:rsidRPr="00BF055E">
              <w:rPr>
                <w:rFonts w:eastAsia="Times New Roman" w:cs="Times New Roman"/>
                <w:sz w:val="18"/>
                <w:szCs w:val="18"/>
                <w:lang w:eastAsia="lv-LV"/>
              </w:rPr>
              <w:t xml:space="preserve"> un  dalība Eiropas Atvērtajā zinātnes mākonī (EOSC </w:t>
            </w:r>
            <w:proofErr w:type="spellStart"/>
            <w:r w:rsidRPr="00BF055E">
              <w:rPr>
                <w:rFonts w:eastAsia="Times New Roman" w:cs="Times New Roman"/>
                <w:sz w:val="18"/>
                <w:szCs w:val="18"/>
                <w:lang w:eastAsia="lv-LV"/>
              </w:rPr>
              <w:t>market</w:t>
            </w:r>
            <w:proofErr w:type="spellEnd"/>
            <w:r w:rsidRPr="00BF055E">
              <w:rPr>
                <w:rFonts w:eastAsia="Times New Roman" w:cs="Times New Roman"/>
                <w:sz w:val="18"/>
                <w:szCs w:val="18"/>
                <w:lang w:eastAsia="lv-LV"/>
              </w:rPr>
              <w:t xml:space="preserve"> </w:t>
            </w:r>
            <w:proofErr w:type="spellStart"/>
            <w:r w:rsidRPr="00BF055E">
              <w:rPr>
                <w:rFonts w:eastAsia="Times New Roman" w:cs="Times New Roman"/>
                <w:sz w:val="18"/>
                <w:szCs w:val="18"/>
                <w:lang w:eastAsia="lv-LV"/>
              </w:rPr>
              <w:t>place</w:t>
            </w:r>
            <w:proofErr w:type="spellEnd"/>
            <w:r w:rsidRPr="00BF055E">
              <w:rPr>
                <w:rFonts w:eastAsia="Times New Roman" w:cs="Times New Roman"/>
                <w:sz w:val="18"/>
                <w:szCs w:val="18"/>
                <w:lang w:eastAsia="lv-LV"/>
              </w:rPr>
              <w:t xml:space="preserve"> pakalpojumu iegāde)"</w:t>
            </w:r>
          </w:p>
        </w:tc>
        <w:tc>
          <w:tcPr>
            <w:tcW w:w="2183" w:type="dxa"/>
            <w:tcBorders>
              <w:top w:val="nil"/>
              <w:left w:val="nil"/>
              <w:bottom w:val="single" w:sz="4" w:space="0" w:color="auto"/>
              <w:right w:val="single" w:sz="4" w:space="0" w:color="auto"/>
            </w:tcBorders>
            <w:shd w:val="clear" w:color="000000" w:fill="FFFFFF"/>
            <w:hideMark/>
          </w:tcPr>
          <w:p w14:paraId="12F8DD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Nodrošināt Latvijas pētniekiem mūsdienīgu piekļuvi un dalīšanos ar kvalitatīvi pārvaldītiem </w:t>
            </w:r>
            <w:r w:rsidRPr="00BF055E">
              <w:rPr>
                <w:rFonts w:eastAsia="Times New Roman" w:cs="Times New Roman"/>
                <w:sz w:val="18"/>
                <w:szCs w:val="18"/>
                <w:lang w:eastAsia="lv-LV"/>
              </w:rPr>
              <w:lastRenderedPageBreak/>
              <w:t>pētniecības datiem, piekļuvi datu apstrādes rīkiem un digitāliem pētniecības pakalpojumiem</w:t>
            </w:r>
            <w:r w:rsidRPr="00BF055E">
              <w:rPr>
                <w:rFonts w:eastAsia="Times New Roman" w:cs="Times New Roman"/>
                <w:sz w:val="18"/>
                <w:szCs w:val="18"/>
                <w:lang w:eastAsia="lv-LV"/>
              </w:rPr>
              <w:br/>
              <w:t>Nodrošināt Latvijas iekļaušanos Eiropas pētniecības telpā un Mākslīgā intelekta potenciāla izmantošanu.</w:t>
            </w:r>
            <w:r w:rsidRPr="00BF055E">
              <w:rPr>
                <w:rFonts w:eastAsia="Times New Roman" w:cs="Times New Roman"/>
                <w:sz w:val="18"/>
                <w:szCs w:val="18"/>
                <w:lang w:eastAsia="lv-LV"/>
              </w:rPr>
              <w:br/>
              <w:t xml:space="preserve">Izveidojot un ieviešot:  </w:t>
            </w:r>
            <w:r w:rsidRPr="00BF055E">
              <w:rPr>
                <w:rFonts w:eastAsia="Times New Roman" w:cs="Times New Roman"/>
                <w:sz w:val="18"/>
                <w:szCs w:val="18"/>
                <w:lang w:eastAsia="lv-LV"/>
              </w:rPr>
              <w:br/>
              <w:t>Eiropas Atvērtās zinātnes mākoņa nacionālo mezglu (EOSC LV)</w:t>
            </w:r>
            <w:r w:rsidRPr="00BF055E">
              <w:rPr>
                <w:rFonts w:eastAsia="Times New Roman" w:cs="Times New Roman"/>
                <w:sz w:val="18"/>
                <w:szCs w:val="18"/>
                <w:lang w:eastAsia="lv-LV"/>
              </w:rPr>
              <w:br/>
              <w:t>koplietošanas pakalpojumus datu izmantošanai</w:t>
            </w:r>
          </w:p>
        </w:tc>
        <w:tc>
          <w:tcPr>
            <w:tcW w:w="2835" w:type="dxa"/>
            <w:tcBorders>
              <w:top w:val="nil"/>
              <w:left w:val="nil"/>
              <w:bottom w:val="single" w:sz="4" w:space="0" w:color="auto"/>
              <w:right w:val="single" w:sz="4" w:space="0" w:color="auto"/>
            </w:tcBorders>
            <w:shd w:val="clear" w:color="000000" w:fill="FFFFFF"/>
            <w:hideMark/>
          </w:tcPr>
          <w:p w14:paraId="7066B46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MKN ir izstrādē. Septembra sākumā plānots MKN izsludināt TAP. Projekta ieviesējs būs Vienotais pakalpojumu centrs</w:t>
            </w:r>
          </w:p>
        </w:tc>
        <w:tc>
          <w:tcPr>
            <w:tcW w:w="850" w:type="dxa"/>
            <w:tcBorders>
              <w:top w:val="nil"/>
              <w:left w:val="nil"/>
              <w:bottom w:val="single" w:sz="4" w:space="0" w:color="auto"/>
              <w:right w:val="single" w:sz="4" w:space="0" w:color="auto"/>
            </w:tcBorders>
            <w:shd w:val="clear" w:color="000000" w:fill="FFFFFF"/>
            <w:hideMark/>
          </w:tcPr>
          <w:p w14:paraId="2F247F9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2025 - 2029</w:t>
            </w:r>
          </w:p>
        </w:tc>
        <w:tc>
          <w:tcPr>
            <w:tcW w:w="1559" w:type="dxa"/>
            <w:tcBorders>
              <w:top w:val="nil"/>
              <w:left w:val="nil"/>
              <w:bottom w:val="single" w:sz="4" w:space="0" w:color="auto"/>
              <w:right w:val="single" w:sz="4" w:space="0" w:color="auto"/>
            </w:tcBorders>
            <w:shd w:val="clear" w:color="auto" w:fill="auto"/>
            <w:hideMark/>
          </w:tcPr>
          <w:p w14:paraId="263F43C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21,750,002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ERAF 18,487,501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r w:rsidRPr="00BF055E">
              <w:rPr>
                <w:rFonts w:eastAsia="Times New Roman" w:cs="Times New Roman"/>
                <w:sz w:val="18"/>
                <w:szCs w:val="18"/>
                <w:lang w:eastAsia="lv-LV"/>
              </w:rPr>
              <w:lastRenderedPageBreak/>
              <w:t xml:space="preserve">valsts budžets 3,262,501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641822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IZM/VPC</w:t>
            </w:r>
          </w:p>
        </w:tc>
        <w:tc>
          <w:tcPr>
            <w:tcW w:w="850" w:type="dxa"/>
            <w:tcBorders>
              <w:top w:val="nil"/>
              <w:left w:val="nil"/>
              <w:bottom w:val="single" w:sz="4" w:space="0" w:color="auto"/>
              <w:right w:val="single" w:sz="4" w:space="0" w:color="auto"/>
            </w:tcBorders>
            <w:shd w:val="clear" w:color="000000" w:fill="FFFFFF"/>
            <w:hideMark/>
          </w:tcPr>
          <w:p w14:paraId="0CF16A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249C6CC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2019(3); 2020(3); 2021(1); </w:t>
            </w:r>
            <w:r w:rsidRPr="00BF055E">
              <w:rPr>
                <w:rFonts w:eastAsia="Times New Roman" w:cs="Times New Roman"/>
                <w:sz w:val="18"/>
                <w:szCs w:val="18"/>
                <w:lang w:eastAsia="lv-LV"/>
              </w:rPr>
              <w:lastRenderedPageBreak/>
              <w:t>2023(1); 2024(3)</w:t>
            </w:r>
          </w:p>
        </w:tc>
        <w:tc>
          <w:tcPr>
            <w:tcW w:w="992" w:type="dxa"/>
            <w:tcBorders>
              <w:top w:val="nil"/>
              <w:left w:val="nil"/>
              <w:bottom w:val="single" w:sz="4" w:space="0" w:color="auto"/>
              <w:right w:val="single" w:sz="4" w:space="0" w:color="auto"/>
            </w:tcBorders>
            <w:shd w:val="clear" w:color="000000" w:fill="FFFFFF"/>
            <w:hideMark/>
          </w:tcPr>
          <w:p w14:paraId="2005203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1. Taisnīga zaļā un digitālā </w:t>
            </w:r>
            <w:r w:rsidRPr="00BF055E">
              <w:rPr>
                <w:rFonts w:eastAsia="Times New Roman" w:cs="Times New Roman"/>
                <w:sz w:val="18"/>
                <w:szCs w:val="18"/>
                <w:lang w:eastAsia="lv-LV"/>
              </w:rPr>
              <w:lastRenderedPageBreak/>
              <w:t>pārkārtošanās</w:t>
            </w:r>
          </w:p>
        </w:tc>
        <w:tc>
          <w:tcPr>
            <w:tcW w:w="992" w:type="dxa"/>
            <w:tcBorders>
              <w:top w:val="nil"/>
              <w:left w:val="nil"/>
              <w:bottom w:val="single" w:sz="4" w:space="0" w:color="auto"/>
              <w:right w:val="single" w:sz="4" w:space="0" w:color="auto"/>
            </w:tcBorders>
            <w:shd w:val="clear" w:color="000000" w:fill="FFFFFF"/>
            <w:hideMark/>
          </w:tcPr>
          <w:p w14:paraId="7FB20B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815" w:type="dxa"/>
            <w:tcBorders>
              <w:top w:val="nil"/>
              <w:left w:val="nil"/>
              <w:bottom w:val="single" w:sz="4" w:space="0" w:color="auto"/>
              <w:right w:val="single" w:sz="4" w:space="0" w:color="auto"/>
            </w:tcBorders>
            <w:shd w:val="clear" w:color="000000" w:fill="FFFFFF"/>
            <w:hideMark/>
          </w:tcPr>
          <w:p w14:paraId="6C5F554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w:t>
            </w:r>
            <w:r w:rsidRPr="00BF055E">
              <w:rPr>
                <w:rFonts w:eastAsia="Times New Roman" w:cs="Times New Roman"/>
                <w:sz w:val="18"/>
                <w:szCs w:val="18"/>
                <w:lang w:eastAsia="lv-LV"/>
              </w:rPr>
              <w:lastRenderedPageBreak/>
              <w:t>as un infrastruktūra</w:t>
            </w:r>
          </w:p>
        </w:tc>
      </w:tr>
      <w:tr w:rsidR="00BF055E" w:rsidRPr="00BF055E" w14:paraId="26F0D3DC" w14:textId="77777777" w:rsidTr="003B1594">
        <w:trPr>
          <w:trHeight w:val="20"/>
        </w:trPr>
        <w:tc>
          <w:tcPr>
            <w:tcW w:w="14560" w:type="dxa"/>
            <w:gridSpan w:val="11"/>
            <w:tcBorders>
              <w:top w:val="single" w:sz="4" w:space="0" w:color="auto"/>
              <w:left w:val="single" w:sz="4" w:space="0" w:color="auto"/>
              <w:bottom w:val="single" w:sz="4" w:space="0" w:color="auto"/>
              <w:right w:val="single" w:sz="4" w:space="0" w:color="auto"/>
            </w:tcBorders>
            <w:shd w:val="clear" w:color="000000" w:fill="F2F2F2"/>
            <w:hideMark/>
          </w:tcPr>
          <w:p w14:paraId="568AD3EB"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lastRenderedPageBreak/>
              <w:t>Sociālā un ekonomikas noturība, t.sk. Eiropas Sociālo tiesību pīlārs</w:t>
            </w:r>
          </w:p>
        </w:tc>
      </w:tr>
      <w:tr w:rsidR="00BF055E" w:rsidRPr="00BF055E" w14:paraId="1299AB08"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7FFC71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Pirmsskolas izglītības iestāžu infrastruktūras attīstība (Programma</w:t>
            </w:r>
            <w:r w:rsidRPr="00BF055E">
              <w:rPr>
                <w:rFonts w:eastAsia="Times New Roman" w:cs="Times New Roman"/>
                <w:sz w:val="18"/>
                <w:szCs w:val="18"/>
                <w:lang w:eastAsia="lv-LV"/>
              </w:rPr>
              <w:br/>
              <w:t>4.2.1.7. (bez elastības finansējuma rādītājos un finansēs))</w:t>
            </w:r>
          </w:p>
        </w:tc>
        <w:tc>
          <w:tcPr>
            <w:tcW w:w="2183" w:type="dxa"/>
            <w:tcBorders>
              <w:top w:val="nil"/>
              <w:left w:val="nil"/>
              <w:bottom w:val="single" w:sz="4" w:space="0" w:color="auto"/>
              <w:right w:val="single" w:sz="4" w:space="0" w:color="auto"/>
            </w:tcBorders>
            <w:shd w:val="clear" w:color="000000" w:fill="FFFFFF"/>
            <w:hideMark/>
          </w:tcPr>
          <w:p w14:paraId="129DAE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Investīcijas pakalpojumu efektivitātes uzlabošanas un nodrošināšanas veicināšanai reģionos, lai attīstītu pašvaldību pirmsskolas izglītības iestāžu infrastruktūru jaunu vietu izveidei pirmsskolas vecuma bērnu uzņemšanai, lai atbilstoši vienlīdzīgas pieejas principam veicinātu pašvaldību pirmsskolas izglītības pakalpojumu pieejamību, tai skaitā sociāli un ekonomiski </w:t>
            </w:r>
            <w:proofErr w:type="spellStart"/>
            <w:r w:rsidRPr="00BF055E">
              <w:rPr>
                <w:rFonts w:eastAsia="Times New Roman" w:cs="Times New Roman"/>
                <w:sz w:val="18"/>
                <w:szCs w:val="18"/>
                <w:lang w:eastAsia="lv-LV"/>
              </w:rPr>
              <w:t>mazaizsargāto</w:t>
            </w:r>
            <w:proofErr w:type="spellEnd"/>
            <w:r w:rsidRPr="00BF055E">
              <w:rPr>
                <w:rFonts w:eastAsia="Times New Roman" w:cs="Times New Roman"/>
                <w:sz w:val="18"/>
                <w:szCs w:val="18"/>
                <w:lang w:eastAsia="lv-LV"/>
              </w:rPr>
              <w:t xml:space="preserve"> personu </w:t>
            </w:r>
            <w:r w:rsidRPr="00BF055E">
              <w:rPr>
                <w:rFonts w:eastAsia="Times New Roman" w:cs="Times New Roman"/>
                <w:sz w:val="18"/>
                <w:szCs w:val="18"/>
                <w:lang w:eastAsia="lv-LV"/>
              </w:rPr>
              <w:lastRenderedPageBreak/>
              <w:t>grupām.</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jaunu vai modernizētu bērnu aprūpes (pirmsskolas) iestāžu mācību telpu ietilpība – vismaz 1708 personas;</w:t>
            </w:r>
            <w:r w:rsidRPr="00BF055E">
              <w:rPr>
                <w:rFonts w:eastAsia="Times New Roman" w:cs="Times New Roman"/>
                <w:sz w:val="18"/>
                <w:szCs w:val="18"/>
                <w:lang w:eastAsia="lv-LV"/>
              </w:rPr>
              <w:br/>
              <w:t>2) jauno vai modernizēto bērnu aprūpes (pirmsskolas) iestāžu lietotāju skaits gadā – 1623 personas.</w:t>
            </w:r>
          </w:p>
        </w:tc>
        <w:tc>
          <w:tcPr>
            <w:tcW w:w="2835" w:type="dxa"/>
            <w:tcBorders>
              <w:top w:val="nil"/>
              <w:left w:val="nil"/>
              <w:bottom w:val="single" w:sz="4" w:space="0" w:color="auto"/>
              <w:right w:val="single" w:sz="4" w:space="0" w:color="auto"/>
            </w:tcBorders>
            <w:shd w:val="clear" w:color="000000" w:fill="FFFFFF"/>
            <w:hideMark/>
          </w:tcPr>
          <w:p w14:paraId="464C9F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 MK noteikumu apstiprināšana (06.06.2023.) un MK noteikumu grozījumi par papildu finansējuma piešķiršanu (2024.g. 3. cet.);</w:t>
            </w:r>
            <w:r w:rsidRPr="00BF055E">
              <w:rPr>
                <w:rFonts w:eastAsia="Times New Roman" w:cs="Times New Roman"/>
                <w:sz w:val="18"/>
                <w:szCs w:val="18"/>
                <w:lang w:eastAsia="lv-LV"/>
              </w:rPr>
              <w:br/>
              <w:t>2) projektu iesniegumu vērtēšanas kritēriju apstiprināšana ES fondu Uzraudzības komitejā (11.04.2023.);</w:t>
            </w:r>
            <w:r w:rsidRPr="00BF055E">
              <w:rPr>
                <w:rFonts w:eastAsia="Times New Roman" w:cs="Times New Roman"/>
                <w:sz w:val="18"/>
                <w:szCs w:val="18"/>
                <w:lang w:eastAsia="lv-LV"/>
              </w:rPr>
              <w:br/>
              <w:t>3) atklātas atlases uzsākšana (19.07.2023.);</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04949B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01.01.2021.-31.12.2029.</w:t>
            </w:r>
          </w:p>
        </w:tc>
        <w:tc>
          <w:tcPr>
            <w:tcW w:w="1559" w:type="dxa"/>
            <w:tcBorders>
              <w:top w:val="nil"/>
              <w:left w:val="nil"/>
              <w:bottom w:val="single" w:sz="4" w:space="0" w:color="auto"/>
              <w:right w:val="single" w:sz="4" w:space="0" w:color="auto"/>
            </w:tcBorders>
            <w:shd w:val="clear" w:color="000000" w:fill="FFFFFF"/>
            <w:hideMark/>
          </w:tcPr>
          <w:p w14:paraId="54256B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41,3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ERAF;</w:t>
            </w:r>
            <w:r w:rsidRPr="00BF055E">
              <w:rPr>
                <w:rFonts w:eastAsia="Times New Roman" w:cs="Times New Roman"/>
                <w:sz w:val="18"/>
                <w:szCs w:val="18"/>
                <w:lang w:eastAsia="lv-LV"/>
              </w:rPr>
              <w:br/>
              <w:t xml:space="preserve">7,3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(pašvaldību budžets)</w:t>
            </w:r>
          </w:p>
        </w:tc>
        <w:tc>
          <w:tcPr>
            <w:tcW w:w="993" w:type="dxa"/>
            <w:tcBorders>
              <w:top w:val="nil"/>
              <w:left w:val="nil"/>
              <w:bottom w:val="single" w:sz="4" w:space="0" w:color="auto"/>
              <w:right w:val="single" w:sz="4" w:space="0" w:color="auto"/>
            </w:tcBorders>
            <w:shd w:val="clear" w:color="000000" w:fill="FFFFFF"/>
            <w:hideMark/>
          </w:tcPr>
          <w:p w14:paraId="3A907EE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w:t>
            </w:r>
          </w:p>
        </w:tc>
        <w:tc>
          <w:tcPr>
            <w:tcW w:w="850" w:type="dxa"/>
            <w:tcBorders>
              <w:top w:val="nil"/>
              <w:left w:val="nil"/>
              <w:bottom w:val="single" w:sz="4" w:space="0" w:color="auto"/>
              <w:right w:val="single" w:sz="4" w:space="0" w:color="auto"/>
            </w:tcBorders>
            <w:shd w:val="clear" w:color="000000" w:fill="FFFFFF"/>
            <w:hideMark/>
          </w:tcPr>
          <w:p w14:paraId="5461E33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4A55EF9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w:t>
            </w:r>
          </w:p>
        </w:tc>
        <w:tc>
          <w:tcPr>
            <w:tcW w:w="992" w:type="dxa"/>
            <w:tcBorders>
              <w:top w:val="nil"/>
              <w:left w:val="nil"/>
              <w:bottom w:val="single" w:sz="4" w:space="0" w:color="auto"/>
              <w:right w:val="single" w:sz="4" w:space="0" w:color="auto"/>
            </w:tcBorders>
            <w:shd w:val="clear" w:color="000000" w:fill="FFFFFF"/>
            <w:hideMark/>
          </w:tcPr>
          <w:p w14:paraId="5DD592C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656CC01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Sociālā aizsardzība un iekļaušana</w:t>
            </w:r>
          </w:p>
        </w:tc>
        <w:tc>
          <w:tcPr>
            <w:tcW w:w="815" w:type="dxa"/>
            <w:tcBorders>
              <w:top w:val="nil"/>
              <w:left w:val="nil"/>
              <w:bottom w:val="single" w:sz="4" w:space="0" w:color="auto"/>
              <w:right w:val="single" w:sz="4" w:space="0" w:color="auto"/>
            </w:tcBorders>
            <w:shd w:val="clear" w:color="000000" w:fill="FFFFFF"/>
            <w:hideMark/>
          </w:tcPr>
          <w:p w14:paraId="181256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 4. Kvalitatīva izglītība; 9. Ražošana, inovācijas un infrastruktūra; 10. Mazināt</w:t>
            </w:r>
            <w:r w:rsidRPr="00BF055E">
              <w:rPr>
                <w:rFonts w:eastAsia="Times New Roman" w:cs="Times New Roman"/>
                <w:sz w:val="18"/>
                <w:szCs w:val="18"/>
                <w:lang w:eastAsia="lv-LV"/>
              </w:rPr>
              <w:lastRenderedPageBreak/>
              <w:t>a nevienlīdzība; 11. Ilgtspējīgas pilsētas un kopienas; 16. Miers, taisnīgums, laba pārvaldība</w:t>
            </w:r>
          </w:p>
        </w:tc>
      </w:tr>
      <w:tr w:rsidR="00BF055E" w:rsidRPr="00BF055E" w14:paraId="2CEA07C6"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2C43053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Bērnu pieskatīšanas pakalpojumi (Programma</w:t>
            </w:r>
            <w:r w:rsidRPr="00BF055E">
              <w:rPr>
                <w:rFonts w:eastAsia="Times New Roman" w:cs="Times New Roman"/>
                <w:sz w:val="18"/>
                <w:szCs w:val="18"/>
                <w:lang w:eastAsia="lv-LV"/>
              </w:rPr>
              <w:br/>
              <w:t>4.3.6.6. (bez elastības finansējuma rādītājos un finansēs))</w:t>
            </w:r>
          </w:p>
        </w:tc>
        <w:tc>
          <w:tcPr>
            <w:tcW w:w="2183" w:type="dxa"/>
            <w:tcBorders>
              <w:top w:val="nil"/>
              <w:left w:val="nil"/>
              <w:bottom w:val="single" w:sz="4" w:space="0" w:color="auto"/>
              <w:right w:val="single" w:sz="4" w:space="0" w:color="auto"/>
            </w:tcBorders>
            <w:shd w:val="clear" w:color="000000" w:fill="FFFFFF"/>
            <w:hideMark/>
          </w:tcPr>
          <w:p w14:paraId="222C92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Investīcijas atbalsta sniegšanai pašvaldībām privātā pirmsskolas izglītības pakalpojuma un bērnu uzraudzības pakalpojuma iegādei, lai veicinātu darba un ģimenes dzīves līdzsvarošanu un vienlīdzīgas iespējas visām ģimenēm.</w:t>
            </w:r>
            <w:r w:rsidRPr="00BF055E">
              <w:rPr>
                <w:rFonts w:eastAsia="Times New Roman" w:cs="Times New Roman"/>
                <w:sz w:val="18"/>
                <w:szCs w:val="18"/>
                <w:lang w:eastAsia="lv-LV"/>
              </w:rPr>
              <w:br/>
              <w:t>Sasniedzamie rezultāti:</w:t>
            </w:r>
            <w:r w:rsidRPr="00BF055E">
              <w:rPr>
                <w:rFonts w:eastAsia="Times New Roman" w:cs="Times New Roman"/>
                <w:sz w:val="18"/>
                <w:szCs w:val="18"/>
                <w:lang w:eastAsia="lv-LV"/>
              </w:rPr>
              <w:br/>
              <w:t>1) atbalstu saņēmuši vismaz 1 043 bērni;</w:t>
            </w:r>
            <w:r w:rsidRPr="00BF055E">
              <w:rPr>
                <w:rFonts w:eastAsia="Times New Roman" w:cs="Times New Roman"/>
                <w:sz w:val="18"/>
                <w:szCs w:val="18"/>
                <w:lang w:eastAsia="lv-LV"/>
              </w:rPr>
              <w:br/>
              <w:t>2) pirmsskolas izglītības pakalpojumus vienu līdz trīs gadus saņēmuši vismaz 991 bērni.</w:t>
            </w:r>
          </w:p>
        </w:tc>
        <w:tc>
          <w:tcPr>
            <w:tcW w:w="2835" w:type="dxa"/>
            <w:tcBorders>
              <w:top w:val="nil"/>
              <w:left w:val="nil"/>
              <w:bottom w:val="single" w:sz="4" w:space="0" w:color="auto"/>
              <w:right w:val="single" w:sz="4" w:space="0" w:color="auto"/>
            </w:tcBorders>
            <w:shd w:val="clear" w:color="000000" w:fill="FFFFFF"/>
            <w:hideMark/>
          </w:tcPr>
          <w:p w14:paraId="22FE4D0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MK noteikumu apstiprināšana (10.10.2023.);</w:t>
            </w:r>
            <w:r w:rsidRPr="00BF055E">
              <w:rPr>
                <w:rFonts w:eastAsia="Times New Roman" w:cs="Times New Roman"/>
                <w:sz w:val="18"/>
                <w:szCs w:val="18"/>
                <w:lang w:eastAsia="lv-LV"/>
              </w:rPr>
              <w:br/>
              <w:t>2) projektu iesniegumu vērtēšanas kritēriju apstiprināšana ES fondu Uzraudzības komitejā (27.09.2023.);</w:t>
            </w:r>
            <w:r w:rsidRPr="00BF055E">
              <w:rPr>
                <w:rFonts w:eastAsia="Times New Roman" w:cs="Times New Roman"/>
                <w:sz w:val="18"/>
                <w:szCs w:val="18"/>
                <w:lang w:eastAsia="lv-LV"/>
              </w:rPr>
              <w:br/>
              <w:t>3) atklātas atlases uzsākšana (07.11.2023.);</w:t>
            </w:r>
            <w:r w:rsidRPr="00BF055E">
              <w:rPr>
                <w:rFonts w:eastAsia="Times New Roman" w:cs="Times New Roman"/>
                <w:sz w:val="18"/>
                <w:szCs w:val="18"/>
                <w:lang w:eastAsia="lv-LV"/>
              </w:rPr>
              <w:br/>
              <w:t>4) līgumu slēgšana un projektu īstenošana.</w:t>
            </w:r>
          </w:p>
        </w:tc>
        <w:tc>
          <w:tcPr>
            <w:tcW w:w="850" w:type="dxa"/>
            <w:tcBorders>
              <w:top w:val="nil"/>
              <w:left w:val="nil"/>
              <w:bottom w:val="single" w:sz="4" w:space="0" w:color="auto"/>
              <w:right w:val="single" w:sz="4" w:space="0" w:color="auto"/>
            </w:tcBorders>
            <w:shd w:val="clear" w:color="000000" w:fill="FFFFFF"/>
            <w:hideMark/>
          </w:tcPr>
          <w:p w14:paraId="10DE461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01.01.2021.-31.12.2029.</w:t>
            </w:r>
          </w:p>
        </w:tc>
        <w:tc>
          <w:tcPr>
            <w:tcW w:w="1559" w:type="dxa"/>
            <w:tcBorders>
              <w:top w:val="nil"/>
              <w:left w:val="nil"/>
              <w:bottom w:val="single" w:sz="4" w:space="0" w:color="auto"/>
              <w:right w:val="single" w:sz="4" w:space="0" w:color="auto"/>
            </w:tcBorders>
            <w:shd w:val="clear" w:color="000000" w:fill="FFFFFF"/>
            <w:hideMark/>
          </w:tcPr>
          <w:p w14:paraId="3A3472F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13,7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ESF+;</w:t>
            </w:r>
            <w:r w:rsidRPr="00BF055E">
              <w:rPr>
                <w:rFonts w:eastAsia="Times New Roman" w:cs="Times New Roman"/>
                <w:sz w:val="18"/>
                <w:szCs w:val="18"/>
                <w:lang w:eastAsia="lv-LV"/>
              </w:rPr>
              <w:br/>
              <w:t xml:space="preserve">2,4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nacionālais finansējums (privātais finansējums)</w:t>
            </w:r>
          </w:p>
        </w:tc>
        <w:tc>
          <w:tcPr>
            <w:tcW w:w="993" w:type="dxa"/>
            <w:tcBorders>
              <w:top w:val="nil"/>
              <w:left w:val="nil"/>
              <w:bottom w:val="single" w:sz="4" w:space="0" w:color="auto"/>
              <w:right w:val="single" w:sz="4" w:space="0" w:color="auto"/>
            </w:tcBorders>
            <w:shd w:val="clear" w:color="000000" w:fill="FFFFFF"/>
            <w:hideMark/>
          </w:tcPr>
          <w:p w14:paraId="092B62E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VARAM/CFLA/pašvaldības</w:t>
            </w:r>
          </w:p>
        </w:tc>
        <w:tc>
          <w:tcPr>
            <w:tcW w:w="850" w:type="dxa"/>
            <w:tcBorders>
              <w:top w:val="nil"/>
              <w:left w:val="nil"/>
              <w:bottom w:val="single" w:sz="4" w:space="0" w:color="auto"/>
              <w:right w:val="single" w:sz="4" w:space="0" w:color="auto"/>
            </w:tcBorders>
            <w:shd w:val="clear" w:color="000000" w:fill="FFFFFF"/>
            <w:hideMark/>
          </w:tcPr>
          <w:p w14:paraId="607EAE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76F982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w:t>
            </w:r>
          </w:p>
        </w:tc>
        <w:tc>
          <w:tcPr>
            <w:tcW w:w="992" w:type="dxa"/>
            <w:tcBorders>
              <w:top w:val="nil"/>
              <w:left w:val="nil"/>
              <w:bottom w:val="single" w:sz="4" w:space="0" w:color="auto"/>
              <w:right w:val="single" w:sz="4" w:space="0" w:color="auto"/>
            </w:tcBorders>
            <w:shd w:val="clear" w:color="000000" w:fill="FFFFFF"/>
            <w:hideMark/>
          </w:tcPr>
          <w:p w14:paraId="5D140B7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65088CA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Taisnīgi darba apstākļi; Sociālā aizsardzība un iekļaušana</w:t>
            </w:r>
          </w:p>
        </w:tc>
        <w:tc>
          <w:tcPr>
            <w:tcW w:w="815" w:type="dxa"/>
            <w:tcBorders>
              <w:top w:val="nil"/>
              <w:left w:val="nil"/>
              <w:bottom w:val="single" w:sz="4" w:space="0" w:color="auto"/>
              <w:right w:val="single" w:sz="4" w:space="0" w:color="auto"/>
            </w:tcBorders>
            <w:shd w:val="clear" w:color="000000" w:fill="FFFFFF"/>
            <w:hideMark/>
          </w:tcPr>
          <w:p w14:paraId="1408B3E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Novērsta nabadzība; 4. Kvalitatīva izglītība; 9. Ražošana, inovācijas un infrastruktūra; 10. Mazināta nevienlīdzība; 11. Ilgtspējī</w:t>
            </w:r>
            <w:r w:rsidRPr="00BF055E">
              <w:rPr>
                <w:rFonts w:eastAsia="Times New Roman" w:cs="Times New Roman"/>
                <w:sz w:val="18"/>
                <w:szCs w:val="18"/>
                <w:lang w:eastAsia="lv-LV"/>
              </w:rPr>
              <w:lastRenderedPageBreak/>
              <w:t>gas pilsētas un kopienas; 16. Miers, taisnīgums, laba pārvaldība</w:t>
            </w:r>
          </w:p>
        </w:tc>
      </w:tr>
      <w:tr w:rsidR="00BF055E" w:rsidRPr="00BF055E" w14:paraId="45CA061F"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2938F785" w14:textId="497E8094"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plāna 6. komponentes "Likuma vara" 6.2. reformu un investīciju virziena "Noziedzīgi iegūtu līdzekļu legalizācijas identificēšana, ekonomisko noziegumu izmeklēšana, tiesvedības procesu modernizācija un preventīvo darbību īstenošana" 6.2.1.3.i. investīcijas "Vienota tiesnešu, tiesu darbinieku, prokuroru, prokuroru palīgu un specializēto izmeklētāju (starpdisciplināros jautājumos) kvalifikācijas </w:t>
            </w:r>
            <w:r w:rsidRPr="00BF055E">
              <w:rPr>
                <w:rFonts w:eastAsia="Times New Roman" w:cs="Times New Roman"/>
                <w:sz w:val="18"/>
                <w:szCs w:val="18"/>
                <w:lang w:eastAsia="lv-LV"/>
              </w:rPr>
              <w:lastRenderedPageBreak/>
              <w:t xml:space="preserve">pilnveides mācību centra izveide" </w:t>
            </w:r>
          </w:p>
        </w:tc>
        <w:tc>
          <w:tcPr>
            <w:tcW w:w="2183" w:type="dxa"/>
            <w:tcBorders>
              <w:top w:val="nil"/>
              <w:left w:val="nil"/>
              <w:bottom w:val="single" w:sz="4" w:space="0" w:color="auto"/>
              <w:right w:val="single" w:sz="4" w:space="0" w:color="auto"/>
            </w:tcBorders>
            <w:shd w:val="clear" w:color="000000" w:fill="FFFFFF"/>
            <w:hideMark/>
          </w:tcPr>
          <w:p w14:paraId="097C72D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Mērķis ir izveidot vienotu tiesnešu, tiesu darbinieku, prokuroru, prokuroru palīgu un izmeklētāju (starpdisciplināros jautājumos, kas būtiski efektīvai tiesas spriešanai) (turpmāk – izmeklētāji starpdisciplināros jautājumos) kvalifikācijas pilnveides mācību centru (Tieslietu akadēmija) kā ilgtspējīgas un stabilas sistēmas pamatu, nodrošinot iespēju ilgtermiņā plānot, izstrādāt un realizēt mācību programmas  (turpmāk – Programma). </w:t>
            </w:r>
          </w:p>
        </w:tc>
        <w:tc>
          <w:tcPr>
            <w:tcW w:w="2835" w:type="dxa"/>
            <w:tcBorders>
              <w:top w:val="nil"/>
              <w:left w:val="nil"/>
              <w:bottom w:val="single" w:sz="4" w:space="0" w:color="auto"/>
              <w:right w:val="single" w:sz="4" w:space="0" w:color="auto"/>
            </w:tcBorders>
            <w:shd w:val="clear" w:color="000000" w:fill="FFFFFF"/>
            <w:hideMark/>
          </w:tcPr>
          <w:p w14:paraId="064DC36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Likuma un citu tiesību aktu, kas saistīti ar Tieslietu mācību centrs , stāšanās spēkā</w:t>
            </w:r>
            <w:r w:rsidRPr="00BF055E">
              <w:rPr>
                <w:rFonts w:eastAsia="Times New Roman" w:cs="Times New Roman"/>
                <w:sz w:val="18"/>
                <w:szCs w:val="18"/>
                <w:lang w:eastAsia="lv-LV"/>
              </w:rPr>
              <w:br/>
              <w:t>2) Jaunu Programmu izstrāde</w:t>
            </w:r>
            <w:r w:rsidRPr="00BF055E">
              <w:rPr>
                <w:rFonts w:eastAsia="Times New Roman" w:cs="Times New Roman"/>
                <w:sz w:val="18"/>
                <w:szCs w:val="18"/>
                <w:lang w:eastAsia="lv-LV"/>
              </w:rPr>
              <w:br/>
              <w:t>3)Programmu pieņemšana un īstenošana</w:t>
            </w:r>
            <w:r w:rsidRPr="00BF055E">
              <w:rPr>
                <w:rFonts w:eastAsia="Times New Roman" w:cs="Times New Roman"/>
                <w:sz w:val="18"/>
                <w:szCs w:val="18"/>
                <w:lang w:eastAsia="lv-LV"/>
              </w:rPr>
              <w:br/>
              <w:t>4)Izveidots Tieslietu mācību centrs. Telpu pielāgošana un aprīkojuma nodrošināšana Tieslietu mācību centra vajadzībām</w:t>
            </w:r>
          </w:p>
        </w:tc>
        <w:tc>
          <w:tcPr>
            <w:tcW w:w="850" w:type="dxa"/>
            <w:tcBorders>
              <w:top w:val="nil"/>
              <w:left w:val="nil"/>
              <w:bottom w:val="single" w:sz="4" w:space="0" w:color="auto"/>
              <w:right w:val="single" w:sz="4" w:space="0" w:color="auto"/>
            </w:tcBorders>
            <w:shd w:val="clear" w:color="000000" w:fill="FFFFFF"/>
            <w:hideMark/>
          </w:tcPr>
          <w:p w14:paraId="704DE31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21.11.2022.-30.06.2026.</w:t>
            </w:r>
          </w:p>
        </w:tc>
        <w:tc>
          <w:tcPr>
            <w:tcW w:w="1559" w:type="dxa"/>
            <w:tcBorders>
              <w:top w:val="nil"/>
              <w:left w:val="nil"/>
              <w:bottom w:val="single" w:sz="4" w:space="0" w:color="auto"/>
              <w:right w:val="single" w:sz="4" w:space="0" w:color="auto"/>
            </w:tcBorders>
            <w:shd w:val="clear" w:color="auto" w:fill="auto"/>
            <w:hideMark/>
          </w:tcPr>
          <w:p w14:paraId="770EBF2D" w14:textId="195E8284" w:rsidR="00BF055E" w:rsidRPr="00BF055E" w:rsidRDefault="00BF055E" w:rsidP="006357B3">
            <w:pPr>
              <w:spacing w:after="0" w:line="240" w:lineRule="auto"/>
              <w:ind w:firstLine="0"/>
              <w:rPr>
                <w:rFonts w:eastAsia="Times New Roman" w:cs="Times New Roman"/>
                <w:sz w:val="18"/>
                <w:szCs w:val="18"/>
                <w:lang w:eastAsia="lv-LV"/>
              </w:rPr>
            </w:pPr>
            <w:r w:rsidRPr="00BF055E">
              <w:rPr>
                <w:rFonts w:eastAsia="Times New Roman" w:cs="Times New Roman"/>
                <w:sz w:val="18"/>
                <w:szCs w:val="18"/>
                <w:lang w:eastAsia="lv-LV"/>
              </w:rPr>
              <w:t>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finansējums -     7 572 030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PVN 1 138 930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(valsts budžets)</w:t>
            </w:r>
          </w:p>
        </w:tc>
        <w:tc>
          <w:tcPr>
            <w:tcW w:w="993" w:type="dxa"/>
            <w:tcBorders>
              <w:top w:val="nil"/>
              <w:left w:val="nil"/>
              <w:bottom w:val="single" w:sz="4" w:space="0" w:color="auto"/>
              <w:right w:val="single" w:sz="4" w:space="0" w:color="auto"/>
            </w:tcBorders>
            <w:shd w:val="clear" w:color="000000" w:fill="FFFFFF"/>
            <w:hideMark/>
          </w:tcPr>
          <w:p w14:paraId="0BC9141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w:t>
            </w:r>
          </w:p>
        </w:tc>
        <w:tc>
          <w:tcPr>
            <w:tcW w:w="850" w:type="dxa"/>
            <w:tcBorders>
              <w:top w:val="nil"/>
              <w:left w:val="nil"/>
              <w:bottom w:val="single" w:sz="4" w:space="0" w:color="auto"/>
              <w:right w:val="single" w:sz="4" w:space="0" w:color="auto"/>
            </w:tcBorders>
            <w:shd w:val="clear" w:color="auto" w:fill="auto"/>
            <w:hideMark/>
          </w:tcPr>
          <w:p w14:paraId="3C13874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5438692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2019(4); 2024(3)</w:t>
            </w:r>
          </w:p>
        </w:tc>
        <w:tc>
          <w:tcPr>
            <w:tcW w:w="992" w:type="dxa"/>
            <w:tcBorders>
              <w:top w:val="nil"/>
              <w:left w:val="nil"/>
              <w:bottom w:val="single" w:sz="4" w:space="0" w:color="auto"/>
              <w:right w:val="single" w:sz="4" w:space="0" w:color="auto"/>
            </w:tcBorders>
            <w:shd w:val="clear" w:color="000000" w:fill="FFFFFF"/>
            <w:hideMark/>
          </w:tcPr>
          <w:p w14:paraId="132610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365D4F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815" w:type="dxa"/>
            <w:tcBorders>
              <w:top w:val="nil"/>
              <w:left w:val="nil"/>
              <w:bottom w:val="single" w:sz="4" w:space="0" w:color="auto"/>
              <w:right w:val="single" w:sz="4" w:space="0" w:color="auto"/>
            </w:tcBorders>
            <w:shd w:val="clear" w:color="000000" w:fill="FFFFFF"/>
            <w:hideMark/>
          </w:tcPr>
          <w:p w14:paraId="34C35CC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 Kvalitatīva izglītība; 8. Cienīgs darbs un ekonomikas izaugsme; 16. Miers, taisnīgums, laba pārvaldība</w:t>
            </w:r>
          </w:p>
        </w:tc>
      </w:tr>
      <w:tr w:rsidR="00BF055E" w:rsidRPr="00BF055E" w14:paraId="62DBF008"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72599AF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Pr="00BF055E">
              <w:rPr>
                <w:rFonts w:eastAsia="Times New Roman" w:cs="Times New Roman"/>
                <w:sz w:val="18"/>
                <w:szCs w:val="18"/>
                <w:lang w:eastAsia="lv-LV"/>
              </w:rPr>
              <w:t>izturētspēju</w:t>
            </w:r>
            <w:proofErr w:type="spellEnd"/>
            <w:r w:rsidRPr="00BF055E">
              <w:rPr>
                <w:rFonts w:eastAsia="Times New Roman" w:cs="Times New Roman"/>
                <w:sz w:val="18"/>
                <w:szCs w:val="18"/>
                <w:lang w:eastAsia="lv-LV"/>
              </w:rPr>
              <w:t>" 4.3.5.5. pasākums "Pieeja tiesiskumam"</w:t>
            </w:r>
          </w:p>
        </w:tc>
        <w:tc>
          <w:tcPr>
            <w:tcW w:w="2183" w:type="dxa"/>
            <w:tcBorders>
              <w:top w:val="nil"/>
              <w:left w:val="nil"/>
              <w:bottom w:val="single" w:sz="4" w:space="0" w:color="auto"/>
              <w:right w:val="single" w:sz="4" w:space="0" w:color="auto"/>
            </w:tcBorders>
            <w:shd w:val="clear" w:color="000000" w:fill="FFFFFF"/>
            <w:hideMark/>
          </w:tcPr>
          <w:p w14:paraId="729AEF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Izveidot attīstītu valsts nodrošinātā juridiskā atbalsta sistēmu, paplašinot mazāk aizsargāto personu piekļuvi tiesu sistēmai, paredzot savlaicīgu un iedzīvotājiem pieejamu juridiskā atbalsta sniegšanu, lai preventīvi novērstu gadījumus, kad juridisko jautājumu nerisināšana negatīvi ietekmē iedzīvotāju sociālo un ekonomisko situāciju un pakļauj viņus nabadzības un (vai) sociālās atstumtības riskam. </w:t>
            </w:r>
          </w:p>
        </w:tc>
        <w:tc>
          <w:tcPr>
            <w:tcW w:w="2835" w:type="dxa"/>
            <w:tcBorders>
              <w:top w:val="nil"/>
              <w:left w:val="nil"/>
              <w:bottom w:val="single" w:sz="4" w:space="0" w:color="auto"/>
              <w:right w:val="single" w:sz="4" w:space="0" w:color="auto"/>
            </w:tcBorders>
            <w:shd w:val="clear" w:color="auto" w:fill="auto"/>
            <w:hideMark/>
          </w:tcPr>
          <w:p w14:paraId="3CDF8E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Tiesu administrācija īsteno ESF+ projektu Nr. 4.3.5.5/1/24/I/001 "Pieeja tiesiskumam". Projektā ir paredzētas šādas darbības: 1. valsts nodrošinātās juridiskās palīdzības sistēmas reformēšana un </w:t>
            </w:r>
            <w:proofErr w:type="spellStart"/>
            <w:r w:rsidRPr="00BF055E">
              <w:rPr>
                <w:rFonts w:eastAsia="Times New Roman" w:cs="Times New Roman"/>
                <w:sz w:val="18"/>
                <w:szCs w:val="18"/>
                <w:lang w:eastAsia="lv-LV"/>
              </w:rPr>
              <w:t>efektivizēšana</w:t>
            </w:r>
            <w:proofErr w:type="spellEnd"/>
            <w:r w:rsidRPr="00BF055E">
              <w:rPr>
                <w:rFonts w:eastAsia="Times New Roman" w:cs="Times New Roman"/>
                <w:sz w:val="18"/>
                <w:szCs w:val="18"/>
                <w:lang w:eastAsia="lv-LV"/>
              </w:rPr>
              <w:t xml:space="preserve">, kas vērsta uz </w:t>
            </w:r>
            <w:proofErr w:type="spellStart"/>
            <w:r w:rsidRPr="00BF055E">
              <w:rPr>
                <w:rFonts w:eastAsia="Times New Roman" w:cs="Times New Roman"/>
                <w:sz w:val="18"/>
                <w:szCs w:val="18"/>
                <w:lang w:eastAsia="lv-LV"/>
              </w:rPr>
              <w:t>mazaizsargāto</w:t>
            </w:r>
            <w:proofErr w:type="spellEnd"/>
            <w:r w:rsidRPr="00BF055E">
              <w:rPr>
                <w:rFonts w:eastAsia="Times New Roman" w:cs="Times New Roman"/>
                <w:sz w:val="18"/>
                <w:szCs w:val="18"/>
                <w:lang w:eastAsia="lv-LV"/>
              </w:rPr>
              <w:t xml:space="preserve"> un cietušo personu atbalstu, nodrošinot minēto personu savlaicīgu pieeju tiesiskumam;</w:t>
            </w:r>
            <w:r w:rsidRPr="00BF055E">
              <w:rPr>
                <w:rFonts w:eastAsia="Times New Roman" w:cs="Times New Roman"/>
                <w:sz w:val="18"/>
                <w:szCs w:val="18"/>
                <w:lang w:eastAsia="lv-LV"/>
              </w:rPr>
              <w:br/>
              <w:t>2. risinājumi savlaicīgai juridisko problēmu konstatēšanai un atrisināšanai;</w:t>
            </w:r>
            <w:r w:rsidRPr="00BF055E">
              <w:rPr>
                <w:rFonts w:eastAsia="Times New Roman" w:cs="Times New Roman"/>
                <w:sz w:val="18"/>
                <w:szCs w:val="18"/>
                <w:lang w:eastAsia="lv-LV"/>
              </w:rPr>
              <w:br/>
              <w:t xml:space="preserve">3. esošu un jaunu informācijas tehnoloģiju un digitālo risinājumu attīstīšana, lai efektīvāk nodrošinātu sociāli </w:t>
            </w:r>
            <w:proofErr w:type="spellStart"/>
            <w:r w:rsidRPr="00BF055E">
              <w:rPr>
                <w:rFonts w:eastAsia="Times New Roman" w:cs="Times New Roman"/>
                <w:sz w:val="18"/>
                <w:szCs w:val="18"/>
                <w:lang w:eastAsia="lv-LV"/>
              </w:rPr>
              <w:t>mazaizsargāto</w:t>
            </w:r>
            <w:proofErr w:type="spellEnd"/>
            <w:r w:rsidRPr="00BF055E">
              <w:rPr>
                <w:rFonts w:eastAsia="Times New Roman" w:cs="Times New Roman"/>
                <w:sz w:val="18"/>
                <w:szCs w:val="18"/>
                <w:lang w:eastAsia="lv-LV"/>
              </w:rPr>
              <w:t xml:space="preserve"> personu tiesības, tostarp iestāžu savstarpējās sadarbības efektivizēšana;4. pasākumi </w:t>
            </w:r>
            <w:proofErr w:type="spellStart"/>
            <w:r w:rsidRPr="00BF055E">
              <w:rPr>
                <w:rFonts w:eastAsia="Times New Roman" w:cs="Times New Roman"/>
                <w:sz w:val="18"/>
                <w:szCs w:val="18"/>
                <w:lang w:eastAsia="lv-LV"/>
              </w:rPr>
              <w:t>mērķgrupas</w:t>
            </w:r>
            <w:proofErr w:type="spellEnd"/>
            <w:r w:rsidRPr="00BF055E">
              <w:rPr>
                <w:rFonts w:eastAsia="Times New Roman" w:cs="Times New Roman"/>
                <w:sz w:val="18"/>
                <w:szCs w:val="18"/>
                <w:lang w:eastAsia="lv-LV"/>
              </w:rPr>
              <w:t xml:space="preserve"> informēšanai par valsts nodrošinātās juridiskās palīdzības pakalpojumu saņemšanu, lai paaugstinātu </w:t>
            </w:r>
            <w:proofErr w:type="spellStart"/>
            <w:r w:rsidRPr="00BF055E">
              <w:rPr>
                <w:rFonts w:eastAsia="Times New Roman" w:cs="Times New Roman"/>
                <w:sz w:val="18"/>
                <w:szCs w:val="18"/>
                <w:lang w:eastAsia="lv-LV"/>
              </w:rPr>
              <w:t>mērķgrupas</w:t>
            </w:r>
            <w:proofErr w:type="spellEnd"/>
            <w:r w:rsidRPr="00BF055E">
              <w:rPr>
                <w:rFonts w:eastAsia="Times New Roman" w:cs="Times New Roman"/>
                <w:sz w:val="18"/>
                <w:szCs w:val="18"/>
                <w:lang w:eastAsia="lv-LV"/>
              </w:rPr>
              <w:t xml:space="preserve"> kompetenci un izpratni par juridiska rakstura strīdu savlaicīgas risināšanas nozīmīgumu, kā arī informēšanai par valsts nodrošinātās juridiskās palīdzības sistēmā iesaistīto personu apmācībām kompetenču un prasmju līmeņa paaugstināšanai;</w:t>
            </w:r>
            <w:r w:rsidRPr="00BF055E">
              <w:rPr>
                <w:rFonts w:eastAsia="Times New Roman" w:cs="Times New Roman"/>
                <w:sz w:val="18"/>
                <w:szCs w:val="18"/>
                <w:lang w:eastAsia="lv-LV"/>
              </w:rPr>
              <w:br/>
              <w:t>5. projekta vadība un projekta īstenošanas nodrošināšana;</w:t>
            </w:r>
            <w:r w:rsidRPr="00BF055E">
              <w:rPr>
                <w:rFonts w:eastAsia="Times New Roman" w:cs="Times New Roman"/>
                <w:sz w:val="18"/>
                <w:szCs w:val="18"/>
                <w:lang w:eastAsia="lv-LV"/>
              </w:rPr>
              <w:br/>
              <w:t>6. projekta komunikācijas un vizuālās identitātes prasību nodrošināšanas nosacījumu izpilde.</w:t>
            </w:r>
          </w:p>
        </w:tc>
        <w:tc>
          <w:tcPr>
            <w:tcW w:w="850" w:type="dxa"/>
            <w:tcBorders>
              <w:top w:val="nil"/>
              <w:left w:val="nil"/>
              <w:bottom w:val="single" w:sz="4" w:space="0" w:color="auto"/>
              <w:right w:val="single" w:sz="4" w:space="0" w:color="auto"/>
            </w:tcBorders>
            <w:shd w:val="clear" w:color="000000" w:fill="FFFFFF"/>
            <w:hideMark/>
          </w:tcPr>
          <w:p w14:paraId="67741C1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03.06.2024.-30.06.2027.</w:t>
            </w:r>
          </w:p>
        </w:tc>
        <w:tc>
          <w:tcPr>
            <w:tcW w:w="1559" w:type="dxa"/>
            <w:tcBorders>
              <w:top w:val="nil"/>
              <w:left w:val="nil"/>
              <w:bottom w:val="single" w:sz="4" w:space="0" w:color="auto"/>
              <w:right w:val="single" w:sz="4" w:space="0" w:color="auto"/>
            </w:tcBorders>
            <w:shd w:val="clear" w:color="000000" w:fill="FFFFFF"/>
            <w:hideMark/>
          </w:tcPr>
          <w:p w14:paraId="6C675F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0,9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(ESF+), 0,2 milj. </w:t>
            </w:r>
            <w:proofErr w:type="spellStart"/>
            <w:r w:rsidRPr="00BF055E">
              <w:rPr>
                <w:rFonts w:eastAsia="Times New Roman" w:cs="Times New Roman"/>
                <w:i/>
                <w:iCs/>
                <w:sz w:val="18"/>
                <w:szCs w:val="18"/>
                <w:lang w:eastAsia="lv-LV"/>
              </w:rPr>
              <w:t>euro</w:t>
            </w:r>
            <w:proofErr w:type="spellEnd"/>
            <w:r w:rsidRPr="00BF055E">
              <w:rPr>
                <w:rFonts w:eastAsia="Times New Roman" w:cs="Times New Roman"/>
                <w:sz w:val="18"/>
                <w:szCs w:val="18"/>
                <w:lang w:eastAsia="lv-LV"/>
              </w:rPr>
              <w:t xml:space="preserve">  (valsts budžets). Projekta budžets norādīts bez elastības finansējuma. </w:t>
            </w:r>
          </w:p>
        </w:tc>
        <w:tc>
          <w:tcPr>
            <w:tcW w:w="993" w:type="dxa"/>
            <w:tcBorders>
              <w:top w:val="nil"/>
              <w:left w:val="nil"/>
              <w:bottom w:val="single" w:sz="4" w:space="0" w:color="auto"/>
              <w:right w:val="single" w:sz="4" w:space="0" w:color="auto"/>
            </w:tcBorders>
            <w:shd w:val="clear" w:color="000000" w:fill="FFFFFF"/>
            <w:hideMark/>
          </w:tcPr>
          <w:p w14:paraId="54C7789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TM</w:t>
            </w:r>
          </w:p>
        </w:tc>
        <w:tc>
          <w:tcPr>
            <w:tcW w:w="850" w:type="dxa"/>
            <w:tcBorders>
              <w:top w:val="nil"/>
              <w:left w:val="nil"/>
              <w:bottom w:val="single" w:sz="4" w:space="0" w:color="auto"/>
              <w:right w:val="single" w:sz="4" w:space="0" w:color="auto"/>
            </w:tcBorders>
            <w:shd w:val="clear" w:color="000000" w:fill="FFFFFF"/>
            <w:hideMark/>
          </w:tcPr>
          <w:p w14:paraId="036ABA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3088A66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2019(4); 2020(2)</w:t>
            </w:r>
          </w:p>
        </w:tc>
        <w:tc>
          <w:tcPr>
            <w:tcW w:w="992" w:type="dxa"/>
            <w:tcBorders>
              <w:top w:val="nil"/>
              <w:left w:val="nil"/>
              <w:bottom w:val="single" w:sz="4" w:space="0" w:color="auto"/>
              <w:right w:val="single" w:sz="4" w:space="0" w:color="auto"/>
            </w:tcBorders>
            <w:shd w:val="clear" w:color="000000" w:fill="FFFFFF"/>
            <w:hideMark/>
          </w:tcPr>
          <w:p w14:paraId="056403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68E70F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 Sociālā aizsardzība un iekļaušana</w:t>
            </w:r>
          </w:p>
        </w:tc>
        <w:tc>
          <w:tcPr>
            <w:tcW w:w="815" w:type="dxa"/>
            <w:tcBorders>
              <w:top w:val="nil"/>
              <w:left w:val="nil"/>
              <w:bottom w:val="single" w:sz="4" w:space="0" w:color="auto"/>
              <w:right w:val="single" w:sz="4" w:space="0" w:color="auto"/>
            </w:tcBorders>
            <w:shd w:val="clear" w:color="000000" w:fill="FFFFFF"/>
            <w:hideMark/>
          </w:tcPr>
          <w:p w14:paraId="0351594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10. Mazināta nevienlīdzība; 16. Miers, taisnīgums, laba pārvaldība</w:t>
            </w:r>
          </w:p>
        </w:tc>
      </w:tr>
      <w:tr w:rsidR="00BF055E" w:rsidRPr="00BF055E" w14:paraId="39B0BEDD"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2A9455ED" w14:textId="4DC29595" w:rsidR="00BF055E" w:rsidRPr="00BF055E" w:rsidRDefault="00BF53B6" w:rsidP="006357B3">
            <w:pPr>
              <w:spacing w:after="0" w:line="240" w:lineRule="auto"/>
              <w:ind w:firstLine="0"/>
              <w:jc w:val="left"/>
              <w:rPr>
                <w:rFonts w:eastAsia="Times New Roman" w:cs="Times New Roman"/>
                <w:sz w:val="18"/>
                <w:szCs w:val="18"/>
                <w:lang w:eastAsia="lv-LV"/>
              </w:rPr>
            </w:pPr>
            <w:r>
              <w:rPr>
                <w:rFonts w:eastAsia="Times New Roman" w:cs="Times New Roman"/>
                <w:sz w:val="18"/>
                <w:szCs w:val="18"/>
                <w:lang w:eastAsia="lv-LV"/>
              </w:rPr>
              <w:lastRenderedPageBreak/>
              <w:t xml:space="preserve">ANM </w:t>
            </w:r>
            <w:r w:rsidR="00BF055E" w:rsidRPr="00BF055E">
              <w:rPr>
                <w:rFonts w:eastAsia="Times New Roman" w:cs="Times New Roman"/>
                <w:sz w:val="18"/>
                <w:szCs w:val="18"/>
                <w:lang w:eastAsia="lv-LV"/>
              </w:rPr>
              <w:t>investīcija</w:t>
            </w:r>
            <w:r>
              <w:rPr>
                <w:rFonts w:eastAsia="Times New Roman" w:cs="Times New Roman"/>
                <w:sz w:val="18"/>
                <w:szCs w:val="18"/>
                <w:lang w:eastAsia="lv-LV"/>
              </w:rPr>
              <w:t xml:space="preserve"> </w:t>
            </w:r>
            <w:r w:rsidR="00BF055E" w:rsidRPr="00BF055E">
              <w:rPr>
                <w:rFonts w:eastAsia="Times New Roman" w:cs="Times New Roman"/>
                <w:sz w:val="18"/>
                <w:szCs w:val="18"/>
                <w:lang w:eastAsia="lv-LV"/>
              </w:rPr>
              <w:t xml:space="preserve">5.2.1.1.i. Pētniecības, attīstības un konsolidācijas granti  pirmā kārta "Noziedzīgi iegūtu līdzekļu legalizācijas novēršanas grants"(AIZID)                                                                      </w:t>
            </w:r>
          </w:p>
        </w:tc>
        <w:tc>
          <w:tcPr>
            <w:tcW w:w="2183" w:type="dxa"/>
            <w:tcBorders>
              <w:top w:val="nil"/>
              <w:left w:val="nil"/>
              <w:bottom w:val="single" w:sz="4" w:space="0" w:color="auto"/>
              <w:right w:val="single" w:sz="4" w:space="0" w:color="auto"/>
            </w:tcBorders>
            <w:shd w:val="clear" w:color="000000" w:fill="FFFFFF"/>
            <w:hideMark/>
          </w:tcPr>
          <w:p w14:paraId="17B128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Stiprināt noziedzīgi iegūtu līdzekļu legalizācijas novēršanas un finanšu tehnoloģiju zināšanu kapacitāti Latvijā, lai veicinātu finanšu nozares un saistīto nozaru drošu un kvalitatīvu attīstību.</w:t>
            </w:r>
          </w:p>
        </w:tc>
        <w:tc>
          <w:tcPr>
            <w:tcW w:w="2835" w:type="dxa"/>
            <w:tcBorders>
              <w:top w:val="nil"/>
              <w:left w:val="nil"/>
              <w:bottom w:val="single" w:sz="4" w:space="0" w:color="auto"/>
              <w:right w:val="single" w:sz="4" w:space="0" w:color="auto"/>
            </w:tcBorders>
            <w:shd w:val="clear" w:color="000000" w:fill="FFFFFF"/>
            <w:hideMark/>
          </w:tcPr>
          <w:p w14:paraId="026FB567" w14:textId="77777777" w:rsidR="00BF055E" w:rsidRPr="00BF055E" w:rsidRDefault="00BF055E" w:rsidP="006357B3">
            <w:pPr>
              <w:spacing w:after="24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 Līdz 31.12.2024. izveidoti 6 specializētie studiju moduļi;</w:t>
            </w:r>
            <w:r w:rsidRPr="00BF055E">
              <w:rPr>
                <w:rFonts w:eastAsia="Times New Roman" w:cs="Times New Roman"/>
                <w:sz w:val="18"/>
                <w:szCs w:val="18"/>
                <w:lang w:eastAsia="lv-LV"/>
              </w:rPr>
              <w:br/>
              <w:t>2) līdz 30.06.2024. 150 studējošie apguvuši specializētos studiju moduļus;</w:t>
            </w:r>
            <w:r w:rsidRPr="00BF055E">
              <w:rPr>
                <w:rFonts w:eastAsia="Times New Roman" w:cs="Times New Roman"/>
                <w:sz w:val="18"/>
                <w:szCs w:val="18"/>
                <w:lang w:eastAsia="lv-LV"/>
              </w:rPr>
              <w:br/>
              <w:t>3) līdz 31.12.2024. 20 sagatavoti akadēmiskā personāla pārstāvji;</w:t>
            </w:r>
            <w:r w:rsidRPr="00BF055E">
              <w:rPr>
                <w:rFonts w:eastAsia="Times New Roman" w:cs="Times New Roman"/>
                <w:sz w:val="18"/>
                <w:szCs w:val="18"/>
                <w:lang w:eastAsia="lv-LV"/>
              </w:rPr>
              <w:br/>
              <w:t>4) līdz 30.06.2026. analītisko pētījumu skaits par Latvijas finanšu nozares konkurētspēju un attīstības iespējām starptautiskā kontekstā;</w:t>
            </w:r>
            <w:r w:rsidRPr="00BF055E">
              <w:rPr>
                <w:rFonts w:eastAsia="Times New Roman" w:cs="Times New Roman"/>
                <w:sz w:val="18"/>
                <w:szCs w:val="18"/>
                <w:lang w:eastAsia="lv-LV"/>
              </w:rPr>
              <w:br/>
              <w:t>5) līdz 30.06.2024. 6 specializēto ekspertīžu pētījumu skaits</w:t>
            </w:r>
            <w:r w:rsidRPr="00BF055E">
              <w:rPr>
                <w:rFonts w:eastAsia="Times New Roman" w:cs="Times New Roman"/>
                <w:sz w:val="18"/>
                <w:szCs w:val="18"/>
                <w:lang w:eastAsia="lv-LV"/>
              </w:rPr>
              <w:br/>
              <w:t>6) līdz 30.06.2024. 4 zinātniskās publikācijas.</w:t>
            </w:r>
          </w:p>
        </w:tc>
        <w:tc>
          <w:tcPr>
            <w:tcW w:w="850" w:type="dxa"/>
            <w:tcBorders>
              <w:top w:val="nil"/>
              <w:left w:val="nil"/>
              <w:bottom w:val="single" w:sz="4" w:space="0" w:color="auto"/>
              <w:right w:val="single" w:sz="4" w:space="0" w:color="auto"/>
            </w:tcBorders>
            <w:shd w:val="clear" w:color="000000" w:fill="FFFFFF"/>
            <w:hideMark/>
          </w:tcPr>
          <w:p w14:paraId="128EE3E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 - 2026.</w:t>
            </w:r>
          </w:p>
        </w:tc>
        <w:tc>
          <w:tcPr>
            <w:tcW w:w="1559" w:type="dxa"/>
            <w:tcBorders>
              <w:top w:val="nil"/>
              <w:left w:val="nil"/>
              <w:bottom w:val="single" w:sz="4" w:space="0" w:color="auto"/>
              <w:right w:val="single" w:sz="4" w:space="0" w:color="auto"/>
            </w:tcBorders>
            <w:shd w:val="clear" w:color="auto" w:fill="auto"/>
            <w:hideMark/>
          </w:tcPr>
          <w:p w14:paraId="0EC999D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ANM finansējums - 1 495 000 </w:t>
            </w:r>
            <w:proofErr w:type="spellStart"/>
            <w:r w:rsidRPr="00BF055E">
              <w:rPr>
                <w:rFonts w:eastAsia="Times New Roman" w:cs="Times New Roman"/>
                <w:i/>
                <w:sz w:val="18"/>
                <w:szCs w:val="18"/>
                <w:lang w:eastAsia="lv-LV"/>
              </w:rPr>
              <w:t>euro</w:t>
            </w:r>
            <w:proofErr w:type="spellEnd"/>
          </w:p>
        </w:tc>
        <w:tc>
          <w:tcPr>
            <w:tcW w:w="993" w:type="dxa"/>
            <w:tcBorders>
              <w:top w:val="nil"/>
              <w:left w:val="nil"/>
              <w:bottom w:val="single" w:sz="4" w:space="0" w:color="auto"/>
              <w:right w:val="single" w:sz="4" w:space="0" w:color="auto"/>
            </w:tcBorders>
            <w:shd w:val="clear" w:color="000000" w:fill="FFFFFF"/>
            <w:hideMark/>
          </w:tcPr>
          <w:p w14:paraId="6720A3A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IZM/RTU</w:t>
            </w:r>
          </w:p>
        </w:tc>
        <w:tc>
          <w:tcPr>
            <w:tcW w:w="850" w:type="dxa"/>
            <w:tcBorders>
              <w:top w:val="nil"/>
              <w:left w:val="nil"/>
              <w:bottom w:val="single" w:sz="4" w:space="0" w:color="auto"/>
              <w:right w:val="single" w:sz="4" w:space="0" w:color="auto"/>
            </w:tcBorders>
            <w:shd w:val="clear" w:color="auto" w:fill="auto"/>
            <w:hideMark/>
          </w:tcPr>
          <w:p w14:paraId="6A340F5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6A3E7C1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2019(1); 2020(3); 2020(4); 2023(1); 2024(3)</w:t>
            </w:r>
          </w:p>
        </w:tc>
        <w:tc>
          <w:tcPr>
            <w:tcW w:w="992" w:type="dxa"/>
            <w:tcBorders>
              <w:top w:val="nil"/>
              <w:left w:val="nil"/>
              <w:bottom w:val="single" w:sz="4" w:space="0" w:color="auto"/>
              <w:right w:val="single" w:sz="4" w:space="0" w:color="auto"/>
            </w:tcBorders>
            <w:shd w:val="clear" w:color="000000" w:fill="FFFFFF"/>
            <w:hideMark/>
          </w:tcPr>
          <w:p w14:paraId="7A2B4A4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92" w:type="dxa"/>
            <w:tcBorders>
              <w:top w:val="nil"/>
              <w:left w:val="nil"/>
              <w:bottom w:val="single" w:sz="4" w:space="0" w:color="auto"/>
              <w:right w:val="single" w:sz="4" w:space="0" w:color="auto"/>
            </w:tcBorders>
            <w:shd w:val="clear" w:color="000000" w:fill="FFFFFF"/>
            <w:hideMark/>
          </w:tcPr>
          <w:p w14:paraId="69CC9FE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815" w:type="dxa"/>
            <w:tcBorders>
              <w:top w:val="nil"/>
              <w:left w:val="nil"/>
              <w:bottom w:val="single" w:sz="4" w:space="0" w:color="auto"/>
              <w:right w:val="single" w:sz="4" w:space="0" w:color="auto"/>
            </w:tcBorders>
            <w:shd w:val="clear" w:color="000000" w:fill="FFFFFF"/>
            <w:hideMark/>
          </w:tcPr>
          <w:p w14:paraId="6A1EC67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 Kvalitatīva izglītība</w:t>
            </w:r>
          </w:p>
        </w:tc>
      </w:tr>
      <w:tr w:rsidR="00BF055E" w:rsidRPr="00BF055E" w14:paraId="4CFE1225"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4C96F2E2" w14:textId="018AC70A"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w:t>
            </w:r>
            <w:r w:rsidR="00BF53B6">
              <w:rPr>
                <w:rFonts w:eastAsia="Times New Roman" w:cs="Times New Roman"/>
                <w:sz w:val="18"/>
                <w:szCs w:val="18"/>
                <w:lang w:eastAsia="lv-LV"/>
              </w:rPr>
              <w:t xml:space="preserve">NM </w:t>
            </w:r>
            <w:r w:rsidRPr="00BF055E">
              <w:rPr>
                <w:rFonts w:eastAsia="Times New Roman" w:cs="Times New Roman"/>
                <w:sz w:val="18"/>
                <w:szCs w:val="18"/>
                <w:lang w:eastAsia="lv-LV"/>
              </w:rPr>
              <w:t>investīcija</w:t>
            </w:r>
            <w:r w:rsidR="00BF53B6">
              <w:rPr>
                <w:rFonts w:eastAsia="Times New Roman" w:cs="Times New Roman"/>
                <w:sz w:val="18"/>
                <w:szCs w:val="18"/>
                <w:lang w:eastAsia="lv-LV"/>
              </w:rPr>
              <w:t xml:space="preserve"> </w:t>
            </w:r>
            <w:r w:rsidRPr="00BF055E">
              <w:rPr>
                <w:rFonts w:eastAsia="Times New Roman" w:cs="Times New Roman"/>
                <w:sz w:val="18"/>
                <w:szCs w:val="18"/>
                <w:lang w:eastAsia="lv-LV"/>
              </w:rPr>
              <w:t xml:space="preserve">5.2.1.1.i. Pētniecības, attīstības un konsolidācijas granti otrā kārta "Konsolidācijas un pārvaldības izmaiņu ieviešanas granti" (AIZID)                                                                      </w:t>
            </w:r>
          </w:p>
        </w:tc>
        <w:tc>
          <w:tcPr>
            <w:tcW w:w="2183" w:type="dxa"/>
            <w:tcBorders>
              <w:top w:val="nil"/>
              <w:left w:val="nil"/>
              <w:bottom w:val="single" w:sz="4" w:space="0" w:color="auto"/>
              <w:right w:val="single" w:sz="4" w:space="0" w:color="auto"/>
            </w:tcBorders>
            <w:shd w:val="clear" w:color="000000" w:fill="FFFFFF"/>
            <w:hideMark/>
          </w:tcPr>
          <w:p w14:paraId="55F0B6B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Veikt augstākās izglītības institūciju un zinātnisko institūtu strukturālas pārmaiņas, lai veicinātu izcilību un augstākās izglītības un zinātnes kvalitātes un resursu ieguldījumu efektivitāti un starptautisko konkurētspēju.</w:t>
            </w:r>
          </w:p>
        </w:tc>
        <w:tc>
          <w:tcPr>
            <w:tcW w:w="2835" w:type="dxa"/>
            <w:tcBorders>
              <w:top w:val="nil"/>
              <w:left w:val="nil"/>
              <w:bottom w:val="single" w:sz="4" w:space="0" w:color="auto"/>
              <w:right w:val="single" w:sz="4" w:space="0" w:color="auto"/>
            </w:tcBorders>
            <w:shd w:val="clear" w:color="000000" w:fill="FFFFFF"/>
            <w:hideMark/>
          </w:tcPr>
          <w:p w14:paraId="0E9DA86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 līdz 30.09.2024. parakstīti 150 akadēmiskās karjeras līgumi un 45 iekšējie pētniecības un attīstības </w:t>
            </w:r>
            <w:proofErr w:type="spellStart"/>
            <w:r w:rsidRPr="00BF055E">
              <w:rPr>
                <w:rFonts w:eastAsia="Times New Roman" w:cs="Times New Roman"/>
                <w:sz w:val="18"/>
                <w:szCs w:val="18"/>
                <w:lang w:eastAsia="lv-LV"/>
              </w:rPr>
              <w:t>grantu</w:t>
            </w:r>
            <w:proofErr w:type="spellEnd"/>
            <w:r w:rsidRPr="00BF055E">
              <w:rPr>
                <w:rFonts w:eastAsia="Times New Roman" w:cs="Times New Roman"/>
                <w:sz w:val="18"/>
                <w:szCs w:val="18"/>
                <w:lang w:eastAsia="lv-LV"/>
              </w:rPr>
              <w:t xml:space="preserve"> līgumi;</w:t>
            </w:r>
            <w:r w:rsidRPr="00BF055E">
              <w:rPr>
                <w:rFonts w:eastAsia="Times New Roman" w:cs="Times New Roman"/>
                <w:sz w:val="18"/>
                <w:szCs w:val="18"/>
                <w:lang w:eastAsia="lv-LV"/>
              </w:rPr>
              <w:br/>
              <w:t xml:space="preserve">2) līdz 31.05.2026. - parakstīti 315 akadēmiskās karjeras un 90 iekšējie pētniecības un attīstības </w:t>
            </w:r>
            <w:proofErr w:type="spellStart"/>
            <w:r w:rsidRPr="00BF055E">
              <w:rPr>
                <w:rFonts w:eastAsia="Times New Roman" w:cs="Times New Roman"/>
                <w:sz w:val="18"/>
                <w:szCs w:val="18"/>
                <w:lang w:eastAsia="lv-LV"/>
              </w:rPr>
              <w:t>grantu</w:t>
            </w:r>
            <w:proofErr w:type="spellEnd"/>
            <w:r w:rsidRPr="00BF055E">
              <w:rPr>
                <w:rFonts w:eastAsia="Times New Roman" w:cs="Times New Roman"/>
                <w:sz w:val="18"/>
                <w:szCs w:val="18"/>
                <w:lang w:eastAsia="lv-LV"/>
              </w:rPr>
              <w:t xml:space="preserve"> līgumi;</w:t>
            </w:r>
            <w:r w:rsidRPr="00BF055E">
              <w:rPr>
                <w:rFonts w:eastAsia="Times New Roman" w:cs="Times New Roman"/>
                <w:sz w:val="18"/>
                <w:szCs w:val="18"/>
                <w:lang w:eastAsia="lv-LV"/>
              </w:rPr>
              <w:br/>
              <w:t>3) līdz 31.05.2026. - ieviesti vismaz četri konsolidācijas plāni;</w:t>
            </w:r>
            <w:r w:rsidRPr="00BF055E">
              <w:rPr>
                <w:rFonts w:eastAsia="Times New Roman" w:cs="Times New Roman"/>
                <w:sz w:val="18"/>
                <w:szCs w:val="18"/>
                <w:lang w:eastAsia="lv-LV"/>
              </w:rPr>
              <w:br/>
              <w:t>4) līdz 31.05.2026. - valsts dibinātās augstākās izglītības institūcijas ir 100 % ieviesušas jauno pārvaldības modeli.</w:t>
            </w:r>
          </w:p>
        </w:tc>
        <w:tc>
          <w:tcPr>
            <w:tcW w:w="850" w:type="dxa"/>
            <w:tcBorders>
              <w:top w:val="nil"/>
              <w:left w:val="nil"/>
              <w:bottom w:val="single" w:sz="4" w:space="0" w:color="auto"/>
              <w:right w:val="single" w:sz="4" w:space="0" w:color="auto"/>
            </w:tcBorders>
            <w:shd w:val="clear" w:color="000000" w:fill="FFFFFF"/>
            <w:hideMark/>
          </w:tcPr>
          <w:p w14:paraId="515233C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2023 - 2026</w:t>
            </w:r>
          </w:p>
        </w:tc>
        <w:tc>
          <w:tcPr>
            <w:tcW w:w="1559" w:type="dxa"/>
            <w:tcBorders>
              <w:top w:val="nil"/>
              <w:left w:val="nil"/>
              <w:bottom w:val="single" w:sz="4" w:space="0" w:color="auto"/>
              <w:right w:val="single" w:sz="4" w:space="0" w:color="auto"/>
            </w:tcBorders>
            <w:shd w:val="clear" w:color="auto" w:fill="auto"/>
            <w:hideMark/>
          </w:tcPr>
          <w:p w14:paraId="599A7579" w14:textId="74D65458"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Kopējais pieejamais finansējums ir līdz 88 236 414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nepārsniedzot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finansējumu - 81 005 000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līdzfinansējumu, kas paredzēts PVN izmaksu segšanai, kas nav attiecināms finansēšanai no A</w:t>
            </w:r>
            <w:r w:rsidR="00BF53B6">
              <w:rPr>
                <w:rFonts w:eastAsia="Times New Roman" w:cs="Times New Roman"/>
                <w:sz w:val="18"/>
                <w:szCs w:val="18"/>
                <w:lang w:eastAsia="lv-LV"/>
              </w:rPr>
              <w:t>NM</w:t>
            </w:r>
            <w:r w:rsidRPr="00BF055E">
              <w:rPr>
                <w:rFonts w:eastAsia="Times New Roman" w:cs="Times New Roman"/>
                <w:sz w:val="18"/>
                <w:szCs w:val="18"/>
                <w:lang w:eastAsia="lv-LV"/>
              </w:rPr>
              <w:t xml:space="preserve"> finansējuma - 7 231 414 </w:t>
            </w:r>
            <w:proofErr w:type="spellStart"/>
            <w:r w:rsidRPr="00BF055E">
              <w:rPr>
                <w:rFonts w:eastAsia="Times New Roman" w:cs="Times New Roman"/>
                <w:i/>
                <w:sz w:val="18"/>
                <w:szCs w:val="18"/>
                <w:lang w:eastAsia="lv-LV"/>
              </w:rPr>
              <w:t>euro</w:t>
            </w:r>
            <w:proofErr w:type="spellEnd"/>
          </w:p>
        </w:tc>
        <w:tc>
          <w:tcPr>
            <w:tcW w:w="993" w:type="dxa"/>
            <w:tcBorders>
              <w:top w:val="nil"/>
              <w:left w:val="nil"/>
              <w:bottom w:val="single" w:sz="4" w:space="0" w:color="auto"/>
              <w:right w:val="single" w:sz="4" w:space="0" w:color="auto"/>
            </w:tcBorders>
            <w:shd w:val="clear" w:color="000000" w:fill="FFFFFF"/>
            <w:hideMark/>
          </w:tcPr>
          <w:p w14:paraId="159984A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IZM/valsts dibinātas augstskolas un zinātniskie institūti</w:t>
            </w:r>
          </w:p>
        </w:tc>
        <w:tc>
          <w:tcPr>
            <w:tcW w:w="850" w:type="dxa"/>
            <w:tcBorders>
              <w:top w:val="nil"/>
              <w:left w:val="nil"/>
              <w:bottom w:val="single" w:sz="4" w:space="0" w:color="auto"/>
              <w:right w:val="single" w:sz="4" w:space="0" w:color="auto"/>
            </w:tcBorders>
            <w:shd w:val="clear" w:color="auto" w:fill="auto"/>
            <w:hideMark/>
          </w:tcPr>
          <w:p w14:paraId="3D83423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ANM</w:t>
            </w:r>
          </w:p>
        </w:tc>
        <w:tc>
          <w:tcPr>
            <w:tcW w:w="851" w:type="dxa"/>
            <w:tcBorders>
              <w:top w:val="nil"/>
              <w:left w:val="nil"/>
              <w:bottom w:val="single" w:sz="4" w:space="0" w:color="auto"/>
              <w:right w:val="single" w:sz="4" w:space="0" w:color="auto"/>
            </w:tcBorders>
            <w:shd w:val="clear" w:color="000000" w:fill="FFFFFF"/>
            <w:hideMark/>
          </w:tcPr>
          <w:p w14:paraId="6F8F93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2020(3); 2024(3)</w:t>
            </w:r>
          </w:p>
        </w:tc>
        <w:tc>
          <w:tcPr>
            <w:tcW w:w="992" w:type="dxa"/>
            <w:tcBorders>
              <w:top w:val="nil"/>
              <w:left w:val="nil"/>
              <w:bottom w:val="single" w:sz="4" w:space="0" w:color="auto"/>
              <w:right w:val="single" w:sz="4" w:space="0" w:color="auto"/>
            </w:tcBorders>
            <w:shd w:val="clear" w:color="000000" w:fill="FFFFFF"/>
            <w:hideMark/>
          </w:tcPr>
          <w:p w14:paraId="721CF0D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5B519B1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Vienādas iespējas un darba tirgus pieejamība</w:t>
            </w:r>
          </w:p>
        </w:tc>
        <w:tc>
          <w:tcPr>
            <w:tcW w:w="815" w:type="dxa"/>
            <w:tcBorders>
              <w:top w:val="nil"/>
              <w:left w:val="nil"/>
              <w:bottom w:val="single" w:sz="4" w:space="0" w:color="auto"/>
              <w:right w:val="single" w:sz="4" w:space="0" w:color="auto"/>
            </w:tcBorders>
            <w:shd w:val="clear" w:color="000000" w:fill="FFFFFF"/>
            <w:hideMark/>
          </w:tcPr>
          <w:p w14:paraId="64B69E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 Kvalitatīva izglītība; 16. Miers, taisnīgums, laba pārvaldība</w:t>
            </w:r>
          </w:p>
        </w:tc>
      </w:tr>
      <w:tr w:rsidR="00BF055E" w:rsidRPr="00BF055E" w14:paraId="574AB8B6"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4A0B052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kohēzijas politikas programmas 2021.–2027. </w:t>
            </w:r>
            <w:r w:rsidRPr="00BF055E">
              <w:rPr>
                <w:rFonts w:eastAsia="Times New Roman" w:cs="Times New Roman"/>
                <w:sz w:val="18"/>
                <w:szCs w:val="18"/>
                <w:lang w:eastAsia="lv-LV"/>
              </w:rPr>
              <w:lastRenderedPageBreak/>
              <w:t>gadam 1.1.1. specifiskā atbalsta mērķa "Pētniecības un inovāciju kapacitātes stiprināšana un progresīvu tehnoloģiju ieviešana kopējā P&amp;A sistēmā" 1.1.1.9. pasākuma "</w:t>
            </w:r>
            <w:proofErr w:type="spellStart"/>
            <w:r w:rsidRPr="00BF055E">
              <w:rPr>
                <w:rFonts w:eastAsia="Times New Roman" w:cs="Times New Roman"/>
                <w:sz w:val="18"/>
                <w:szCs w:val="18"/>
                <w:lang w:eastAsia="lv-LV"/>
              </w:rPr>
              <w:t>Pēcdoktorantūras</w:t>
            </w:r>
            <w:proofErr w:type="spellEnd"/>
            <w:r w:rsidRPr="00BF055E">
              <w:rPr>
                <w:rFonts w:eastAsia="Times New Roman" w:cs="Times New Roman"/>
                <w:sz w:val="18"/>
                <w:szCs w:val="18"/>
                <w:lang w:eastAsia="lv-LV"/>
              </w:rPr>
              <w:t xml:space="preserve"> pētījumi"</w:t>
            </w:r>
          </w:p>
        </w:tc>
        <w:tc>
          <w:tcPr>
            <w:tcW w:w="2183" w:type="dxa"/>
            <w:tcBorders>
              <w:top w:val="nil"/>
              <w:left w:val="nil"/>
              <w:bottom w:val="single" w:sz="4" w:space="0" w:color="auto"/>
              <w:right w:val="single" w:sz="4" w:space="0" w:color="auto"/>
            </w:tcBorders>
            <w:shd w:val="clear" w:color="000000" w:fill="FFFFFF"/>
            <w:hideMark/>
          </w:tcPr>
          <w:p w14:paraId="23D1C91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Attīstīt jauno zinātnieku prasmes un palielināt zinātnisko kapacitāti, nodrošinot jauno </w:t>
            </w:r>
            <w:r w:rsidRPr="00BF055E">
              <w:rPr>
                <w:rFonts w:eastAsia="Times New Roman" w:cs="Times New Roman"/>
                <w:sz w:val="18"/>
                <w:szCs w:val="18"/>
                <w:lang w:eastAsia="lv-LV"/>
              </w:rPr>
              <w:lastRenderedPageBreak/>
              <w:t xml:space="preserve">zinātnieku karjeras uzsākšanas iespējas zinātniskajās institūcijās un pie komersantiem, kā arī pētniecības kompetenču pilnveidošanu, cilvēkresursu atjaunotni un kvalificētu speciālistu skaita pieaugumu, īstenojot pētniecību, kas sniedz ieguldījumu Latvijas viedās specializācijas stratēģijas mērķu sasniegšanā vai specializācijas jomu attīstībā. plānots līdz 2029. gada 31. decembrim atbalstītajās struktūrās izveidot vismaz 41 jaunu pētniecības darba vietu. </w:t>
            </w:r>
          </w:p>
        </w:tc>
        <w:tc>
          <w:tcPr>
            <w:tcW w:w="2835" w:type="dxa"/>
            <w:tcBorders>
              <w:top w:val="nil"/>
              <w:left w:val="nil"/>
              <w:bottom w:val="single" w:sz="4" w:space="0" w:color="auto"/>
              <w:right w:val="single" w:sz="4" w:space="0" w:color="auto"/>
            </w:tcBorders>
            <w:shd w:val="clear" w:color="000000" w:fill="FFFFFF"/>
            <w:hideMark/>
          </w:tcPr>
          <w:p w14:paraId="421B5C7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2024. gada 9. janvāra MK noteikumi Nr. 35. Projekta iesniedzējs pasākuma ietvaros ir Latvijas Zinātnes padome (LZP). </w:t>
            </w:r>
            <w:r w:rsidRPr="00BF055E">
              <w:rPr>
                <w:rFonts w:eastAsia="Times New Roman" w:cs="Times New Roman"/>
                <w:sz w:val="18"/>
                <w:szCs w:val="18"/>
                <w:lang w:eastAsia="lv-LV"/>
              </w:rPr>
              <w:lastRenderedPageBreak/>
              <w:t xml:space="preserve">LZP divu mēnešu laikā pēc tam, kad ir noslēgta vienošanās par projekta īstenošanu, izsludina pirmo pētniecības pieteikumu atlases konkursu. </w:t>
            </w:r>
          </w:p>
        </w:tc>
        <w:tc>
          <w:tcPr>
            <w:tcW w:w="850" w:type="dxa"/>
            <w:tcBorders>
              <w:top w:val="nil"/>
              <w:left w:val="nil"/>
              <w:bottom w:val="single" w:sz="4" w:space="0" w:color="auto"/>
              <w:right w:val="single" w:sz="4" w:space="0" w:color="auto"/>
            </w:tcBorders>
            <w:shd w:val="clear" w:color="000000" w:fill="FFFFFF"/>
            <w:hideMark/>
          </w:tcPr>
          <w:p w14:paraId="2EB7A33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2024-2029</w:t>
            </w:r>
          </w:p>
        </w:tc>
        <w:tc>
          <w:tcPr>
            <w:tcW w:w="1559" w:type="dxa"/>
            <w:tcBorders>
              <w:top w:val="nil"/>
              <w:left w:val="nil"/>
              <w:bottom w:val="single" w:sz="4" w:space="0" w:color="auto"/>
              <w:right w:val="single" w:sz="4" w:space="0" w:color="auto"/>
            </w:tcBorders>
            <w:shd w:val="clear" w:color="auto" w:fill="auto"/>
            <w:hideMark/>
          </w:tcPr>
          <w:p w14:paraId="55FD483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44 800 000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elastības finansējuma </w:t>
            </w:r>
            <w:r w:rsidRPr="00BF055E">
              <w:rPr>
                <w:rFonts w:eastAsia="Times New Roman" w:cs="Times New Roman"/>
                <w:sz w:val="18"/>
                <w:szCs w:val="18"/>
                <w:lang w:eastAsia="lv-LV"/>
              </w:rPr>
              <w:lastRenderedPageBreak/>
              <w:t xml:space="preserve">apmērs 5 488 842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ERAF  – 38 080 000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elastības finansējuma apmērs 4 665 516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VB līdzfinansējums – 5 149 646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(t.sk. elastības finansējuma apmērs 823 326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privātais līdzfinansējums – 1 570 354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70C8AB5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IZM/LZP</w:t>
            </w:r>
          </w:p>
        </w:tc>
        <w:tc>
          <w:tcPr>
            <w:tcW w:w="850" w:type="dxa"/>
            <w:tcBorders>
              <w:top w:val="nil"/>
              <w:left w:val="nil"/>
              <w:bottom w:val="single" w:sz="4" w:space="0" w:color="auto"/>
              <w:right w:val="single" w:sz="4" w:space="0" w:color="auto"/>
            </w:tcBorders>
            <w:shd w:val="clear" w:color="000000" w:fill="FFFFFF"/>
            <w:hideMark/>
          </w:tcPr>
          <w:p w14:paraId="5D6213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168E43F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2019(2); 2020(3); 2024(3)</w:t>
            </w:r>
          </w:p>
        </w:tc>
        <w:tc>
          <w:tcPr>
            <w:tcW w:w="992" w:type="dxa"/>
            <w:tcBorders>
              <w:top w:val="nil"/>
              <w:left w:val="nil"/>
              <w:bottom w:val="single" w:sz="4" w:space="0" w:color="auto"/>
              <w:right w:val="single" w:sz="4" w:space="0" w:color="auto"/>
            </w:tcBorders>
            <w:shd w:val="clear" w:color="000000" w:fill="FFFFFF"/>
            <w:hideMark/>
          </w:tcPr>
          <w:p w14:paraId="6AD0FD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 Sociālā un ekonomikas </w:t>
            </w:r>
            <w:r w:rsidRPr="00BF055E">
              <w:rPr>
                <w:rFonts w:eastAsia="Times New Roman" w:cs="Times New Roman"/>
                <w:sz w:val="18"/>
                <w:szCs w:val="18"/>
                <w:lang w:eastAsia="lv-LV"/>
              </w:rPr>
              <w:lastRenderedPageBreak/>
              <w:t>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6E9B8F8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Taisnīgi darba apstākļi</w:t>
            </w:r>
          </w:p>
        </w:tc>
        <w:tc>
          <w:tcPr>
            <w:tcW w:w="815" w:type="dxa"/>
            <w:tcBorders>
              <w:top w:val="nil"/>
              <w:left w:val="nil"/>
              <w:bottom w:val="single" w:sz="4" w:space="0" w:color="auto"/>
              <w:right w:val="single" w:sz="4" w:space="0" w:color="auto"/>
            </w:tcBorders>
            <w:shd w:val="clear" w:color="000000" w:fill="FFFFFF"/>
            <w:hideMark/>
          </w:tcPr>
          <w:p w14:paraId="60DE9D7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8. Cienīgs darbs un </w:t>
            </w:r>
            <w:r w:rsidRPr="00BF055E">
              <w:rPr>
                <w:rFonts w:eastAsia="Times New Roman" w:cs="Times New Roman"/>
                <w:sz w:val="18"/>
                <w:szCs w:val="18"/>
                <w:lang w:eastAsia="lv-LV"/>
              </w:rPr>
              <w:lastRenderedPageBreak/>
              <w:t>ekonomiskā izaugsme; 9. Ražošana, inovācijas un infrastruktūra</w:t>
            </w:r>
          </w:p>
        </w:tc>
      </w:tr>
      <w:tr w:rsidR="00BF055E" w:rsidRPr="00BF055E" w14:paraId="5E5F368B"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689D14F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ES kohēzijas politikas programmas 2021.–2027. gadam 1.1.1. specifiskā atbalsta mērķa "Pētniecības un inovāciju kapacitātes stiprināšana un progresīvu tehnoloģiju ieviešana kopējā P&amp;A sistēmā" 1.1.1.3. pasākums "Praktiskas ievirzes pētījumi"</w:t>
            </w:r>
          </w:p>
        </w:tc>
        <w:tc>
          <w:tcPr>
            <w:tcW w:w="2183" w:type="dxa"/>
            <w:tcBorders>
              <w:top w:val="nil"/>
              <w:left w:val="nil"/>
              <w:bottom w:val="single" w:sz="4" w:space="0" w:color="auto"/>
              <w:right w:val="single" w:sz="4" w:space="0" w:color="auto"/>
            </w:tcBorders>
            <w:shd w:val="clear" w:color="000000" w:fill="FFFFFF"/>
            <w:hideMark/>
          </w:tcPr>
          <w:p w14:paraId="6D39B1A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 mērķis ir atbalstīt praktiskas ievirzes un sadarbības pētījumu, tai skaitā starpdisciplināru pētījumu, īstenošanu, kuri virza Latvijas viedās specializācijas (turpmāk – RIS3) stratēģijas specializācijas jomu attīstību, paredzot Latvijas tautsaimniecības inovācijas sistēmas kapacitātes un eksportspējas palielināšanu atbilstoši RIS3 stratēģijai</w:t>
            </w:r>
          </w:p>
        </w:tc>
        <w:tc>
          <w:tcPr>
            <w:tcW w:w="2835" w:type="dxa"/>
            <w:tcBorders>
              <w:top w:val="nil"/>
              <w:left w:val="nil"/>
              <w:bottom w:val="single" w:sz="4" w:space="0" w:color="auto"/>
              <w:right w:val="single" w:sz="4" w:space="0" w:color="auto"/>
            </w:tcBorders>
            <w:shd w:val="clear" w:color="auto" w:fill="auto"/>
            <w:hideMark/>
          </w:tcPr>
          <w:p w14:paraId="596030E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 gada 25. jūnija MK noteikumi Nr. 407, atklāts konkurss, iesniedzējs - zinātniskā institūcija vai komersants. Pirmajā projektu iesniegumu atlases kārtā plānotais un pieejamais kopējais attiecināmais publiskais finansējums ir ne vairāk kā 35 000 000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Otrajā projektu iesniegumu atlases kārtā plānotais kopējais attiecināmais publiskais finansējums ir ne vairāk kā 21 760 000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(no tā elastības finansējums – 6 586 609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850" w:type="dxa"/>
            <w:tcBorders>
              <w:top w:val="nil"/>
              <w:left w:val="nil"/>
              <w:bottom w:val="single" w:sz="4" w:space="0" w:color="auto"/>
              <w:right w:val="single" w:sz="4" w:space="0" w:color="auto"/>
            </w:tcBorders>
            <w:shd w:val="clear" w:color="000000" w:fill="FFFFFF"/>
            <w:hideMark/>
          </w:tcPr>
          <w:p w14:paraId="5A41B9D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2024-2029</w:t>
            </w:r>
          </w:p>
        </w:tc>
        <w:tc>
          <w:tcPr>
            <w:tcW w:w="1559" w:type="dxa"/>
            <w:tcBorders>
              <w:top w:val="nil"/>
              <w:left w:val="nil"/>
              <w:bottom w:val="single" w:sz="4" w:space="0" w:color="auto"/>
              <w:right w:val="single" w:sz="4" w:space="0" w:color="auto"/>
            </w:tcBorders>
            <w:shd w:val="clear" w:color="auto" w:fill="auto"/>
            <w:hideMark/>
          </w:tcPr>
          <w:p w14:paraId="2683E48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56 760 000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(no tā elastības finansējums – 6 586 609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ERAF – 48 246 000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(no tā elastības finansējums – 5 598 618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VB līdzfinansējums – 8 514 000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(no tā elastības finansējums – 987 991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993" w:type="dxa"/>
            <w:tcBorders>
              <w:top w:val="nil"/>
              <w:left w:val="nil"/>
              <w:bottom w:val="single" w:sz="4" w:space="0" w:color="auto"/>
              <w:right w:val="single" w:sz="4" w:space="0" w:color="auto"/>
            </w:tcBorders>
            <w:shd w:val="clear" w:color="000000" w:fill="FFFFFF"/>
            <w:hideMark/>
          </w:tcPr>
          <w:p w14:paraId="2CE2939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IZM/CFLA</w:t>
            </w:r>
          </w:p>
        </w:tc>
        <w:tc>
          <w:tcPr>
            <w:tcW w:w="850" w:type="dxa"/>
            <w:tcBorders>
              <w:top w:val="nil"/>
              <w:left w:val="nil"/>
              <w:bottom w:val="single" w:sz="4" w:space="0" w:color="auto"/>
              <w:right w:val="single" w:sz="4" w:space="0" w:color="auto"/>
            </w:tcBorders>
            <w:shd w:val="clear" w:color="000000" w:fill="FFFFFF"/>
            <w:hideMark/>
          </w:tcPr>
          <w:p w14:paraId="0B45CAF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0F8788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w:t>
            </w:r>
          </w:p>
        </w:tc>
        <w:tc>
          <w:tcPr>
            <w:tcW w:w="992" w:type="dxa"/>
            <w:tcBorders>
              <w:top w:val="nil"/>
              <w:left w:val="nil"/>
              <w:bottom w:val="single" w:sz="4" w:space="0" w:color="auto"/>
              <w:right w:val="single" w:sz="4" w:space="0" w:color="auto"/>
            </w:tcBorders>
            <w:shd w:val="clear" w:color="000000" w:fill="FFFFFF"/>
            <w:hideMark/>
          </w:tcPr>
          <w:p w14:paraId="5D95D14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5789FB4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637A1AB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569BCAEB"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05BC53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ES kohēzijas politikas programmas 2021.–2027. gadam 1.1.1. specifiskā atbalsta mērķa "Pētniecības un inovāciju kapacitātes stiprināšana un progresīvu tehnoloģiju ieviešana kopējā P&amp;A sistēmā" 1.1.1.2. pasākums "RIS3 pētniecības un inovācijas centri"</w:t>
            </w:r>
          </w:p>
        </w:tc>
        <w:tc>
          <w:tcPr>
            <w:tcW w:w="2183" w:type="dxa"/>
            <w:tcBorders>
              <w:top w:val="nil"/>
              <w:left w:val="nil"/>
              <w:bottom w:val="single" w:sz="4" w:space="0" w:color="auto"/>
              <w:right w:val="single" w:sz="4" w:space="0" w:color="auto"/>
            </w:tcBorders>
            <w:shd w:val="clear" w:color="000000" w:fill="FFFFFF"/>
            <w:hideMark/>
          </w:tcPr>
          <w:p w14:paraId="24DA64A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 mērķis ir atbalstīt tādas pētniecības infrastruktūras izveidi, pilnveidi vai attīstību, kas zinātniskajā institūcijā veicina izcilības centra attīstību kādā vai vairākās no Latvijas viedās specializācijas stratēģijas jomām atbilstoši zinātniskās institūcijas sniegumam un stratēģiskajai specializācijai, paredzot Latvijas inovācijas sistēmas kapacitātes palielināšanu atbilstoši RIS3 stratēģijai.</w:t>
            </w:r>
          </w:p>
        </w:tc>
        <w:tc>
          <w:tcPr>
            <w:tcW w:w="2835" w:type="dxa"/>
            <w:tcBorders>
              <w:top w:val="nil"/>
              <w:left w:val="nil"/>
              <w:bottom w:val="single" w:sz="4" w:space="0" w:color="auto"/>
              <w:right w:val="single" w:sz="4" w:space="0" w:color="auto"/>
            </w:tcBorders>
            <w:shd w:val="clear" w:color="000000" w:fill="FFFFFF"/>
            <w:hideMark/>
          </w:tcPr>
          <w:p w14:paraId="6953460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Noteikumu projekts (24-TA-1719) nodots sabiedrības apspriešanai 24.07.24. un starpinstitūciju saskaņošanai 02.08.24.</w:t>
            </w:r>
          </w:p>
        </w:tc>
        <w:tc>
          <w:tcPr>
            <w:tcW w:w="850" w:type="dxa"/>
            <w:tcBorders>
              <w:top w:val="nil"/>
              <w:left w:val="nil"/>
              <w:bottom w:val="single" w:sz="4" w:space="0" w:color="auto"/>
              <w:right w:val="single" w:sz="4" w:space="0" w:color="auto"/>
            </w:tcBorders>
            <w:shd w:val="clear" w:color="000000" w:fill="FFFFFF"/>
            <w:hideMark/>
          </w:tcPr>
          <w:p w14:paraId="3AB1AC8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2025 - 2029</w:t>
            </w:r>
          </w:p>
        </w:tc>
        <w:tc>
          <w:tcPr>
            <w:tcW w:w="1559" w:type="dxa"/>
            <w:tcBorders>
              <w:top w:val="nil"/>
              <w:left w:val="nil"/>
              <w:bottom w:val="single" w:sz="4" w:space="0" w:color="auto"/>
              <w:right w:val="single" w:sz="4" w:space="0" w:color="auto"/>
            </w:tcBorders>
            <w:shd w:val="clear" w:color="auto" w:fill="auto"/>
            <w:hideMark/>
          </w:tcPr>
          <w:p w14:paraId="4D3526F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ietvaros plānotais kopējais attiecināmais finansējums ir 42 468 679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6 698 385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ERAF finansējums – 36 098 377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5 693 628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6 370 302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1 004 757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0B249C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IZM/CFLA</w:t>
            </w:r>
          </w:p>
        </w:tc>
        <w:tc>
          <w:tcPr>
            <w:tcW w:w="850" w:type="dxa"/>
            <w:tcBorders>
              <w:top w:val="nil"/>
              <w:left w:val="nil"/>
              <w:bottom w:val="single" w:sz="4" w:space="0" w:color="auto"/>
              <w:right w:val="single" w:sz="4" w:space="0" w:color="auto"/>
            </w:tcBorders>
            <w:shd w:val="clear" w:color="000000" w:fill="FFFFFF"/>
            <w:hideMark/>
          </w:tcPr>
          <w:p w14:paraId="169DAB5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39C2262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w:t>
            </w:r>
          </w:p>
        </w:tc>
        <w:tc>
          <w:tcPr>
            <w:tcW w:w="992" w:type="dxa"/>
            <w:tcBorders>
              <w:top w:val="nil"/>
              <w:left w:val="nil"/>
              <w:bottom w:val="single" w:sz="4" w:space="0" w:color="auto"/>
              <w:right w:val="single" w:sz="4" w:space="0" w:color="auto"/>
            </w:tcBorders>
            <w:shd w:val="clear" w:color="000000" w:fill="FFFFFF"/>
            <w:hideMark/>
          </w:tcPr>
          <w:p w14:paraId="683E9D4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45258BD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C7243B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7658132E"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31C48F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kohēzijas politikas programmas 2021.–2027. gadam 1.1.1. specifiskā atbalsta mērķa "Pētniecības un inovāciju kapacitātes stiprināšana un progresīvu tehnoloģiju ieviešana kopējā P&amp;A sistēmā" 1.1.1.5. pasākums "Latvijas pilnvērtīga dalība </w:t>
            </w:r>
            <w:r w:rsidRPr="00BF055E">
              <w:rPr>
                <w:rFonts w:eastAsia="Times New Roman" w:cs="Times New Roman"/>
                <w:sz w:val="18"/>
                <w:szCs w:val="18"/>
                <w:lang w:eastAsia="lv-LV"/>
              </w:rPr>
              <w:lastRenderedPageBreak/>
              <w:t>Apvārsnis Eiropa programmā, tajā skaitā nodrošinot kompleksu atbalsta instrumentu klāstu un sasaisti ar RIS3 specializācijas jomu attīstīšanu"(1.kārta)</w:t>
            </w:r>
          </w:p>
        </w:tc>
        <w:tc>
          <w:tcPr>
            <w:tcW w:w="2183" w:type="dxa"/>
            <w:tcBorders>
              <w:top w:val="nil"/>
              <w:left w:val="nil"/>
              <w:bottom w:val="single" w:sz="4" w:space="0" w:color="auto"/>
              <w:right w:val="single" w:sz="4" w:space="0" w:color="auto"/>
            </w:tcBorders>
            <w:shd w:val="clear" w:color="000000" w:fill="FFFFFF"/>
            <w:hideMark/>
          </w:tcPr>
          <w:p w14:paraId="5CC61F4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Pasākuma mērķis ir veicināt starptautisko sadarbību pētniecības jomā un sasaisti ar Latvijas Viedās specializācijas stratēģijas (turpmāk - RIS3) specializācijas jomu attīstīšanu, tajā skaitā stiprinot Nacionālā kontaktpunkta kapacitāti, lai  nodrošinātu investīcijas dalībai Eiropas Partnerībās atbilstoši Latvijas stratēģiskajām prioritātēm (tai skaitā kopīgu pētniecības projektu īstenošana), kā arī </w:t>
            </w:r>
            <w:r w:rsidRPr="00BF055E">
              <w:rPr>
                <w:rFonts w:eastAsia="Times New Roman" w:cs="Times New Roman"/>
                <w:sz w:val="18"/>
                <w:szCs w:val="18"/>
                <w:lang w:eastAsia="lv-LV"/>
              </w:rPr>
              <w:lastRenderedPageBreak/>
              <w:t>sinerģijas mehānismu nodrošināšana ar citām ES pētniecības programmām, tai skaitā pārfinansējot programmas “Apvārsnis Eiropa” rezervē esošos virs kvalitātes sliekšņa novērtētos projektus.</w:t>
            </w:r>
          </w:p>
        </w:tc>
        <w:tc>
          <w:tcPr>
            <w:tcW w:w="2835" w:type="dxa"/>
            <w:tcBorders>
              <w:top w:val="nil"/>
              <w:left w:val="nil"/>
              <w:bottom w:val="single" w:sz="4" w:space="0" w:color="auto"/>
              <w:right w:val="single" w:sz="4" w:space="0" w:color="auto"/>
            </w:tcBorders>
            <w:shd w:val="clear" w:color="000000" w:fill="FFFFFF"/>
            <w:hideMark/>
          </w:tcPr>
          <w:p w14:paraId="37AAA4D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MK 19.12.2023. noteikumi Nr. 810. Projektu īsteno IZM.</w:t>
            </w:r>
            <w:r w:rsidRPr="00BF055E">
              <w:rPr>
                <w:rFonts w:eastAsia="Times New Roman" w:cs="Times New Roman"/>
                <w:sz w:val="18"/>
                <w:szCs w:val="18"/>
                <w:lang w:eastAsia="lv-LV"/>
              </w:rPr>
              <w:br/>
            </w:r>
            <w:r w:rsidRPr="00BF055E">
              <w:rPr>
                <w:rFonts w:eastAsia="Times New Roman" w:cs="Times New Roman"/>
                <w:sz w:val="18"/>
                <w:szCs w:val="18"/>
                <w:lang w:eastAsia="lv-LV"/>
              </w:rPr>
              <w:br/>
              <w:t>Notiek projekta īstenošana (līgums 03.06.2024)</w:t>
            </w:r>
          </w:p>
        </w:tc>
        <w:tc>
          <w:tcPr>
            <w:tcW w:w="850" w:type="dxa"/>
            <w:tcBorders>
              <w:top w:val="nil"/>
              <w:left w:val="nil"/>
              <w:bottom w:val="single" w:sz="4" w:space="0" w:color="auto"/>
              <w:right w:val="single" w:sz="4" w:space="0" w:color="auto"/>
            </w:tcBorders>
            <w:shd w:val="clear" w:color="000000" w:fill="FFFFFF"/>
            <w:hideMark/>
          </w:tcPr>
          <w:p w14:paraId="288268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2025 - 2029</w:t>
            </w:r>
          </w:p>
        </w:tc>
        <w:tc>
          <w:tcPr>
            <w:tcW w:w="1559" w:type="dxa"/>
            <w:tcBorders>
              <w:top w:val="nil"/>
              <w:left w:val="nil"/>
              <w:bottom w:val="single" w:sz="4" w:space="0" w:color="auto"/>
              <w:right w:val="single" w:sz="4" w:space="0" w:color="auto"/>
            </w:tcBorders>
            <w:shd w:val="clear" w:color="auto" w:fill="auto"/>
            <w:hideMark/>
          </w:tcPr>
          <w:p w14:paraId="2DEFF0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Pirmajai kārtai plānotais un pieejamais kopējais attiecināmais finansējums ir 9 445 000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ERAF finansējums – 8 028 250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1 416 750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68EF538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IZM/LZP</w:t>
            </w:r>
          </w:p>
        </w:tc>
        <w:tc>
          <w:tcPr>
            <w:tcW w:w="850" w:type="dxa"/>
            <w:tcBorders>
              <w:top w:val="nil"/>
              <w:left w:val="nil"/>
              <w:bottom w:val="single" w:sz="4" w:space="0" w:color="auto"/>
              <w:right w:val="single" w:sz="4" w:space="0" w:color="auto"/>
            </w:tcBorders>
            <w:shd w:val="clear" w:color="000000" w:fill="FFFFFF"/>
            <w:hideMark/>
          </w:tcPr>
          <w:p w14:paraId="4064A30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6FD04CB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w:t>
            </w:r>
          </w:p>
        </w:tc>
        <w:tc>
          <w:tcPr>
            <w:tcW w:w="992" w:type="dxa"/>
            <w:tcBorders>
              <w:top w:val="nil"/>
              <w:left w:val="nil"/>
              <w:bottom w:val="single" w:sz="4" w:space="0" w:color="auto"/>
              <w:right w:val="single" w:sz="4" w:space="0" w:color="auto"/>
            </w:tcBorders>
            <w:shd w:val="clear" w:color="000000" w:fill="FFFFFF"/>
            <w:hideMark/>
          </w:tcPr>
          <w:p w14:paraId="251AFEC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17AC5E6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4AAD530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08FEB4AB"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2BE4B6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 kohēzijas politikas programmas 2021.–2027. gadam 1.1.1. specifiskā atbalsta mērķa "Pētniecības un inovāciju kapacitātes stiprināšana un progresīvu tehnoloģiju ieviešana kopējā P&amp;A sistēmā" 1.1.1.5. pasākums "Latvijas pilnvērtīga dalība Apvārsnis Eiropa programmā, tajā skaitā nodrošinot kompleksu atbalsta instrumentu klāstu un sasaisti ar RIS3 specializācijas jomu attīstīšanu"(2.kārta)</w:t>
            </w:r>
          </w:p>
        </w:tc>
        <w:tc>
          <w:tcPr>
            <w:tcW w:w="2183" w:type="dxa"/>
            <w:tcBorders>
              <w:top w:val="nil"/>
              <w:left w:val="nil"/>
              <w:bottom w:val="single" w:sz="4" w:space="0" w:color="auto"/>
              <w:right w:val="single" w:sz="4" w:space="0" w:color="auto"/>
            </w:tcBorders>
            <w:shd w:val="clear" w:color="000000" w:fill="FFFFFF"/>
            <w:hideMark/>
          </w:tcPr>
          <w:p w14:paraId="0036A6C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Pasākuma mērķis ir veicināt starptautisko sadarbību pētniecības jomā un sasaisti ar Latvijas Viedās specializācijas stratēģijas (turpmāk - RIS3) specializācijas jomu attīstīšanu, tajā skaitā stiprinot Nacionālā kontaktpunkta kapacitāti, lai  nodrošinātu investīcijas dalībai Eiropas Partnerībās atbilstoši Latvijas stratēģiskajām prioritātēm (tai skaitā kopīgu pētniecības projektu īstenošana), kā arī sinerģijas mehānismu nodrošināšana ar citām ES pētniecības programmām, tai skaitā pārfinansējot programmas “Apvārsnis Eiropa” rezervē esošos virs kvalitātes sliekšņa novērtētos projektus.</w:t>
            </w:r>
          </w:p>
        </w:tc>
        <w:tc>
          <w:tcPr>
            <w:tcW w:w="2835" w:type="dxa"/>
            <w:tcBorders>
              <w:top w:val="nil"/>
              <w:left w:val="nil"/>
              <w:bottom w:val="single" w:sz="4" w:space="0" w:color="auto"/>
              <w:right w:val="single" w:sz="4" w:space="0" w:color="auto"/>
            </w:tcBorders>
            <w:shd w:val="clear" w:color="000000" w:fill="FFFFFF"/>
            <w:hideMark/>
          </w:tcPr>
          <w:p w14:paraId="4BA9B2F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MK 19.12.2023. noteikumi Nr. 810. Projektu ieviesīs Latvijas zinātnes padome (LZP). </w:t>
            </w:r>
            <w:r w:rsidRPr="00BF055E">
              <w:rPr>
                <w:rFonts w:eastAsia="Times New Roman" w:cs="Times New Roman"/>
                <w:sz w:val="18"/>
                <w:szCs w:val="18"/>
                <w:lang w:eastAsia="lv-LV"/>
              </w:rPr>
              <w:br/>
            </w:r>
            <w:r w:rsidRPr="00BF055E">
              <w:rPr>
                <w:rFonts w:eastAsia="Times New Roman" w:cs="Times New Roman"/>
                <w:sz w:val="18"/>
                <w:szCs w:val="18"/>
                <w:lang w:eastAsia="lv-LV"/>
              </w:rPr>
              <w:br/>
              <w:t>2024.gada augustā laikā notiek projekta atlases dokumentācijas izstrāde un atlases izsludināšana (CFLA).</w:t>
            </w:r>
          </w:p>
        </w:tc>
        <w:tc>
          <w:tcPr>
            <w:tcW w:w="850" w:type="dxa"/>
            <w:tcBorders>
              <w:top w:val="nil"/>
              <w:left w:val="nil"/>
              <w:bottom w:val="single" w:sz="4" w:space="0" w:color="auto"/>
              <w:right w:val="single" w:sz="4" w:space="0" w:color="auto"/>
            </w:tcBorders>
            <w:shd w:val="clear" w:color="000000" w:fill="FFFFFF"/>
            <w:hideMark/>
          </w:tcPr>
          <w:p w14:paraId="48441CFA"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2025 - 2029</w:t>
            </w:r>
          </w:p>
        </w:tc>
        <w:tc>
          <w:tcPr>
            <w:tcW w:w="1559" w:type="dxa"/>
            <w:tcBorders>
              <w:top w:val="nil"/>
              <w:left w:val="nil"/>
              <w:bottom w:val="single" w:sz="4" w:space="0" w:color="auto"/>
              <w:right w:val="single" w:sz="4" w:space="0" w:color="auto"/>
            </w:tcBorders>
            <w:shd w:val="clear" w:color="auto" w:fill="auto"/>
            <w:hideMark/>
          </w:tcPr>
          <w:p w14:paraId="78188A3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Otrajai kārtai plānotais kopējais publiskais attiecināmais finansējums ir 23 664 682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10 077 021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ERAF finansējums – 20 114 979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8 565 468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3 549 703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1 511 553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607B79A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IZM/CFLA</w:t>
            </w:r>
          </w:p>
        </w:tc>
        <w:tc>
          <w:tcPr>
            <w:tcW w:w="850" w:type="dxa"/>
            <w:tcBorders>
              <w:top w:val="nil"/>
              <w:left w:val="nil"/>
              <w:bottom w:val="single" w:sz="4" w:space="0" w:color="auto"/>
              <w:right w:val="single" w:sz="4" w:space="0" w:color="auto"/>
            </w:tcBorders>
            <w:shd w:val="clear" w:color="000000" w:fill="FFFFFF"/>
            <w:hideMark/>
          </w:tcPr>
          <w:p w14:paraId="7BF710D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04E477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w:t>
            </w:r>
          </w:p>
        </w:tc>
        <w:tc>
          <w:tcPr>
            <w:tcW w:w="992" w:type="dxa"/>
            <w:tcBorders>
              <w:top w:val="nil"/>
              <w:left w:val="nil"/>
              <w:bottom w:val="single" w:sz="4" w:space="0" w:color="auto"/>
              <w:right w:val="single" w:sz="4" w:space="0" w:color="auto"/>
            </w:tcBorders>
            <w:shd w:val="clear" w:color="000000" w:fill="FFFFFF"/>
            <w:hideMark/>
          </w:tcPr>
          <w:p w14:paraId="6618C37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5F10D77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24270BD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124FCA2A"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2E65AB0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ES kohēzijas politikas programmas </w:t>
            </w:r>
            <w:r w:rsidRPr="00BF055E">
              <w:rPr>
                <w:rFonts w:eastAsia="Times New Roman" w:cs="Times New Roman"/>
                <w:sz w:val="18"/>
                <w:szCs w:val="18"/>
                <w:lang w:eastAsia="lv-LV"/>
              </w:rPr>
              <w:lastRenderedPageBreak/>
              <w:t>2021.–2027. gadam 1.1.1. specifiskā atbalsta mērķa "Pētniecības un inovāciju kapacitātes stiprināšana un progresīvu tehnoloģiju ieviešana kopējā P&amp;A sistēmā" 1.1.1.5. pasākums "Latvijas pilnvērtīga dalība Apvārsnis Eiropa programmā, tajā skaitā nodrošinot kompleksu atbalsta instrumentu klāstu un sasaisti ar RIS3 specializācijas jomu attīstīšanu"(3.kārta)</w:t>
            </w:r>
          </w:p>
        </w:tc>
        <w:tc>
          <w:tcPr>
            <w:tcW w:w="2183" w:type="dxa"/>
            <w:tcBorders>
              <w:top w:val="nil"/>
              <w:left w:val="nil"/>
              <w:bottom w:val="single" w:sz="4" w:space="0" w:color="auto"/>
              <w:right w:val="single" w:sz="4" w:space="0" w:color="auto"/>
            </w:tcBorders>
            <w:shd w:val="clear" w:color="000000" w:fill="FFFFFF"/>
            <w:hideMark/>
          </w:tcPr>
          <w:p w14:paraId="0D5E4FF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Veicināt starptautisko sadarbību pētniecības jomā un sasaisti ar Latvijas </w:t>
            </w:r>
            <w:r w:rsidRPr="00BF055E">
              <w:rPr>
                <w:rFonts w:eastAsia="Times New Roman" w:cs="Times New Roman"/>
                <w:sz w:val="18"/>
                <w:szCs w:val="18"/>
                <w:lang w:eastAsia="lv-LV"/>
              </w:rPr>
              <w:lastRenderedPageBreak/>
              <w:t>Viedās specializācijas stratēģijas (turpmāk – RIS3) specializācijas jomu, kā arī starpdisciplināru RIS3 specializācijas jomu attīstīšanu, tajā skaitā palielinot zinātnisko institūciju dalību programmā "Apvārsnis Eiropa".</w:t>
            </w:r>
          </w:p>
        </w:tc>
        <w:tc>
          <w:tcPr>
            <w:tcW w:w="2835" w:type="dxa"/>
            <w:tcBorders>
              <w:top w:val="nil"/>
              <w:left w:val="nil"/>
              <w:bottom w:val="single" w:sz="4" w:space="0" w:color="auto"/>
              <w:right w:val="single" w:sz="4" w:space="0" w:color="auto"/>
            </w:tcBorders>
            <w:shd w:val="clear" w:color="000000" w:fill="FFFFFF"/>
            <w:hideMark/>
          </w:tcPr>
          <w:p w14:paraId="762F2B5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MK 23.07.24. noteikumi Nr. 502</w:t>
            </w:r>
            <w:r w:rsidRPr="00BF055E">
              <w:rPr>
                <w:rFonts w:eastAsia="Times New Roman" w:cs="Times New Roman"/>
                <w:sz w:val="18"/>
                <w:szCs w:val="18"/>
                <w:lang w:eastAsia="lv-LV"/>
              </w:rPr>
              <w:br/>
            </w:r>
            <w:r w:rsidRPr="00BF055E">
              <w:rPr>
                <w:rFonts w:eastAsia="Times New Roman" w:cs="Times New Roman"/>
                <w:sz w:val="18"/>
                <w:szCs w:val="18"/>
                <w:lang w:eastAsia="lv-LV"/>
              </w:rPr>
              <w:br/>
              <w:t xml:space="preserve">Atklāta projektu atlase. Notiek </w:t>
            </w:r>
            <w:r w:rsidRPr="00BF055E">
              <w:rPr>
                <w:rFonts w:eastAsia="Times New Roman" w:cs="Times New Roman"/>
                <w:sz w:val="18"/>
                <w:szCs w:val="18"/>
                <w:lang w:eastAsia="lv-LV"/>
              </w:rPr>
              <w:lastRenderedPageBreak/>
              <w:t>atlases dokumentācijas izstrāde (CFLA).</w:t>
            </w:r>
          </w:p>
        </w:tc>
        <w:tc>
          <w:tcPr>
            <w:tcW w:w="850" w:type="dxa"/>
            <w:tcBorders>
              <w:top w:val="nil"/>
              <w:left w:val="nil"/>
              <w:bottom w:val="single" w:sz="4" w:space="0" w:color="auto"/>
              <w:right w:val="single" w:sz="4" w:space="0" w:color="auto"/>
            </w:tcBorders>
            <w:shd w:val="clear" w:color="000000" w:fill="FFFFFF"/>
            <w:hideMark/>
          </w:tcPr>
          <w:p w14:paraId="0A9FB78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2025 - 2029</w:t>
            </w:r>
          </w:p>
        </w:tc>
        <w:tc>
          <w:tcPr>
            <w:tcW w:w="1559" w:type="dxa"/>
            <w:tcBorders>
              <w:top w:val="nil"/>
              <w:left w:val="nil"/>
              <w:bottom w:val="single" w:sz="4" w:space="0" w:color="auto"/>
              <w:right w:val="single" w:sz="4" w:space="0" w:color="auto"/>
            </w:tcBorders>
            <w:shd w:val="clear" w:color="auto" w:fill="auto"/>
            <w:hideMark/>
          </w:tcPr>
          <w:p w14:paraId="2C506B9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trešās kārtas ietvaros plānotais un </w:t>
            </w:r>
            <w:r w:rsidRPr="00BF055E">
              <w:rPr>
                <w:rFonts w:eastAsia="Times New Roman" w:cs="Times New Roman"/>
                <w:sz w:val="18"/>
                <w:szCs w:val="18"/>
                <w:lang w:eastAsia="lv-LV"/>
              </w:rPr>
              <w:lastRenderedPageBreak/>
              <w:t xml:space="preserve">pieejamais kopējais attiecināmais finansējums ir 15 780 000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Eiropas Reģionālās attīstības fonda (turpmāk – ERAF) finansējums 13 413 000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2 367 000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243D615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IZM/CFLA</w:t>
            </w:r>
          </w:p>
        </w:tc>
        <w:tc>
          <w:tcPr>
            <w:tcW w:w="850" w:type="dxa"/>
            <w:tcBorders>
              <w:top w:val="nil"/>
              <w:left w:val="nil"/>
              <w:bottom w:val="single" w:sz="4" w:space="0" w:color="auto"/>
              <w:right w:val="single" w:sz="4" w:space="0" w:color="auto"/>
            </w:tcBorders>
            <w:shd w:val="clear" w:color="000000" w:fill="FFFFFF"/>
            <w:hideMark/>
          </w:tcPr>
          <w:p w14:paraId="61CD2C3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1726F8E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w:t>
            </w:r>
          </w:p>
        </w:tc>
        <w:tc>
          <w:tcPr>
            <w:tcW w:w="992" w:type="dxa"/>
            <w:tcBorders>
              <w:top w:val="nil"/>
              <w:left w:val="nil"/>
              <w:bottom w:val="single" w:sz="4" w:space="0" w:color="auto"/>
              <w:right w:val="single" w:sz="4" w:space="0" w:color="auto"/>
            </w:tcBorders>
            <w:shd w:val="clear" w:color="000000" w:fill="FFFFFF"/>
            <w:hideMark/>
          </w:tcPr>
          <w:p w14:paraId="4D26859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w:t>
            </w:r>
            <w:r w:rsidRPr="00BF055E">
              <w:rPr>
                <w:rFonts w:eastAsia="Times New Roman" w:cs="Times New Roman"/>
                <w:sz w:val="18"/>
                <w:szCs w:val="18"/>
                <w:lang w:eastAsia="lv-LV"/>
              </w:rPr>
              <w:lastRenderedPageBreak/>
              <w:t>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59E0A28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w:t>
            </w:r>
          </w:p>
        </w:tc>
        <w:tc>
          <w:tcPr>
            <w:tcW w:w="815" w:type="dxa"/>
            <w:tcBorders>
              <w:top w:val="nil"/>
              <w:left w:val="nil"/>
              <w:bottom w:val="single" w:sz="4" w:space="0" w:color="auto"/>
              <w:right w:val="single" w:sz="4" w:space="0" w:color="auto"/>
            </w:tcBorders>
            <w:shd w:val="clear" w:color="000000" w:fill="FFFFFF"/>
            <w:hideMark/>
          </w:tcPr>
          <w:p w14:paraId="19C76A90"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9. Ražošana, </w:t>
            </w:r>
            <w:r w:rsidRPr="00BF055E">
              <w:rPr>
                <w:rFonts w:eastAsia="Times New Roman" w:cs="Times New Roman"/>
                <w:sz w:val="18"/>
                <w:szCs w:val="18"/>
                <w:lang w:eastAsia="lv-LV"/>
              </w:rPr>
              <w:lastRenderedPageBreak/>
              <w:t>inovācijas un infrastruktūra</w:t>
            </w:r>
          </w:p>
        </w:tc>
      </w:tr>
      <w:tr w:rsidR="00BF055E" w:rsidRPr="00BF055E" w14:paraId="3AB8EED7"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1A0B7B69"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ES kohēzijas politikas programmas 2021.–2027. gadam 1.1.1. specifiskā atbalsta mērķa "Pētniecības un inovāciju kapacitātes stiprināšana un progresīvu tehnoloģiju ieviešana kopējā P&amp;A sistēmā" 1.1.1.7. pasākums </w:t>
            </w:r>
            <w:r w:rsidRPr="00BF055E">
              <w:rPr>
                <w:rFonts w:eastAsia="Times New Roman" w:cs="Times New Roman"/>
                <w:sz w:val="18"/>
                <w:szCs w:val="18"/>
                <w:lang w:eastAsia="lv-LV"/>
              </w:rPr>
              <w:lastRenderedPageBreak/>
              <w:t>"Inovāciju granti studentiem"</w:t>
            </w:r>
          </w:p>
        </w:tc>
        <w:tc>
          <w:tcPr>
            <w:tcW w:w="2183" w:type="dxa"/>
            <w:tcBorders>
              <w:top w:val="nil"/>
              <w:left w:val="nil"/>
              <w:bottom w:val="single" w:sz="4" w:space="0" w:color="auto"/>
              <w:right w:val="single" w:sz="4" w:space="0" w:color="auto"/>
            </w:tcBorders>
            <w:shd w:val="clear" w:color="auto" w:fill="auto"/>
            <w:hideMark/>
          </w:tcPr>
          <w:p w14:paraId="458A2FE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 xml:space="preserve">Pasākuma mērķis ir sekmēt studējošo inovāciju pieteikumu īstenošanu, kas attīsta studējošo inovācijas spēju un uzņēmīgumu, t. sk. </w:t>
            </w:r>
            <w:proofErr w:type="spellStart"/>
            <w:r w:rsidRPr="00BF055E">
              <w:rPr>
                <w:rFonts w:eastAsia="Times New Roman" w:cs="Times New Roman"/>
                <w:sz w:val="18"/>
                <w:szCs w:val="18"/>
                <w:lang w:eastAsia="lv-LV"/>
              </w:rPr>
              <w:t>uzņēmējspēju</w:t>
            </w:r>
            <w:proofErr w:type="spellEnd"/>
            <w:r w:rsidRPr="00BF055E">
              <w:rPr>
                <w:rFonts w:eastAsia="Times New Roman" w:cs="Times New Roman"/>
                <w:sz w:val="18"/>
                <w:szCs w:val="18"/>
                <w:lang w:eastAsia="lv-LV"/>
              </w:rPr>
              <w:t xml:space="preserve">, risina nozarei, sabiedrībai vai tās daļai nozīmīgas problēmas un stiprina augstskolu un studējošo sadarbību ar komersantiem. Līdz 2029. gada 31. decembrim sasniedzami šādi uzraudzības rādītāji: publisko atbalstu </w:t>
            </w:r>
            <w:r w:rsidRPr="00BF055E">
              <w:rPr>
                <w:rFonts w:eastAsia="Times New Roman" w:cs="Times New Roman"/>
                <w:sz w:val="18"/>
                <w:szCs w:val="18"/>
                <w:lang w:eastAsia="lv-LV"/>
              </w:rPr>
              <w:lastRenderedPageBreak/>
              <w:t xml:space="preserve">papildinošās privātās investīcijas (tai skaitā granti, finanšu instrumenti) – 1 650 000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w:t>
            </w:r>
          </w:p>
        </w:tc>
        <w:tc>
          <w:tcPr>
            <w:tcW w:w="2835" w:type="dxa"/>
            <w:tcBorders>
              <w:top w:val="nil"/>
              <w:left w:val="nil"/>
              <w:bottom w:val="single" w:sz="4" w:space="0" w:color="auto"/>
              <w:right w:val="single" w:sz="4" w:space="0" w:color="auto"/>
            </w:tcBorders>
            <w:shd w:val="clear" w:color="000000" w:fill="FFFFFF"/>
            <w:hideMark/>
          </w:tcPr>
          <w:p w14:paraId="615D8D8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1.1.1.7. pasākuma "Inovāciju granti studentiem" īstenošanas noteikumi ir izstrādē (TAP - 24-TA-1421)</w:t>
            </w:r>
          </w:p>
        </w:tc>
        <w:tc>
          <w:tcPr>
            <w:tcW w:w="850" w:type="dxa"/>
            <w:tcBorders>
              <w:top w:val="nil"/>
              <w:left w:val="nil"/>
              <w:bottom w:val="single" w:sz="4" w:space="0" w:color="auto"/>
              <w:right w:val="single" w:sz="4" w:space="0" w:color="auto"/>
            </w:tcBorders>
            <w:shd w:val="clear" w:color="000000" w:fill="FFFFFF"/>
            <w:hideMark/>
          </w:tcPr>
          <w:p w14:paraId="5D0C877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2025-2029</w:t>
            </w:r>
          </w:p>
        </w:tc>
        <w:tc>
          <w:tcPr>
            <w:tcW w:w="1559" w:type="dxa"/>
            <w:tcBorders>
              <w:top w:val="nil"/>
              <w:left w:val="nil"/>
              <w:bottom w:val="single" w:sz="4" w:space="0" w:color="auto"/>
              <w:right w:val="single" w:sz="4" w:space="0" w:color="auto"/>
            </w:tcBorders>
            <w:shd w:val="clear" w:color="auto" w:fill="auto"/>
            <w:hideMark/>
          </w:tcPr>
          <w:p w14:paraId="44B56B8B"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kopējais finansējums ir 16 500 000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(t.sk  elastības finansējums  2 602 468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t.sk ERAF – 14 025 000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(t.sk. elastības finansējums – 2 212 098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VB līdzfinansējums </w:t>
            </w:r>
            <w:r w:rsidRPr="00BF055E">
              <w:rPr>
                <w:rFonts w:eastAsia="Times New Roman" w:cs="Times New Roman"/>
                <w:sz w:val="18"/>
                <w:szCs w:val="18"/>
                <w:lang w:eastAsia="lv-LV"/>
              </w:rPr>
              <w:lastRenderedPageBreak/>
              <w:t>825 000 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(t.sk elastības finansējums – 390 370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un privātais līdzfinansējums –  1 650 000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7EEB9DB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IZM</w:t>
            </w:r>
          </w:p>
        </w:tc>
        <w:tc>
          <w:tcPr>
            <w:tcW w:w="850" w:type="dxa"/>
            <w:tcBorders>
              <w:top w:val="nil"/>
              <w:left w:val="nil"/>
              <w:bottom w:val="single" w:sz="4" w:space="0" w:color="auto"/>
              <w:right w:val="single" w:sz="4" w:space="0" w:color="auto"/>
            </w:tcBorders>
            <w:shd w:val="clear" w:color="000000" w:fill="FFFFFF"/>
            <w:hideMark/>
          </w:tcPr>
          <w:p w14:paraId="300F7198"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5B85998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w:t>
            </w:r>
          </w:p>
        </w:tc>
        <w:tc>
          <w:tcPr>
            <w:tcW w:w="992" w:type="dxa"/>
            <w:tcBorders>
              <w:top w:val="nil"/>
              <w:left w:val="nil"/>
              <w:bottom w:val="single" w:sz="4" w:space="0" w:color="auto"/>
              <w:right w:val="single" w:sz="4" w:space="0" w:color="auto"/>
            </w:tcBorders>
            <w:shd w:val="clear" w:color="000000" w:fill="FFFFFF"/>
            <w:hideMark/>
          </w:tcPr>
          <w:p w14:paraId="2F5FAA8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041EF39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3274825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7F061CEA"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63AF808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ES kohēzijas politikas programmas 2021.–2027. gadam 1.1.1. specifiskā atbalsta mērķa "Pētniecības un inovāciju kapacitātes stiprināšana un progresīvu tehnoloģiju ieviešana kopējā P&amp;A sistēmā" 1.1.1.8. pasākums "Doktorantūras granti"</w:t>
            </w:r>
          </w:p>
        </w:tc>
        <w:tc>
          <w:tcPr>
            <w:tcW w:w="2183" w:type="dxa"/>
            <w:tcBorders>
              <w:top w:val="nil"/>
              <w:left w:val="nil"/>
              <w:bottom w:val="single" w:sz="4" w:space="0" w:color="auto"/>
              <w:right w:val="single" w:sz="4" w:space="0" w:color="auto"/>
            </w:tcBorders>
            <w:shd w:val="clear" w:color="000000" w:fill="FFFFFF"/>
            <w:hideMark/>
          </w:tcPr>
          <w:p w14:paraId="5EE28D6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Pasākuma mērķis ir stiprināt tautsaimniecības izaugsmei un transformācijai nepieciešamo pētniecības un attīstības </w:t>
            </w:r>
            <w:proofErr w:type="spellStart"/>
            <w:r w:rsidRPr="00BF055E">
              <w:rPr>
                <w:rFonts w:eastAsia="Times New Roman" w:cs="Times New Roman"/>
                <w:sz w:val="18"/>
                <w:szCs w:val="18"/>
                <w:lang w:eastAsia="lv-LV"/>
              </w:rPr>
              <w:t>cilvēkkapitāla</w:t>
            </w:r>
            <w:proofErr w:type="spellEnd"/>
            <w:r w:rsidRPr="00BF055E">
              <w:rPr>
                <w:rFonts w:eastAsia="Times New Roman" w:cs="Times New Roman"/>
                <w:sz w:val="18"/>
                <w:szCs w:val="18"/>
                <w:lang w:eastAsia="lv-LV"/>
              </w:rPr>
              <w:t xml:space="preserve"> kapacitāti viedās specializācijas jomās.</w:t>
            </w:r>
            <w:r w:rsidRPr="00BF055E">
              <w:rPr>
                <w:rFonts w:eastAsia="Times New Roman" w:cs="Times New Roman"/>
                <w:sz w:val="18"/>
                <w:szCs w:val="18"/>
                <w:lang w:eastAsia="lv-LV"/>
              </w:rPr>
              <w:br/>
              <w:t>Pasākuma mērķa grupa ir doktoranti.  līdz 2029. gada 31. decembrim sasniedzami šādi uzraudzības rādītāji: rezultāta rādītājs – atbalstītajās struktūrās izveidotās pētniecības darbvietas – 66 (pilna laika slodzes ekvivalenta izteiksmē);</w:t>
            </w:r>
          </w:p>
        </w:tc>
        <w:tc>
          <w:tcPr>
            <w:tcW w:w="2835" w:type="dxa"/>
            <w:tcBorders>
              <w:top w:val="nil"/>
              <w:left w:val="nil"/>
              <w:bottom w:val="single" w:sz="4" w:space="0" w:color="auto"/>
              <w:right w:val="single" w:sz="4" w:space="0" w:color="auto"/>
            </w:tcBorders>
            <w:shd w:val="clear" w:color="000000" w:fill="FFFFFF"/>
            <w:hideMark/>
          </w:tcPr>
          <w:p w14:paraId="345700B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2023. gada 19. decembra MK noteikumi Nr. 811. Projektus īsteno Daugavpils Universitāte; Latvijas Kultūras akadēmija, Latvijas </w:t>
            </w:r>
            <w:proofErr w:type="spellStart"/>
            <w:r w:rsidRPr="00BF055E">
              <w:rPr>
                <w:rFonts w:eastAsia="Times New Roman" w:cs="Times New Roman"/>
                <w:sz w:val="18"/>
                <w:szCs w:val="18"/>
                <w:lang w:eastAsia="lv-LV"/>
              </w:rPr>
              <w:t>Biozinātņu</w:t>
            </w:r>
            <w:proofErr w:type="spellEnd"/>
            <w:r w:rsidRPr="00BF055E">
              <w:rPr>
                <w:rFonts w:eastAsia="Times New Roman" w:cs="Times New Roman"/>
                <w:sz w:val="18"/>
                <w:szCs w:val="18"/>
                <w:lang w:eastAsia="lv-LV"/>
              </w:rPr>
              <w:t xml:space="preserve"> un tehnoloģiju universitāte; Latvijas Universitāte, Rīgas Stradiņa universitāte, Rīgas Tehniskā universitāte, Ventspils Augstskola.</w:t>
            </w:r>
          </w:p>
        </w:tc>
        <w:tc>
          <w:tcPr>
            <w:tcW w:w="850" w:type="dxa"/>
            <w:tcBorders>
              <w:top w:val="nil"/>
              <w:left w:val="nil"/>
              <w:bottom w:val="single" w:sz="4" w:space="0" w:color="auto"/>
              <w:right w:val="single" w:sz="4" w:space="0" w:color="auto"/>
            </w:tcBorders>
            <w:shd w:val="clear" w:color="000000" w:fill="FFFFFF"/>
            <w:hideMark/>
          </w:tcPr>
          <w:p w14:paraId="08C2EF4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2025-2029</w:t>
            </w:r>
          </w:p>
        </w:tc>
        <w:tc>
          <w:tcPr>
            <w:tcW w:w="1559" w:type="dxa"/>
            <w:tcBorders>
              <w:top w:val="nil"/>
              <w:left w:val="nil"/>
              <w:bottom w:val="single" w:sz="4" w:space="0" w:color="auto"/>
              <w:right w:val="single" w:sz="4" w:space="0" w:color="auto"/>
            </w:tcBorders>
            <w:shd w:val="clear" w:color="auto" w:fill="auto"/>
            <w:hideMark/>
          </w:tcPr>
          <w:p w14:paraId="39615FBD"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19 140 000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3 018 862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tai skaitā Eiropas Reģionālās attīstības fonda finansējums – 16 269 000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2 566 033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un valsts budžeta līdzfinansējums – ne mazāk kā 2 871 000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(tostarp elastības finansējums – 452 829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w:t>
            </w:r>
          </w:p>
        </w:tc>
        <w:tc>
          <w:tcPr>
            <w:tcW w:w="993" w:type="dxa"/>
            <w:tcBorders>
              <w:top w:val="nil"/>
              <w:left w:val="nil"/>
              <w:bottom w:val="single" w:sz="4" w:space="0" w:color="auto"/>
              <w:right w:val="single" w:sz="4" w:space="0" w:color="auto"/>
            </w:tcBorders>
            <w:shd w:val="clear" w:color="000000" w:fill="FFFFFF"/>
            <w:hideMark/>
          </w:tcPr>
          <w:p w14:paraId="67A2A84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IZM/CFLA</w:t>
            </w:r>
          </w:p>
        </w:tc>
        <w:tc>
          <w:tcPr>
            <w:tcW w:w="850" w:type="dxa"/>
            <w:tcBorders>
              <w:top w:val="nil"/>
              <w:left w:val="nil"/>
              <w:bottom w:val="single" w:sz="4" w:space="0" w:color="auto"/>
              <w:right w:val="single" w:sz="4" w:space="0" w:color="auto"/>
            </w:tcBorders>
            <w:shd w:val="clear" w:color="000000" w:fill="FFFFFF"/>
            <w:hideMark/>
          </w:tcPr>
          <w:p w14:paraId="661F9F9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MFF</w:t>
            </w:r>
          </w:p>
        </w:tc>
        <w:tc>
          <w:tcPr>
            <w:tcW w:w="851" w:type="dxa"/>
            <w:tcBorders>
              <w:top w:val="nil"/>
              <w:left w:val="nil"/>
              <w:bottom w:val="single" w:sz="4" w:space="0" w:color="auto"/>
              <w:right w:val="single" w:sz="4" w:space="0" w:color="auto"/>
            </w:tcBorders>
            <w:shd w:val="clear" w:color="000000" w:fill="FFFFFF"/>
            <w:hideMark/>
          </w:tcPr>
          <w:p w14:paraId="663A22D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2020(3)</w:t>
            </w:r>
          </w:p>
        </w:tc>
        <w:tc>
          <w:tcPr>
            <w:tcW w:w="992" w:type="dxa"/>
            <w:tcBorders>
              <w:top w:val="nil"/>
              <w:left w:val="nil"/>
              <w:bottom w:val="single" w:sz="4" w:space="0" w:color="auto"/>
              <w:right w:val="single" w:sz="4" w:space="0" w:color="auto"/>
            </w:tcBorders>
            <w:shd w:val="clear" w:color="000000" w:fill="FFFFFF"/>
            <w:hideMark/>
          </w:tcPr>
          <w:p w14:paraId="5F5895A2"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2. Sociālā un ekonomikas noturība, t.sk. Eiropas Sociālo tiesību pīlārs</w:t>
            </w:r>
          </w:p>
        </w:tc>
        <w:tc>
          <w:tcPr>
            <w:tcW w:w="992" w:type="dxa"/>
            <w:tcBorders>
              <w:top w:val="nil"/>
              <w:left w:val="nil"/>
              <w:bottom w:val="single" w:sz="4" w:space="0" w:color="auto"/>
              <w:right w:val="single" w:sz="4" w:space="0" w:color="auto"/>
            </w:tcBorders>
            <w:shd w:val="clear" w:color="000000" w:fill="FFFFFF"/>
            <w:hideMark/>
          </w:tcPr>
          <w:p w14:paraId="647152C6"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6A8157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9. Ražošana, inovācijas un infrastruktūra</w:t>
            </w:r>
          </w:p>
        </w:tc>
      </w:tr>
      <w:tr w:rsidR="00BF055E" w:rsidRPr="00BF055E" w14:paraId="4018F755" w14:textId="77777777" w:rsidTr="003B1594">
        <w:trPr>
          <w:trHeight w:val="20"/>
        </w:trPr>
        <w:tc>
          <w:tcPr>
            <w:tcW w:w="14560" w:type="dxa"/>
            <w:gridSpan w:val="11"/>
            <w:tcBorders>
              <w:top w:val="single" w:sz="4" w:space="0" w:color="auto"/>
              <w:left w:val="single" w:sz="4" w:space="0" w:color="auto"/>
              <w:bottom w:val="single" w:sz="4" w:space="0" w:color="auto"/>
              <w:right w:val="single" w:sz="4" w:space="0" w:color="auto"/>
            </w:tcBorders>
            <w:shd w:val="clear" w:color="000000" w:fill="F2F2F2"/>
            <w:hideMark/>
          </w:tcPr>
          <w:p w14:paraId="28903A4A"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Enerģētikas drošība</w:t>
            </w:r>
          </w:p>
        </w:tc>
      </w:tr>
      <w:tr w:rsidR="00BF055E" w:rsidRPr="00BF055E" w14:paraId="4BB265BF" w14:textId="77777777" w:rsidTr="003B1594">
        <w:trPr>
          <w:trHeight w:val="20"/>
        </w:trPr>
        <w:tc>
          <w:tcPr>
            <w:tcW w:w="14560" w:type="dxa"/>
            <w:gridSpan w:val="11"/>
            <w:tcBorders>
              <w:top w:val="single" w:sz="4" w:space="0" w:color="auto"/>
              <w:left w:val="single" w:sz="4" w:space="0" w:color="auto"/>
              <w:bottom w:val="single" w:sz="4" w:space="0" w:color="auto"/>
              <w:right w:val="single" w:sz="4" w:space="0" w:color="auto"/>
            </w:tcBorders>
            <w:shd w:val="clear" w:color="000000" w:fill="FFFFFF"/>
            <w:hideMark/>
          </w:tcPr>
          <w:p w14:paraId="18D5588A" w14:textId="04B5260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Skat. politikas virzienu "</w:t>
            </w:r>
            <w:r w:rsidR="005454DA">
              <w:rPr>
                <w:rFonts w:eastAsia="Times New Roman" w:cs="Times New Roman"/>
                <w:sz w:val="18"/>
                <w:szCs w:val="18"/>
                <w:lang w:eastAsia="lv-LV"/>
              </w:rPr>
              <w:t>9.1.8</w:t>
            </w:r>
            <w:r w:rsidRPr="00BF055E">
              <w:rPr>
                <w:rFonts w:eastAsia="Times New Roman" w:cs="Times New Roman"/>
                <w:sz w:val="18"/>
                <w:szCs w:val="18"/>
                <w:lang w:eastAsia="lv-LV"/>
              </w:rPr>
              <w:t>. enerģētika un energoefektivitāte"</w:t>
            </w:r>
          </w:p>
        </w:tc>
      </w:tr>
      <w:tr w:rsidR="00BF055E" w:rsidRPr="00BF055E" w14:paraId="20F816A6" w14:textId="77777777" w:rsidTr="003B1594">
        <w:trPr>
          <w:trHeight w:val="20"/>
        </w:trPr>
        <w:tc>
          <w:tcPr>
            <w:tcW w:w="14560" w:type="dxa"/>
            <w:gridSpan w:val="11"/>
            <w:tcBorders>
              <w:top w:val="single" w:sz="4" w:space="0" w:color="auto"/>
              <w:left w:val="single" w:sz="4" w:space="0" w:color="auto"/>
              <w:bottom w:val="single" w:sz="4" w:space="0" w:color="auto"/>
              <w:right w:val="single" w:sz="4" w:space="0" w:color="auto"/>
            </w:tcBorders>
            <w:shd w:val="clear" w:color="000000" w:fill="F2F2F2"/>
            <w:hideMark/>
          </w:tcPr>
          <w:p w14:paraId="15F63265" w14:textId="77777777" w:rsidR="00BF055E" w:rsidRPr="00BF055E" w:rsidRDefault="00BF055E" w:rsidP="006357B3">
            <w:pPr>
              <w:spacing w:after="0" w:line="240" w:lineRule="auto"/>
              <w:ind w:firstLine="0"/>
              <w:jc w:val="left"/>
              <w:rPr>
                <w:rFonts w:eastAsia="Times New Roman" w:cs="Times New Roman"/>
                <w:b/>
                <w:bCs/>
                <w:sz w:val="18"/>
                <w:szCs w:val="18"/>
                <w:lang w:eastAsia="lv-LV"/>
              </w:rPr>
            </w:pPr>
            <w:r w:rsidRPr="00BF055E">
              <w:rPr>
                <w:rFonts w:eastAsia="Times New Roman" w:cs="Times New Roman"/>
                <w:b/>
                <w:bCs/>
                <w:sz w:val="18"/>
                <w:szCs w:val="18"/>
                <w:lang w:eastAsia="lv-LV"/>
              </w:rPr>
              <w:t>Aizsardzības spēju veidošana</w:t>
            </w:r>
          </w:p>
        </w:tc>
      </w:tr>
      <w:tr w:rsidR="00BF055E" w:rsidRPr="00BF055E" w14:paraId="363CDC9E" w14:textId="77777777" w:rsidTr="003B1594">
        <w:trPr>
          <w:trHeight w:val="20"/>
        </w:trPr>
        <w:tc>
          <w:tcPr>
            <w:tcW w:w="1640" w:type="dxa"/>
            <w:tcBorders>
              <w:top w:val="nil"/>
              <w:left w:val="single" w:sz="4" w:space="0" w:color="auto"/>
              <w:bottom w:val="single" w:sz="4" w:space="0" w:color="auto"/>
              <w:right w:val="single" w:sz="4" w:space="0" w:color="auto"/>
            </w:tcBorders>
            <w:shd w:val="clear" w:color="000000" w:fill="FFFFFF"/>
            <w:hideMark/>
          </w:tcPr>
          <w:p w14:paraId="68899C7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Aizsardzības spēju palielināšana</w:t>
            </w:r>
          </w:p>
        </w:tc>
        <w:tc>
          <w:tcPr>
            <w:tcW w:w="2183" w:type="dxa"/>
            <w:tcBorders>
              <w:top w:val="nil"/>
              <w:left w:val="nil"/>
              <w:bottom w:val="single" w:sz="4" w:space="0" w:color="auto"/>
              <w:right w:val="single" w:sz="4" w:space="0" w:color="auto"/>
            </w:tcBorders>
            <w:shd w:val="clear" w:color="000000" w:fill="FFFFFF"/>
            <w:hideMark/>
          </w:tcPr>
          <w:p w14:paraId="024584D7"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Aizsardzības spēju palielināšana 2024.-2028. gadam, nepieciešama, lai attīstītu Nacionālo bruņoto spēku pasākumu kopumu, kas primāri vērsts uz valsts apdraudējuma pārvarēšanu.</w:t>
            </w:r>
          </w:p>
        </w:tc>
        <w:tc>
          <w:tcPr>
            <w:tcW w:w="2835" w:type="dxa"/>
            <w:tcBorders>
              <w:top w:val="nil"/>
              <w:left w:val="nil"/>
              <w:bottom w:val="single" w:sz="4" w:space="0" w:color="auto"/>
              <w:right w:val="single" w:sz="4" w:space="0" w:color="auto"/>
            </w:tcBorders>
            <w:shd w:val="clear" w:color="000000" w:fill="FFFFFF"/>
            <w:hideMark/>
          </w:tcPr>
          <w:p w14:paraId="4005D145"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 19.03.2021. MK rīkojums Nr.179 "Par finansējumu Aizsardzības ministrijas ilgtermiņu saistību pasākumam "Nacionālo bruņoto spēku ilgtermiņa līgumi""; 23.07.2024.MK Rīkojums Nr.632 "NBS  attīstības plāns 2025.-2036.gadam"; 23.07.2024.MK rīkojums Nr.633  "Par finansējumu </w:t>
            </w:r>
            <w:r w:rsidRPr="00BF055E">
              <w:rPr>
                <w:rFonts w:eastAsia="Times New Roman" w:cs="Times New Roman"/>
                <w:sz w:val="18"/>
                <w:szCs w:val="18"/>
                <w:lang w:eastAsia="lv-LV"/>
              </w:rPr>
              <w:lastRenderedPageBreak/>
              <w:t xml:space="preserve">Aizsardzības ministrijas ilgtermiņu saistību pasākumam "Nacionālo bruņoto spēku ilgtermiņa līgumi"". </w:t>
            </w:r>
          </w:p>
        </w:tc>
        <w:tc>
          <w:tcPr>
            <w:tcW w:w="850" w:type="dxa"/>
            <w:tcBorders>
              <w:top w:val="nil"/>
              <w:left w:val="nil"/>
              <w:bottom w:val="single" w:sz="4" w:space="0" w:color="auto"/>
              <w:right w:val="single" w:sz="4" w:space="0" w:color="auto"/>
            </w:tcBorders>
            <w:shd w:val="clear" w:color="000000" w:fill="FFFFFF"/>
            <w:hideMark/>
          </w:tcPr>
          <w:p w14:paraId="3A3A2181"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lastRenderedPageBreak/>
              <w:t>2024-2036.</w:t>
            </w:r>
          </w:p>
          <w:p w14:paraId="63242FBF"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gads</w:t>
            </w:r>
          </w:p>
        </w:tc>
        <w:tc>
          <w:tcPr>
            <w:tcW w:w="1559" w:type="dxa"/>
            <w:tcBorders>
              <w:top w:val="nil"/>
              <w:left w:val="nil"/>
              <w:bottom w:val="single" w:sz="4" w:space="0" w:color="auto"/>
              <w:right w:val="single" w:sz="4" w:space="0" w:color="auto"/>
            </w:tcBorders>
            <w:shd w:val="clear" w:color="auto" w:fill="auto"/>
            <w:hideMark/>
          </w:tcPr>
          <w:p w14:paraId="7E48A31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xml:space="preserve">2024.gadam  - 432 391 617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2025. gadam – 440 073 100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2026. gadam – 534 641 228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2027. gadam 551 361 228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xml:space="preserve">, 2028. gadam 557 </w:t>
            </w:r>
            <w:r w:rsidRPr="00BF055E">
              <w:rPr>
                <w:rFonts w:eastAsia="Times New Roman" w:cs="Times New Roman"/>
                <w:sz w:val="18"/>
                <w:szCs w:val="18"/>
                <w:lang w:eastAsia="lv-LV"/>
              </w:rPr>
              <w:lastRenderedPageBreak/>
              <w:t xml:space="preserve">631 228 </w:t>
            </w:r>
            <w:proofErr w:type="spellStart"/>
            <w:r w:rsidRPr="00BF055E">
              <w:rPr>
                <w:rFonts w:eastAsia="Times New Roman" w:cs="Times New Roman"/>
                <w:i/>
                <w:sz w:val="18"/>
                <w:szCs w:val="18"/>
                <w:lang w:eastAsia="lv-LV"/>
              </w:rPr>
              <w:t>euro</w:t>
            </w:r>
            <w:proofErr w:type="spellEnd"/>
            <w:r w:rsidRPr="00BF055E">
              <w:rPr>
                <w:rFonts w:eastAsia="Times New Roman" w:cs="Times New Roman"/>
                <w:sz w:val="18"/>
                <w:szCs w:val="18"/>
                <w:lang w:eastAsia="lv-LV"/>
              </w:rPr>
              <w:t>, valsts budžets</w:t>
            </w:r>
          </w:p>
        </w:tc>
        <w:tc>
          <w:tcPr>
            <w:tcW w:w="993" w:type="dxa"/>
            <w:tcBorders>
              <w:top w:val="nil"/>
              <w:left w:val="nil"/>
              <w:bottom w:val="single" w:sz="4" w:space="0" w:color="auto"/>
              <w:right w:val="single" w:sz="4" w:space="0" w:color="auto"/>
            </w:tcBorders>
            <w:shd w:val="clear" w:color="000000" w:fill="FFFFFF"/>
            <w:hideMark/>
          </w:tcPr>
          <w:p w14:paraId="43A5174C" w14:textId="77777777" w:rsidR="00BF055E" w:rsidRPr="00BF055E" w:rsidRDefault="00BF055E" w:rsidP="006357B3">
            <w:pPr>
              <w:spacing w:after="0" w:line="240" w:lineRule="auto"/>
              <w:ind w:firstLine="0"/>
              <w:jc w:val="left"/>
              <w:rPr>
                <w:rFonts w:eastAsia="Times New Roman" w:cs="Times New Roman"/>
                <w:sz w:val="18"/>
                <w:szCs w:val="18"/>
                <w:lang w:eastAsia="lv-LV"/>
              </w:rPr>
            </w:pPr>
            <w:proofErr w:type="spellStart"/>
            <w:r w:rsidRPr="00BF055E">
              <w:rPr>
                <w:rFonts w:eastAsia="Times New Roman" w:cs="Times New Roman"/>
                <w:sz w:val="18"/>
                <w:szCs w:val="18"/>
                <w:lang w:eastAsia="lv-LV"/>
              </w:rPr>
              <w:lastRenderedPageBreak/>
              <w:t>AiM</w:t>
            </w:r>
            <w:proofErr w:type="spellEnd"/>
          </w:p>
        </w:tc>
        <w:tc>
          <w:tcPr>
            <w:tcW w:w="850" w:type="dxa"/>
            <w:tcBorders>
              <w:top w:val="nil"/>
              <w:left w:val="nil"/>
              <w:bottom w:val="single" w:sz="4" w:space="0" w:color="auto"/>
              <w:right w:val="single" w:sz="4" w:space="0" w:color="auto"/>
            </w:tcBorders>
            <w:shd w:val="clear" w:color="000000" w:fill="FFFFFF"/>
            <w:hideMark/>
          </w:tcPr>
          <w:p w14:paraId="2F7BA12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51" w:type="dxa"/>
            <w:tcBorders>
              <w:top w:val="nil"/>
              <w:left w:val="nil"/>
              <w:bottom w:val="single" w:sz="4" w:space="0" w:color="auto"/>
              <w:right w:val="single" w:sz="4" w:space="0" w:color="auto"/>
            </w:tcBorders>
            <w:shd w:val="clear" w:color="000000" w:fill="FFFFFF"/>
            <w:hideMark/>
          </w:tcPr>
          <w:p w14:paraId="34E1B673"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992" w:type="dxa"/>
            <w:tcBorders>
              <w:top w:val="nil"/>
              <w:left w:val="nil"/>
              <w:bottom w:val="single" w:sz="4" w:space="0" w:color="auto"/>
              <w:right w:val="single" w:sz="4" w:space="0" w:color="auto"/>
            </w:tcBorders>
            <w:shd w:val="clear" w:color="000000" w:fill="FFFFFF"/>
            <w:hideMark/>
          </w:tcPr>
          <w:p w14:paraId="5221217C"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4. Aizsardzības spēju veidošana</w:t>
            </w:r>
          </w:p>
        </w:tc>
        <w:tc>
          <w:tcPr>
            <w:tcW w:w="992" w:type="dxa"/>
            <w:tcBorders>
              <w:top w:val="nil"/>
              <w:left w:val="nil"/>
              <w:bottom w:val="single" w:sz="4" w:space="0" w:color="auto"/>
              <w:right w:val="single" w:sz="4" w:space="0" w:color="auto"/>
            </w:tcBorders>
            <w:shd w:val="clear" w:color="000000" w:fill="FFFFFF"/>
            <w:hideMark/>
          </w:tcPr>
          <w:p w14:paraId="5C0E655E"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 </w:t>
            </w:r>
          </w:p>
        </w:tc>
        <w:tc>
          <w:tcPr>
            <w:tcW w:w="815" w:type="dxa"/>
            <w:tcBorders>
              <w:top w:val="nil"/>
              <w:left w:val="nil"/>
              <w:bottom w:val="single" w:sz="4" w:space="0" w:color="auto"/>
              <w:right w:val="single" w:sz="4" w:space="0" w:color="auto"/>
            </w:tcBorders>
            <w:shd w:val="clear" w:color="000000" w:fill="FFFFFF"/>
            <w:hideMark/>
          </w:tcPr>
          <w:p w14:paraId="2F53A064" w14:textId="77777777" w:rsidR="00BF055E" w:rsidRPr="00BF055E" w:rsidRDefault="00BF055E" w:rsidP="006357B3">
            <w:pPr>
              <w:spacing w:after="0" w:line="240" w:lineRule="auto"/>
              <w:ind w:firstLine="0"/>
              <w:jc w:val="left"/>
              <w:rPr>
                <w:rFonts w:eastAsia="Times New Roman" w:cs="Times New Roman"/>
                <w:sz w:val="18"/>
                <w:szCs w:val="18"/>
                <w:lang w:eastAsia="lv-LV"/>
              </w:rPr>
            </w:pPr>
            <w:r w:rsidRPr="00BF055E">
              <w:rPr>
                <w:rFonts w:eastAsia="Times New Roman" w:cs="Times New Roman"/>
                <w:sz w:val="18"/>
                <w:szCs w:val="18"/>
                <w:lang w:eastAsia="lv-LV"/>
              </w:rPr>
              <w:t>16. Miers, taisnīgums, laba pārvaldība</w:t>
            </w:r>
          </w:p>
        </w:tc>
      </w:tr>
    </w:tbl>
    <w:p w14:paraId="77EE28D4" w14:textId="77777777" w:rsidR="00BF055E" w:rsidRDefault="00BF055E" w:rsidP="006357B3">
      <w:pPr>
        <w:spacing w:line="240" w:lineRule="auto"/>
        <w:rPr>
          <w:rFonts w:eastAsia="Times New Roman"/>
          <w:lang w:eastAsia="lv-LV"/>
        </w:rPr>
      </w:pPr>
    </w:p>
    <w:p w14:paraId="1C90350E" w14:textId="06A13E3C" w:rsidR="00BF055E" w:rsidRPr="00AB1ADE" w:rsidRDefault="00BF055E" w:rsidP="006357B3">
      <w:pPr>
        <w:pStyle w:val="Heading2"/>
        <w:numPr>
          <w:ilvl w:val="0"/>
          <w:numId w:val="0"/>
        </w:numPr>
        <w:spacing w:before="240" w:after="240" w:line="240" w:lineRule="auto"/>
        <w:ind w:left="578"/>
        <w:rPr>
          <w:rFonts w:eastAsia="Times New Roman" w:cs="Times New Roman"/>
          <w:sz w:val="28"/>
          <w:szCs w:val="24"/>
        </w:rPr>
      </w:pPr>
      <w:bookmarkStart w:id="59" w:name="_Toc179540646"/>
      <w:r w:rsidRPr="00AB1ADE">
        <w:rPr>
          <w:rFonts w:eastAsia="Times New Roman" w:cs="Times New Roman"/>
          <w:sz w:val="28"/>
          <w:szCs w:val="24"/>
        </w:rPr>
        <w:t>9.2. Prognozes par investīciju vajadzībām</w:t>
      </w:r>
      <w:bookmarkEnd w:id="59"/>
    </w:p>
    <w:p w14:paraId="63502217" w14:textId="77777777" w:rsidR="00BF055E" w:rsidRDefault="00BF055E" w:rsidP="006357B3">
      <w:pPr>
        <w:spacing w:before="120" w:line="240" w:lineRule="auto"/>
        <w:rPr>
          <w:rFonts w:eastAsia="Calibri" w:cs="Times New Roman"/>
          <w:kern w:val="2"/>
          <w:szCs w:val="24"/>
          <w14:ligatures w14:val="standardContextual"/>
        </w:rPr>
      </w:pPr>
      <w:r>
        <w:rPr>
          <w:rFonts w:eastAsia="Calibri" w:cs="Times New Roman"/>
          <w:kern w:val="2"/>
          <w:szCs w:val="24"/>
          <w14:ligatures w14:val="standardContextual"/>
        </w:rPr>
        <w:t>FSP</w:t>
      </w:r>
      <w:r w:rsidRPr="002869EC">
        <w:rPr>
          <w:rFonts w:eastAsia="Calibri" w:cs="Times New Roman"/>
          <w:kern w:val="2"/>
          <w:szCs w:val="24"/>
          <w14:ligatures w14:val="standardContextual"/>
        </w:rPr>
        <w:t xml:space="preserve"> </w:t>
      </w:r>
      <w:r>
        <w:rPr>
          <w:rFonts w:eastAsia="Calibri" w:cs="Times New Roman"/>
          <w:kern w:val="2"/>
          <w:szCs w:val="24"/>
          <w14:ligatures w14:val="standardContextual"/>
        </w:rPr>
        <w:t>9</w:t>
      </w:r>
      <w:r w:rsidRPr="00B649BD">
        <w:rPr>
          <w:rFonts w:eastAsia="Calibri" w:cs="Times New Roman"/>
          <w:kern w:val="2"/>
          <w:szCs w:val="24"/>
          <w14:ligatures w14:val="standardContextual"/>
        </w:rPr>
        <w:t>. nodaļa</w:t>
      </w:r>
      <w:r>
        <w:rPr>
          <w:rFonts w:eastAsia="Calibri" w:cs="Times New Roman"/>
          <w:kern w:val="2"/>
          <w:szCs w:val="24"/>
          <w14:ligatures w14:val="standardContextual"/>
        </w:rPr>
        <w:t xml:space="preserve">s 10. tabula ietver detalizētu informāciju par Latvijas investīciju vajadzībām 2025. – 2028. gadu periodā ES kopīgo prioritāšu kontekstā. 10. tabulā apkopota nozaru ministriju sniegtā informācija par tādām valstiski nozīmīgām investīcijām, kuras pārsniedz 22 milj. </w:t>
      </w:r>
      <w:proofErr w:type="spellStart"/>
      <w:r w:rsidRPr="00FD5B5A">
        <w:rPr>
          <w:rFonts w:eastAsia="Calibri" w:cs="Times New Roman"/>
          <w:i/>
          <w:iCs/>
          <w:kern w:val="2"/>
          <w:szCs w:val="24"/>
          <w14:ligatures w14:val="standardContextual"/>
        </w:rPr>
        <w:t>euro</w:t>
      </w:r>
      <w:proofErr w:type="spellEnd"/>
      <w:r>
        <w:rPr>
          <w:rFonts w:eastAsia="Calibri" w:cs="Times New Roman"/>
          <w:kern w:val="2"/>
          <w:szCs w:val="24"/>
          <w14:ligatures w14:val="standardContextual"/>
        </w:rPr>
        <w:t xml:space="preserve"> robežu jeb 0,05% no IKP. </w:t>
      </w:r>
    </w:p>
    <w:p w14:paraId="1438BB8D" w14:textId="77777777" w:rsidR="00BF055E" w:rsidRDefault="00BF055E" w:rsidP="006357B3">
      <w:pPr>
        <w:spacing w:before="120" w:line="240" w:lineRule="auto"/>
        <w:rPr>
          <w:rFonts w:eastAsia="Calibri" w:cs="Times New Roman"/>
          <w:kern w:val="2"/>
          <w:szCs w:val="24"/>
          <w14:ligatures w14:val="standardContextual"/>
        </w:rPr>
      </w:pPr>
      <w:r>
        <w:rPr>
          <w:rFonts w:eastAsia="Calibri" w:cs="Times New Roman"/>
          <w:kern w:val="2"/>
          <w:szCs w:val="24"/>
          <w14:ligatures w14:val="standardContextual"/>
        </w:rPr>
        <w:t xml:space="preserve">Kopējās investīciju vajadzības atbilst aptuveni 15,5 mljrd. </w:t>
      </w:r>
      <w:proofErr w:type="spellStart"/>
      <w:r w:rsidRPr="00FD5B5A">
        <w:rPr>
          <w:rFonts w:eastAsia="Calibri" w:cs="Times New Roman"/>
          <w:i/>
          <w:iCs/>
          <w:kern w:val="2"/>
          <w:szCs w:val="24"/>
          <w14:ligatures w14:val="standardContextual"/>
        </w:rPr>
        <w:t>euro</w:t>
      </w:r>
      <w:proofErr w:type="spellEnd"/>
      <w:r>
        <w:rPr>
          <w:rFonts w:eastAsia="Calibri" w:cs="Times New Roman"/>
          <w:kern w:val="2"/>
          <w:szCs w:val="24"/>
          <w14:ligatures w14:val="standardContextual"/>
        </w:rPr>
        <w:t>, atbilstoši katrai prioritātei identificēta nepieciešamība:</w:t>
      </w:r>
    </w:p>
    <w:p w14:paraId="5F7FD8FA" w14:textId="77777777" w:rsidR="00BF055E" w:rsidRDefault="00BF055E" w:rsidP="006357B3">
      <w:pPr>
        <w:spacing w:after="0" w:line="240" w:lineRule="auto"/>
        <w:rPr>
          <w:rFonts w:eastAsia="Calibri" w:cs="Times New Roman"/>
          <w:kern w:val="2"/>
          <w:szCs w:val="24"/>
          <w14:ligatures w14:val="standardContextual"/>
        </w:rPr>
      </w:pPr>
      <w:r>
        <w:rPr>
          <w:rFonts w:eastAsia="Calibri" w:cs="Times New Roman"/>
          <w:kern w:val="2"/>
          <w:szCs w:val="24"/>
          <w14:ligatures w14:val="standardContextual"/>
        </w:rPr>
        <w:t>1.</w:t>
      </w:r>
      <w:r w:rsidRPr="00FD5B5A">
        <w:t xml:space="preserve"> </w:t>
      </w:r>
      <w:r w:rsidRPr="00FD5B5A">
        <w:rPr>
          <w:rFonts w:eastAsia="Calibri" w:cs="Times New Roman"/>
          <w:kern w:val="2"/>
          <w:szCs w:val="24"/>
          <w14:ligatures w14:val="standardContextual"/>
        </w:rPr>
        <w:t>Taisnīga zaļā un digitālā pārkārtošanās, tostarp atbilstība Eiropas Klimata aktam</w:t>
      </w:r>
      <w:r>
        <w:rPr>
          <w:rFonts w:eastAsia="Calibri" w:cs="Times New Roman"/>
          <w:kern w:val="2"/>
          <w:szCs w:val="24"/>
          <w14:ligatures w14:val="standardContextual"/>
        </w:rPr>
        <w:t xml:space="preserve"> – 6,6</w:t>
      </w:r>
      <w:r w:rsidRPr="00436C42">
        <w:t xml:space="preserve"> </w:t>
      </w:r>
      <w:r w:rsidRPr="00436C42">
        <w:rPr>
          <w:rFonts w:eastAsia="Calibri" w:cs="Times New Roman"/>
          <w:kern w:val="2"/>
          <w:szCs w:val="24"/>
          <w14:ligatures w14:val="standardContextual"/>
        </w:rPr>
        <w:t xml:space="preserve">mljrd. </w:t>
      </w:r>
      <w:proofErr w:type="spellStart"/>
      <w:r w:rsidRPr="00436C42">
        <w:rPr>
          <w:rFonts w:eastAsia="Calibri" w:cs="Times New Roman"/>
          <w:i/>
          <w:iCs/>
          <w:kern w:val="2"/>
          <w:szCs w:val="24"/>
          <w14:ligatures w14:val="standardContextual"/>
        </w:rPr>
        <w:t>euro</w:t>
      </w:r>
      <w:proofErr w:type="spellEnd"/>
      <w:r>
        <w:rPr>
          <w:rFonts w:eastAsia="Calibri" w:cs="Times New Roman"/>
          <w:kern w:val="2"/>
          <w:szCs w:val="24"/>
          <w14:ligatures w14:val="standardContextual"/>
        </w:rPr>
        <w:t xml:space="preserve"> apmērā;</w:t>
      </w:r>
    </w:p>
    <w:p w14:paraId="46B3D6F8" w14:textId="77777777" w:rsidR="00BF055E" w:rsidRDefault="00BF055E" w:rsidP="006357B3">
      <w:pPr>
        <w:spacing w:after="0" w:line="240" w:lineRule="auto"/>
        <w:rPr>
          <w:rFonts w:eastAsia="Calibri" w:cs="Times New Roman"/>
          <w:kern w:val="2"/>
          <w:szCs w:val="24"/>
          <w14:ligatures w14:val="standardContextual"/>
        </w:rPr>
      </w:pPr>
      <w:r>
        <w:rPr>
          <w:rFonts w:eastAsia="Calibri" w:cs="Times New Roman"/>
          <w:kern w:val="2"/>
          <w:szCs w:val="24"/>
          <w14:ligatures w14:val="standardContextual"/>
        </w:rPr>
        <w:t xml:space="preserve">2. </w:t>
      </w:r>
      <w:r w:rsidRPr="00FD5B5A">
        <w:rPr>
          <w:rFonts w:eastAsia="Calibri" w:cs="Times New Roman"/>
          <w:kern w:val="2"/>
          <w:szCs w:val="24"/>
          <w14:ligatures w14:val="standardContextual"/>
        </w:rPr>
        <w:t>Sociālā un ekonomiskā noturība, tostarp Eiropas sociālo tiesību pīlārs</w:t>
      </w:r>
      <w:r>
        <w:rPr>
          <w:rFonts w:eastAsia="Calibri" w:cs="Times New Roman"/>
          <w:kern w:val="2"/>
          <w:szCs w:val="24"/>
          <w14:ligatures w14:val="standardContextual"/>
        </w:rPr>
        <w:t xml:space="preserve"> – 3,9</w:t>
      </w:r>
      <w:r w:rsidRPr="00436C42">
        <w:t xml:space="preserve"> </w:t>
      </w:r>
      <w:r w:rsidRPr="00436C42">
        <w:rPr>
          <w:rFonts w:eastAsia="Calibri" w:cs="Times New Roman"/>
          <w:kern w:val="2"/>
          <w:szCs w:val="24"/>
          <w14:ligatures w14:val="standardContextual"/>
        </w:rPr>
        <w:t xml:space="preserve">mljrd. </w:t>
      </w:r>
      <w:proofErr w:type="spellStart"/>
      <w:r w:rsidRPr="00436C42">
        <w:rPr>
          <w:rFonts w:eastAsia="Calibri" w:cs="Times New Roman"/>
          <w:i/>
          <w:iCs/>
          <w:kern w:val="2"/>
          <w:szCs w:val="24"/>
          <w14:ligatures w14:val="standardContextual"/>
        </w:rPr>
        <w:t>euro</w:t>
      </w:r>
      <w:proofErr w:type="spellEnd"/>
      <w:r w:rsidRPr="00436C42">
        <w:t xml:space="preserve"> </w:t>
      </w:r>
      <w:r w:rsidRPr="00436C42">
        <w:rPr>
          <w:rFonts w:eastAsia="Calibri" w:cs="Times New Roman"/>
          <w:kern w:val="2"/>
          <w:szCs w:val="24"/>
          <w14:ligatures w14:val="standardContextual"/>
        </w:rPr>
        <w:t>apmērā</w:t>
      </w:r>
      <w:r>
        <w:rPr>
          <w:rFonts w:eastAsia="Calibri" w:cs="Times New Roman"/>
          <w:kern w:val="2"/>
          <w:szCs w:val="24"/>
          <w14:ligatures w14:val="standardContextual"/>
        </w:rPr>
        <w:t>;</w:t>
      </w:r>
    </w:p>
    <w:p w14:paraId="7C4AD45D" w14:textId="77777777" w:rsidR="00BF055E" w:rsidRDefault="00BF055E" w:rsidP="006357B3">
      <w:pPr>
        <w:spacing w:after="0" w:line="240" w:lineRule="auto"/>
        <w:rPr>
          <w:rFonts w:eastAsia="Calibri" w:cs="Times New Roman"/>
          <w:kern w:val="2"/>
          <w:szCs w:val="24"/>
          <w14:ligatures w14:val="standardContextual"/>
        </w:rPr>
      </w:pPr>
      <w:r>
        <w:rPr>
          <w:rFonts w:eastAsia="Calibri" w:cs="Times New Roman"/>
          <w:kern w:val="2"/>
          <w:szCs w:val="24"/>
          <w14:ligatures w14:val="standardContextual"/>
        </w:rPr>
        <w:t>3.</w:t>
      </w:r>
      <w:r w:rsidRPr="00FD5B5A">
        <w:t xml:space="preserve"> </w:t>
      </w:r>
      <w:r w:rsidRPr="00FD5B5A">
        <w:rPr>
          <w:rFonts w:eastAsia="Calibri" w:cs="Times New Roman"/>
          <w:kern w:val="2"/>
          <w:szCs w:val="24"/>
          <w14:ligatures w14:val="standardContextual"/>
        </w:rPr>
        <w:t>Enerģētiskā drošība</w:t>
      </w:r>
      <w:r>
        <w:rPr>
          <w:rFonts w:eastAsia="Calibri" w:cs="Times New Roman"/>
          <w:kern w:val="2"/>
          <w:szCs w:val="24"/>
          <w14:ligatures w14:val="standardContextual"/>
        </w:rPr>
        <w:t xml:space="preserve"> – 2,9</w:t>
      </w:r>
      <w:r w:rsidRPr="00436C42">
        <w:t xml:space="preserve"> </w:t>
      </w:r>
      <w:r w:rsidRPr="00436C42">
        <w:rPr>
          <w:rFonts w:eastAsia="Calibri" w:cs="Times New Roman"/>
          <w:kern w:val="2"/>
          <w:szCs w:val="24"/>
          <w14:ligatures w14:val="standardContextual"/>
        </w:rPr>
        <w:t xml:space="preserve">mljrd. </w:t>
      </w:r>
      <w:proofErr w:type="spellStart"/>
      <w:r w:rsidRPr="00436C42">
        <w:rPr>
          <w:rFonts w:eastAsia="Calibri" w:cs="Times New Roman"/>
          <w:i/>
          <w:iCs/>
          <w:kern w:val="2"/>
          <w:szCs w:val="24"/>
          <w14:ligatures w14:val="standardContextual"/>
        </w:rPr>
        <w:t>euro</w:t>
      </w:r>
      <w:proofErr w:type="spellEnd"/>
      <w:r w:rsidRPr="00436C42">
        <w:t xml:space="preserve"> </w:t>
      </w:r>
      <w:r w:rsidRPr="00436C42">
        <w:rPr>
          <w:rFonts w:eastAsia="Calibri" w:cs="Times New Roman"/>
          <w:kern w:val="2"/>
          <w:szCs w:val="24"/>
          <w14:ligatures w14:val="standardContextual"/>
        </w:rPr>
        <w:t>apmērā</w:t>
      </w:r>
      <w:r>
        <w:rPr>
          <w:rFonts w:eastAsia="Calibri" w:cs="Times New Roman"/>
          <w:kern w:val="2"/>
          <w:szCs w:val="24"/>
          <w14:ligatures w14:val="standardContextual"/>
        </w:rPr>
        <w:t>;</w:t>
      </w:r>
    </w:p>
    <w:p w14:paraId="5DC1DFAE" w14:textId="77777777" w:rsidR="00BF055E" w:rsidRDefault="00BF055E" w:rsidP="006357B3">
      <w:pPr>
        <w:spacing w:after="0" w:line="240" w:lineRule="auto"/>
        <w:rPr>
          <w:rFonts w:eastAsia="Calibri" w:cs="Times New Roman"/>
          <w:kern w:val="2"/>
          <w:szCs w:val="24"/>
          <w14:ligatures w14:val="standardContextual"/>
        </w:rPr>
      </w:pPr>
      <w:r>
        <w:rPr>
          <w:rFonts w:eastAsia="Calibri" w:cs="Times New Roman"/>
          <w:kern w:val="2"/>
          <w:szCs w:val="24"/>
          <w14:ligatures w14:val="standardContextual"/>
        </w:rPr>
        <w:t xml:space="preserve">4. </w:t>
      </w:r>
      <w:r w:rsidRPr="00FD5B5A">
        <w:rPr>
          <w:rFonts w:eastAsia="Calibri" w:cs="Times New Roman"/>
          <w:kern w:val="2"/>
          <w:szCs w:val="24"/>
          <w14:ligatures w14:val="standardContextual"/>
        </w:rPr>
        <w:t>Aizsardzības spēju palielināšana</w:t>
      </w:r>
      <w:r>
        <w:rPr>
          <w:rFonts w:eastAsia="Calibri" w:cs="Times New Roman"/>
          <w:kern w:val="2"/>
          <w:szCs w:val="24"/>
          <w14:ligatures w14:val="standardContextual"/>
        </w:rPr>
        <w:t xml:space="preserve"> – 2,2</w:t>
      </w:r>
      <w:r w:rsidRPr="00436C42">
        <w:t xml:space="preserve"> </w:t>
      </w:r>
      <w:r w:rsidRPr="00436C42">
        <w:rPr>
          <w:rFonts w:eastAsia="Calibri" w:cs="Times New Roman"/>
          <w:kern w:val="2"/>
          <w:szCs w:val="24"/>
          <w14:ligatures w14:val="standardContextual"/>
        </w:rPr>
        <w:t xml:space="preserve">mljrd. </w:t>
      </w:r>
      <w:proofErr w:type="spellStart"/>
      <w:r w:rsidRPr="00436C42">
        <w:rPr>
          <w:rFonts w:eastAsia="Calibri" w:cs="Times New Roman"/>
          <w:i/>
          <w:iCs/>
          <w:kern w:val="2"/>
          <w:szCs w:val="24"/>
          <w14:ligatures w14:val="standardContextual"/>
        </w:rPr>
        <w:t>euro</w:t>
      </w:r>
      <w:proofErr w:type="spellEnd"/>
      <w:r w:rsidRPr="00436C42">
        <w:t xml:space="preserve"> </w:t>
      </w:r>
      <w:r w:rsidRPr="00436C42">
        <w:rPr>
          <w:rFonts w:eastAsia="Calibri" w:cs="Times New Roman"/>
          <w:kern w:val="2"/>
          <w:szCs w:val="24"/>
          <w14:ligatures w14:val="standardContextual"/>
        </w:rPr>
        <w:t>apmērā</w:t>
      </w:r>
      <w:r>
        <w:rPr>
          <w:rFonts w:eastAsia="Calibri" w:cs="Times New Roman"/>
          <w:kern w:val="2"/>
          <w:szCs w:val="24"/>
          <w14:ligatures w14:val="standardContextual"/>
        </w:rPr>
        <w:t xml:space="preserve">. </w:t>
      </w:r>
    </w:p>
    <w:p w14:paraId="71AF05A0" w14:textId="77777777" w:rsidR="00BF055E" w:rsidRDefault="00BF055E" w:rsidP="005A608F">
      <w:pPr>
        <w:spacing w:before="120" w:after="240" w:line="240" w:lineRule="auto"/>
        <w:ind w:firstLine="0"/>
        <w:rPr>
          <w:rFonts w:eastAsia="Calibri" w:cs="Times New Roman"/>
          <w:kern w:val="2"/>
          <w:szCs w:val="24"/>
          <w14:ligatures w14:val="standardContextual"/>
        </w:rPr>
      </w:pPr>
      <w:r>
        <w:rPr>
          <w:rFonts w:eastAsia="Calibri" w:cs="Times New Roman"/>
          <w:kern w:val="2"/>
          <w:szCs w:val="24"/>
          <w14:ligatures w14:val="standardContextual"/>
        </w:rPr>
        <w:t xml:space="preserve">Vislielāko īpatsvaru kopējā investīciju vajadzību sarakstā veido klimata un enerģētikas (aptuveni 6,3 </w:t>
      </w:r>
      <w:r w:rsidRPr="00436C42">
        <w:rPr>
          <w:rFonts w:eastAsia="Calibri" w:cs="Times New Roman"/>
          <w:kern w:val="2"/>
          <w:szCs w:val="24"/>
          <w14:ligatures w14:val="standardContextual"/>
        </w:rPr>
        <w:t xml:space="preserve">mljrd. </w:t>
      </w:r>
      <w:proofErr w:type="spellStart"/>
      <w:r w:rsidRPr="00436C42">
        <w:rPr>
          <w:rFonts w:eastAsia="Calibri" w:cs="Times New Roman"/>
          <w:i/>
          <w:iCs/>
          <w:kern w:val="2"/>
          <w:szCs w:val="24"/>
          <w14:ligatures w14:val="standardContextual"/>
        </w:rPr>
        <w:t>euro</w:t>
      </w:r>
      <w:proofErr w:type="spellEnd"/>
      <w:r w:rsidRPr="00436C42">
        <w:rPr>
          <w:rFonts w:eastAsia="Calibri" w:cs="Times New Roman"/>
          <w:kern w:val="2"/>
          <w:szCs w:val="24"/>
          <w14:ligatures w14:val="standardContextual"/>
        </w:rPr>
        <w:t>)</w:t>
      </w:r>
      <w:r>
        <w:rPr>
          <w:rFonts w:eastAsia="Calibri" w:cs="Times New Roman"/>
          <w:kern w:val="2"/>
          <w:szCs w:val="24"/>
          <w14:ligatures w14:val="standardContextual"/>
        </w:rPr>
        <w:t xml:space="preserve"> un satiksmes, transporta (aptuveni 4,4 </w:t>
      </w:r>
      <w:r w:rsidRPr="00436C42">
        <w:rPr>
          <w:rFonts w:eastAsia="Calibri" w:cs="Times New Roman"/>
          <w:kern w:val="2"/>
          <w:szCs w:val="24"/>
          <w14:ligatures w14:val="standardContextual"/>
        </w:rPr>
        <w:t xml:space="preserve">mljrd. </w:t>
      </w:r>
      <w:proofErr w:type="spellStart"/>
      <w:r w:rsidRPr="00436C42">
        <w:rPr>
          <w:rFonts w:eastAsia="Calibri" w:cs="Times New Roman"/>
          <w:i/>
          <w:iCs/>
          <w:kern w:val="2"/>
          <w:szCs w:val="24"/>
          <w14:ligatures w14:val="standardContextual"/>
        </w:rPr>
        <w:t>euro</w:t>
      </w:r>
      <w:proofErr w:type="spellEnd"/>
      <w:r>
        <w:rPr>
          <w:rFonts w:eastAsia="Calibri" w:cs="Times New Roman"/>
          <w:kern w:val="2"/>
          <w:szCs w:val="24"/>
          <w14:ligatures w14:val="standardContextual"/>
        </w:rPr>
        <w:t xml:space="preserve">) nozares. </w:t>
      </w:r>
    </w:p>
    <w:p w14:paraId="6277CF26" w14:textId="77777777" w:rsidR="00BF055E" w:rsidRPr="002869EC" w:rsidRDefault="00BF055E" w:rsidP="003123DB">
      <w:pPr>
        <w:spacing w:line="240" w:lineRule="auto"/>
        <w:ind w:left="357" w:firstLine="0"/>
        <w:jc w:val="right"/>
        <w:rPr>
          <w:b/>
          <w:bCs/>
          <w:szCs w:val="20"/>
        </w:rPr>
      </w:pPr>
      <w:r w:rsidRPr="002869EC">
        <w:rPr>
          <w:b/>
          <w:bCs/>
          <w:szCs w:val="20"/>
        </w:rPr>
        <w:t>10. tabula. Investīciju vajadzības</w:t>
      </w:r>
    </w:p>
    <w:tbl>
      <w:tblPr>
        <w:tblW w:w="0" w:type="auto"/>
        <w:jc w:val="center"/>
        <w:tblLook w:val="04A0" w:firstRow="1" w:lastRow="0" w:firstColumn="1" w:lastColumn="0" w:noHBand="0" w:noVBand="1"/>
      </w:tblPr>
      <w:tblGrid>
        <w:gridCol w:w="471"/>
        <w:gridCol w:w="3210"/>
        <w:gridCol w:w="10879"/>
      </w:tblGrid>
      <w:tr w:rsidR="00BF055E" w:rsidRPr="003F5B3C" w14:paraId="0413A281" w14:textId="77777777" w:rsidTr="003B1594">
        <w:trPr>
          <w:trHeight w:val="20"/>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95B3D7"/>
            <w:noWrap/>
            <w:vAlign w:val="bottom"/>
            <w:hideMark/>
          </w:tcPr>
          <w:p w14:paraId="2952C0BE"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t>Nr.</w:t>
            </w:r>
          </w:p>
        </w:tc>
        <w:tc>
          <w:tcPr>
            <w:tcW w:w="3210" w:type="dxa"/>
            <w:tcBorders>
              <w:top w:val="single" w:sz="4" w:space="0" w:color="auto"/>
              <w:left w:val="nil"/>
              <w:bottom w:val="single" w:sz="4" w:space="0" w:color="auto"/>
              <w:right w:val="single" w:sz="4" w:space="0" w:color="auto"/>
            </w:tcBorders>
            <w:shd w:val="clear" w:color="000000" w:fill="95B3D7"/>
            <w:vAlign w:val="bottom"/>
            <w:hideMark/>
          </w:tcPr>
          <w:p w14:paraId="66B90DFD" w14:textId="77777777" w:rsidR="00BF055E" w:rsidRPr="003F5B3C" w:rsidRDefault="00BF055E" w:rsidP="006357B3">
            <w:pPr>
              <w:spacing w:after="0" w:line="240" w:lineRule="auto"/>
              <w:ind w:firstLine="0"/>
              <w:jc w:val="center"/>
              <w:rPr>
                <w:rFonts w:eastAsia="Times New Roman" w:cs="Times New Roman"/>
                <w:b/>
                <w:bCs/>
                <w:sz w:val="18"/>
                <w:szCs w:val="18"/>
                <w:lang w:eastAsia="lv-LV"/>
              </w:rPr>
            </w:pPr>
            <w:r w:rsidRPr="003F5B3C">
              <w:rPr>
                <w:rFonts w:eastAsia="Times New Roman" w:cs="Times New Roman"/>
                <w:b/>
                <w:bCs/>
                <w:sz w:val="18"/>
                <w:szCs w:val="18"/>
                <w:lang w:eastAsia="lv-LV"/>
              </w:rPr>
              <w:t>ES prioritāte</w:t>
            </w:r>
          </w:p>
        </w:tc>
        <w:tc>
          <w:tcPr>
            <w:tcW w:w="10879" w:type="dxa"/>
            <w:tcBorders>
              <w:top w:val="single" w:sz="4" w:space="0" w:color="auto"/>
              <w:left w:val="nil"/>
              <w:bottom w:val="single" w:sz="4" w:space="0" w:color="auto"/>
              <w:right w:val="single" w:sz="4" w:space="0" w:color="auto"/>
            </w:tcBorders>
            <w:shd w:val="clear" w:color="000000" w:fill="95B3D7"/>
            <w:vAlign w:val="bottom"/>
            <w:hideMark/>
          </w:tcPr>
          <w:p w14:paraId="645AA25C" w14:textId="77777777" w:rsidR="00BF055E" w:rsidRPr="003F5B3C" w:rsidRDefault="00BF055E" w:rsidP="006357B3">
            <w:pPr>
              <w:spacing w:after="0" w:line="240" w:lineRule="auto"/>
              <w:ind w:firstLine="0"/>
              <w:jc w:val="center"/>
              <w:rPr>
                <w:rFonts w:eastAsia="Times New Roman" w:cs="Times New Roman"/>
                <w:b/>
                <w:bCs/>
                <w:sz w:val="18"/>
                <w:szCs w:val="18"/>
                <w:lang w:eastAsia="lv-LV"/>
              </w:rPr>
            </w:pPr>
            <w:r w:rsidRPr="003F5B3C">
              <w:rPr>
                <w:rFonts w:eastAsia="Times New Roman" w:cs="Times New Roman"/>
                <w:b/>
                <w:bCs/>
                <w:sz w:val="18"/>
                <w:szCs w:val="18"/>
                <w:lang w:eastAsia="lv-LV"/>
              </w:rPr>
              <w:t>Investīciju vajadzību apraksts</w:t>
            </w:r>
          </w:p>
        </w:tc>
      </w:tr>
      <w:tr w:rsidR="00BF055E" w:rsidRPr="003F5B3C" w14:paraId="3BC5B42D" w14:textId="77777777" w:rsidTr="003B1594">
        <w:trPr>
          <w:trHeight w:val="20"/>
          <w:jc w:val="center"/>
        </w:trPr>
        <w:tc>
          <w:tcPr>
            <w:tcW w:w="0" w:type="auto"/>
            <w:vMerge w:val="restart"/>
            <w:tcBorders>
              <w:top w:val="nil"/>
              <w:left w:val="single" w:sz="4" w:space="0" w:color="auto"/>
              <w:bottom w:val="single" w:sz="4" w:space="0" w:color="auto"/>
              <w:right w:val="single" w:sz="4" w:space="0" w:color="auto"/>
            </w:tcBorders>
            <w:shd w:val="clear" w:color="000000" w:fill="95B3D7"/>
            <w:noWrap/>
            <w:vAlign w:val="center"/>
            <w:hideMark/>
          </w:tcPr>
          <w:p w14:paraId="004DE4BE"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t>1</w:t>
            </w:r>
          </w:p>
        </w:tc>
        <w:tc>
          <w:tcPr>
            <w:tcW w:w="3210" w:type="dxa"/>
            <w:vMerge w:val="restart"/>
            <w:tcBorders>
              <w:top w:val="nil"/>
              <w:left w:val="single" w:sz="4" w:space="0" w:color="auto"/>
              <w:bottom w:val="single" w:sz="4" w:space="0" w:color="auto"/>
              <w:right w:val="single" w:sz="4" w:space="0" w:color="auto"/>
            </w:tcBorders>
            <w:shd w:val="clear" w:color="000000" w:fill="F2DCDB"/>
            <w:vAlign w:val="center"/>
            <w:hideMark/>
          </w:tcPr>
          <w:p w14:paraId="474CF124"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bookmarkStart w:id="60" w:name="_Hlk179057278"/>
            <w:r w:rsidRPr="003F5B3C">
              <w:rPr>
                <w:rFonts w:eastAsia="Times New Roman" w:cs="Times New Roman"/>
                <w:b/>
                <w:bCs/>
                <w:color w:val="000000"/>
                <w:sz w:val="18"/>
                <w:szCs w:val="18"/>
                <w:lang w:eastAsia="lv-LV"/>
              </w:rPr>
              <w:t>Taisnīga zaļā un digitālā pārkārtošanās, tostarp atbilstība Eiropas Klimata aktam</w:t>
            </w:r>
            <w:bookmarkEnd w:id="60"/>
          </w:p>
        </w:tc>
        <w:tc>
          <w:tcPr>
            <w:tcW w:w="10879" w:type="dxa"/>
            <w:tcBorders>
              <w:top w:val="nil"/>
              <w:left w:val="nil"/>
              <w:bottom w:val="single" w:sz="4" w:space="0" w:color="auto"/>
              <w:right w:val="single" w:sz="4" w:space="0" w:color="auto"/>
            </w:tcBorders>
            <w:shd w:val="clear" w:color="auto" w:fill="auto"/>
            <w:hideMark/>
          </w:tcPr>
          <w:p w14:paraId="6DCBBAA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Rīgas ostas vispārējā </w:t>
            </w:r>
            <w:proofErr w:type="spellStart"/>
            <w:r w:rsidRPr="003F5B3C">
              <w:rPr>
                <w:rFonts w:eastAsia="Times New Roman" w:cs="Times New Roman"/>
                <w:b/>
                <w:bCs/>
                <w:color w:val="000000"/>
                <w:sz w:val="18"/>
                <w:szCs w:val="18"/>
                <w:lang w:eastAsia="lv-LV"/>
              </w:rPr>
              <w:t>digitalizācija</w:t>
            </w:r>
            <w:proofErr w:type="spellEnd"/>
            <w:r w:rsidRPr="003F5B3C">
              <w:rPr>
                <w:rFonts w:eastAsia="Times New Roman" w:cs="Times New Roman"/>
                <w:b/>
                <w:bCs/>
                <w:color w:val="000000"/>
                <w:sz w:val="18"/>
                <w:szCs w:val="18"/>
                <w:lang w:eastAsia="lv-LV"/>
              </w:rPr>
              <w:t xml:space="preserve"> - loģistikas pakalpojumu pārvaldības attīstība.</w:t>
            </w:r>
            <w:r w:rsidRPr="003F5B3C">
              <w:rPr>
                <w:rFonts w:eastAsia="Times New Roman" w:cs="Times New Roman"/>
                <w:color w:val="000000"/>
                <w:sz w:val="18"/>
                <w:szCs w:val="18"/>
                <w:lang w:eastAsia="lv-LV"/>
              </w:rPr>
              <w:t xml:space="preserve"> Projekta ieceres īstenošanai nepieciešamais papildu finansējums - aptuveni 30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Projekta mērķis – attīstīta Rīgas osta atbilstoši “viedās ostas” darbības principiem. Paredzēts modernizēt un integrēt RBP informācijas sistēmas un vadības procesus, kā arī izveidot RBP ostas informācijas sistēmas un terminālu informācijas sistēmu sasaisti, nodrošinot efektīvāku informācijas apmaiņu, ieviest IT risinājumu ostas darbības aspektu automatizācijai, izmantot jaunākās tehnoloģijas un aprīkojumu RBP funkciju veikšanai (automatizēta un autonoma piekļuves kontrole, drošība un vides aizsardzība), lai nodrošinātu resursu ekonomiju. Izstrādāt un piedāvāt klientiem risinājumus ostas procesu atbalstam un datu plūsmas efektivitātes palielināšanai, sadarbībā ar kontroles dienestiem (VID Muitas pārvaldi, Valsts robežsardzi u.c.) valsts un pašvaldību uzņēmumiem (VAS “Latvijas dzelzceļš” u.c.), citām lielākajām ostām, ostu uzņēmumiem un citām iesaistītajām pusēm strādāt pie Latvijas tranzīta koridora </w:t>
            </w:r>
            <w:proofErr w:type="spellStart"/>
            <w:r w:rsidRPr="003F5B3C">
              <w:rPr>
                <w:rFonts w:eastAsia="Times New Roman" w:cs="Times New Roman"/>
                <w:color w:val="000000"/>
                <w:sz w:val="18"/>
                <w:szCs w:val="18"/>
                <w:lang w:eastAsia="lv-LV"/>
              </w:rPr>
              <w:t>digitalizācijas</w:t>
            </w:r>
            <w:proofErr w:type="spellEnd"/>
            <w:r w:rsidRPr="003F5B3C">
              <w:rPr>
                <w:rFonts w:eastAsia="Times New Roman" w:cs="Times New Roman"/>
                <w:color w:val="000000"/>
                <w:sz w:val="18"/>
                <w:szCs w:val="18"/>
                <w:lang w:eastAsia="lv-LV"/>
              </w:rPr>
              <w:t xml:space="preserve">. </w:t>
            </w:r>
          </w:p>
        </w:tc>
      </w:tr>
      <w:tr w:rsidR="00BF055E" w:rsidRPr="003F5B3C" w14:paraId="5E43BBED"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A9DEBB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7682B91"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425BFE9E"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Liepājas ostas tehniskā nodrošinājuma modernizācija.</w:t>
            </w:r>
            <w:r w:rsidRPr="003F5B3C">
              <w:rPr>
                <w:rFonts w:eastAsia="Times New Roman" w:cs="Times New Roman"/>
                <w:color w:val="000000"/>
                <w:sz w:val="18"/>
                <w:szCs w:val="18"/>
                <w:lang w:eastAsia="lv-LV"/>
              </w:rPr>
              <w:t xml:space="preserve"> Kopējās investīciju vajadzības: 50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Investīcijas aptver:</w:t>
            </w:r>
            <w:r w:rsidRPr="003F5B3C">
              <w:rPr>
                <w:rFonts w:eastAsia="Times New Roman" w:cs="Times New Roman"/>
                <w:color w:val="000000"/>
                <w:sz w:val="18"/>
                <w:szCs w:val="18"/>
                <w:lang w:eastAsia="lv-LV"/>
              </w:rPr>
              <w:br/>
              <w:t xml:space="preserve">-Ostas teritorijas </w:t>
            </w:r>
            <w:proofErr w:type="spellStart"/>
            <w:r w:rsidRPr="003F5B3C">
              <w:rPr>
                <w:rFonts w:eastAsia="Times New Roman" w:cs="Times New Roman"/>
                <w:color w:val="000000"/>
                <w:sz w:val="18"/>
                <w:szCs w:val="18"/>
                <w:lang w:eastAsia="lv-LV"/>
              </w:rPr>
              <w:t>digitalizācijas</w:t>
            </w:r>
            <w:proofErr w:type="spellEnd"/>
            <w:r w:rsidRPr="003F5B3C">
              <w:rPr>
                <w:rFonts w:eastAsia="Times New Roman" w:cs="Times New Roman"/>
                <w:color w:val="000000"/>
                <w:sz w:val="18"/>
                <w:szCs w:val="18"/>
                <w:lang w:eastAsia="lv-LV"/>
              </w:rPr>
              <w:t xml:space="preserve"> projektu (apsardze, videonovērošana, transporta un cilvēku kustības plūsmas kontrole, caurlaižu punktu automatizēšana u.c.);</w:t>
            </w:r>
            <w:r w:rsidRPr="003F5B3C">
              <w:rPr>
                <w:rFonts w:eastAsia="Times New Roman" w:cs="Times New Roman"/>
                <w:color w:val="000000"/>
                <w:sz w:val="18"/>
                <w:szCs w:val="18"/>
                <w:lang w:eastAsia="lv-LV"/>
              </w:rPr>
              <w:br/>
            </w:r>
            <w:r w:rsidRPr="003F5B3C">
              <w:rPr>
                <w:rFonts w:eastAsia="Times New Roman" w:cs="Times New Roman"/>
                <w:color w:val="000000"/>
                <w:sz w:val="18"/>
                <w:szCs w:val="18"/>
                <w:lang w:eastAsia="lv-LV"/>
              </w:rPr>
              <w:lastRenderedPageBreak/>
              <w:t>-Transporta un kravu kustības uzskaites sistēmu;</w:t>
            </w:r>
            <w:r w:rsidRPr="003F5B3C">
              <w:rPr>
                <w:rFonts w:eastAsia="Times New Roman" w:cs="Times New Roman"/>
                <w:color w:val="000000"/>
                <w:sz w:val="18"/>
                <w:szCs w:val="18"/>
                <w:lang w:eastAsia="lv-LV"/>
              </w:rPr>
              <w:br/>
              <w:t>-Kuģu satiksmes vadības un ostas informācijas sistēmas;</w:t>
            </w:r>
            <w:r w:rsidRPr="003F5B3C">
              <w:rPr>
                <w:rFonts w:eastAsia="Times New Roman" w:cs="Times New Roman"/>
                <w:color w:val="000000"/>
                <w:sz w:val="18"/>
                <w:szCs w:val="18"/>
                <w:lang w:eastAsia="lv-LV"/>
              </w:rPr>
              <w:br/>
              <w:t>-Atjaunojamo energoresursu plašāka izmantošanu (t.sk. saules paneļu izbūve);</w:t>
            </w:r>
            <w:r w:rsidRPr="003F5B3C">
              <w:rPr>
                <w:rFonts w:eastAsia="Times New Roman" w:cs="Times New Roman"/>
                <w:color w:val="000000"/>
                <w:sz w:val="18"/>
                <w:szCs w:val="18"/>
                <w:lang w:eastAsia="lv-LV"/>
              </w:rPr>
              <w:br/>
              <w:t>-Tehniskā aprīkojuma modernizāciju (velkoņi, transports, u.c.), lai samazinātu CO</w:t>
            </w:r>
            <w:r w:rsidRPr="003F5B3C">
              <w:rPr>
                <w:rFonts w:eastAsia="Times New Roman" w:cs="Times New Roman"/>
                <w:color w:val="000000"/>
                <w:sz w:val="18"/>
                <w:szCs w:val="18"/>
                <w:vertAlign w:val="subscript"/>
                <w:lang w:eastAsia="lv-LV"/>
              </w:rPr>
              <w:t>2</w:t>
            </w:r>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izmešus</w:t>
            </w:r>
            <w:proofErr w:type="spellEnd"/>
            <w:r w:rsidRPr="003F5B3C">
              <w:rPr>
                <w:rFonts w:eastAsia="Times New Roman" w:cs="Times New Roman"/>
                <w:color w:val="000000"/>
                <w:sz w:val="18"/>
                <w:szCs w:val="18"/>
                <w:lang w:eastAsia="lv-LV"/>
              </w:rPr>
              <w:t xml:space="preserve">, pakāpeniski pāriet uz videi draudzīgāku transportu izmantošanu. </w:t>
            </w:r>
          </w:p>
        </w:tc>
      </w:tr>
      <w:tr w:rsidR="00BF055E" w:rsidRPr="003F5B3C" w14:paraId="60401242"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78D6CB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37902E0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314286F4"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Valsts pārvaldes funkciju izpildi nodrošinošo informācijas sistēmu un saistītās infrastruktūras pārbūve</w:t>
            </w:r>
            <w:r w:rsidRPr="003F5B3C">
              <w:rPr>
                <w:rFonts w:eastAsia="Times New Roman" w:cs="Times New Roman"/>
                <w:color w:val="000000"/>
                <w:sz w:val="18"/>
                <w:szCs w:val="18"/>
                <w:lang w:eastAsia="lv-LV"/>
              </w:rPr>
              <w:t xml:space="preserve">, lai, izmantojot jaunāko tehnoloģiju iespējas (t.sk. </w:t>
            </w:r>
            <w:proofErr w:type="spellStart"/>
            <w:r w:rsidRPr="003F5B3C">
              <w:rPr>
                <w:rFonts w:eastAsia="Times New Roman" w:cs="Times New Roman"/>
                <w:color w:val="000000"/>
                <w:sz w:val="18"/>
                <w:szCs w:val="18"/>
                <w:lang w:eastAsia="lv-LV"/>
              </w:rPr>
              <w:t>mākoņdatošanas</w:t>
            </w:r>
            <w:proofErr w:type="spellEnd"/>
            <w:r w:rsidRPr="003F5B3C">
              <w:rPr>
                <w:rFonts w:eastAsia="Times New Roman" w:cs="Times New Roman"/>
                <w:color w:val="000000"/>
                <w:sz w:val="18"/>
                <w:szCs w:val="18"/>
                <w:lang w:eastAsia="lv-LV"/>
              </w:rPr>
              <w:t xml:space="preserve"> un mākslīgā intelekta tehnoloģijas), būtiski samazinātu risinājumu energoietilpību, vienlaicīgi uzlabojot noturību. Investīcijas vajadzība  40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2D3BF47E"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5096318"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242B3F8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A30CD2D"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t>Degradētu ekosistēmu atjaunošana gan sauszemes, gan jūras teritorijās.</w:t>
            </w:r>
            <w:r w:rsidRPr="003F5B3C">
              <w:rPr>
                <w:rFonts w:eastAsia="Times New Roman" w:cs="Times New Roman"/>
                <w:color w:val="000000"/>
                <w:sz w:val="18"/>
                <w:szCs w:val="18"/>
                <w:lang w:eastAsia="lv-LV"/>
              </w:rPr>
              <w:t xml:space="preserve"> Lai</w:t>
            </w:r>
            <w:r w:rsidRPr="003F5B3C">
              <w:rPr>
                <w:rFonts w:eastAsia="Times New Roman" w:cs="Times New Roman"/>
                <w:b/>
                <w:bCs/>
                <w:color w:val="000000"/>
                <w:sz w:val="18"/>
                <w:szCs w:val="18"/>
                <w:lang w:eastAsia="lv-LV"/>
              </w:rPr>
              <w:t xml:space="preserve"> </w:t>
            </w:r>
            <w:r w:rsidRPr="003F5B3C">
              <w:rPr>
                <w:rFonts w:eastAsia="Times New Roman" w:cs="Times New Roman"/>
                <w:color w:val="000000"/>
                <w:sz w:val="18"/>
                <w:szCs w:val="18"/>
                <w:lang w:eastAsia="lv-LV"/>
              </w:rPr>
              <w:t xml:space="preserve">nodrošinātu Dabas atjaunošanas regulas prasību ieviešanu attiecībā uz </w:t>
            </w:r>
            <w:proofErr w:type="spellStart"/>
            <w:r w:rsidRPr="003F5B3C">
              <w:rPr>
                <w:rFonts w:eastAsia="Times New Roman" w:cs="Times New Roman"/>
                <w:color w:val="000000"/>
                <w:sz w:val="18"/>
                <w:szCs w:val="18"/>
                <w:lang w:eastAsia="lv-LV"/>
              </w:rPr>
              <w:t>Natura</w:t>
            </w:r>
            <w:proofErr w:type="spellEnd"/>
            <w:r w:rsidRPr="003F5B3C">
              <w:rPr>
                <w:rFonts w:eastAsia="Times New Roman" w:cs="Times New Roman"/>
                <w:color w:val="000000"/>
                <w:sz w:val="18"/>
                <w:szCs w:val="18"/>
                <w:lang w:eastAsia="lv-LV"/>
              </w:rPr>
              <w:t xml:space="preserve"> 2000 teritorijām, nākamajā ES daudzgadu plānošanas periodā nepieciešami 50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
        </w:tc>
      </w:tr>
      <w:tr w:rsidR="00BF055E" w:rsidRPr="003F5B3C" w14:paraId="0CAC3061"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01F41A3"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7A260F6F"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12B1408"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Labklājības nozares IKT infrastruktūras atjaunināšana, pakalpojumu un procesu </w:t>
            </w:r>
            <w:proofErr w:type="spellStart"/>
            <w:r w:rsidRPr="003F5B3C">
              <w:rPr>
                <w:rFonts w:eastAsia="Times New Roman" w:cs="Times New Roman"/>
                <w:b/>
                <w:bCs/>
                <w:color w:val="000000"/>
                <w:sz w:val="18"/>
                <w:szCs w:val="18"/>
                <w:lang w:eastAsia="lv-LV"/>
              </w:rPr>
              <w:t>digitalizācija</w:t>
            </w:r>
            <w:proofErr w:type="spellEnd"/>
            <w:r w:rsidRPr="003F5B3C">
              <w:rPr>
                <w:rFonts w:eastAsia="Times New Roman" w:cs="Times New Roman"/>
                <w:b/>
                <w:bCs/>
                <w:color w:val="000000"/>
                <w:sz w:val="18"/>
                <w:szCs w:val="18"/>
                <w:lang w:eastAsia="lv-LV"/>
              </w:rPr>
              <w:t xml:space="preserve">, datu analītikas pilnveidošana. </w:t>
            </w:r>
            <w:r w:rsidRPr="003F5B3C">
              <w:rPr>
                <w:rFonts w:eastAsia="Times New Roman" w:cs="Times New Roman"/>
                <w:color w:val="000000"/>
                <w:sz w:val="18"/>
                <w:szCs w:val="18"/>
                <w:lang w:eastAsia="lv-LV"/>
              </w:rPr>
              <w:t>Papildu nepieciešamai finansējums: 2025. – 2029.</w:t>
            </w:r>
            <w:r>
              <w:rPr>
                <w:rFonts w:eastAsia="Times New Roman" w:cs="Times New Roman"/>
                <w:color w:val="000000"/>
                <w:sz w:val="18"/>
                <w:szCs w:val="18"/>
                <w:lang w:eastAsia="lv-LV"/>
              </w:rPr>
              <w:t xml:space="preserve">: </w:t>
            </w:r>
            <w:r w:rsidRPr="003F5B3C">
              <w:rPr>
                <w:rFonts w:eastAsia="Times New Roman" w:cs="Times New Roman"/>
                <w:color w:val="000000"/>
                <w:sz w:val="18"/>
                <w:szCs w:val="18"/>
                <w:lang w:eastAsia="lv-LV"/>
              </w:rPr>
              <w:t xml:space="preserve">24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7D73A439"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4C8B8ED"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36B4512"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545AFBD"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Investīciju vajadzības transporta sektorā </w:t>
            </w:r>
            <w:r w:rsidRPr="003F5B3C">
              <w:rPr>
                <w:rFonts w:eastAsia="Times New Roman" w:cs="Times New Roman"/>
                <w:color w:val="000000"/>
                <w:sz w:val="18"/>
                <w:szCs w:val="18"/>
                <w:lang w:eastAsia="lv-LV"/>
              </w:rPr>
              <w:t xml:space="preserve">(748,9 milj. EUR): </w:t>
            </w:r>
            <w:proofErr w:type="spellStart"/>
            <w:r w:rsidRPr="003F5B3C">
              <w:rPr>
                <w:rFonts w:eastAsia="Times New Roman" w:cs="Times New Roman"/>
                <w:color w:val="000000"/>
                <w:sz w:val="18"/>
                <w:szCs w:val="18"/>
                <w:lang w:eastAsia="lv-LV"/>
              </w:rPr>
              <w:t>atjaunīgos</w:t>
            </w:r>
            <w:proofErr w:type="spellEnd"/>
            <w:r w:rsidRPr="003F5B3C">
              <w:rPr>
                <w:rFonts w:eastAsia="Times New Roman" w:cs="Times New Roman"/>
                <w:color w:val="000000"/>
                <w:sz w:val="18"/>
                <w:szCs w:val="18"/>
                <w:lang w:eastAsia="lv-LV"/>
              </w:rPr>
              <w:t xml:space="preserve"> energoresursus izmantojošu vidējas un lielas noslodzes transportlīdzekļu skaita palielināšana – 50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Bezemisiju</w:t>
            </w:r>
            <w:proofErr w:type="spellEnd"/>
            <w:r w:rsidRPr="003F5B3C">
              <w:rPr>
                <w:rFonts w:eastAsia="Times New Roman" w:cs="Times New Roman"/>
                <w:color w:val="000000"/>
                <w:sz w:val="18"/>
                <w:szCs w:val="18"/>
                <w:lang w:eastAsia="lv-LV"/>
              </w:rPr>
              <w:t xml:space="preserve"> vieglo pasažieru transportlīdzekļu skaita palielināšana – 600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uzlādes staciju un uzlādes punktu skaita palielināšana – 37,76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veco transportlīdzekļu norakstīšanas veicināšana – 3,6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bezemisiju</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mikromobilitātes</w:t>
            </w:r>
            <w:proofErr w:type="spellEnd"/>
            <w:r w:rsidRPr="003F5B3C">
              <w:rPr>
                <w:rFonts w:eastAsia="Times New Roman" w:cs="Times New Roman"/>
                <w:color w:val="000000"/>
                <w:sz w:val="18"/>
                <w:szCs w:val="18"/>
                <w:lang w:eastAsia="lv-LV"/>
              </w:rPr>
              <w:t xml:space="preserve"> rīku skaita palielināšana – 15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lēnās uzlādes punktu izbūve, t.sk., e-velosipēdiem – 3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biometāna</w:t>
            </w:r>
            <w:proofErr w:type="spellEnd"/>
            <w:r w:rsidRPr="003F5B3C">
              <w:rPr>
                <w:rFonts w:eastAsia="Times New Roman" w:cs="Times New Roman"/>
                <w:color w:val="000000"/>
                <w:sz w:val="18"/>
                <w:szCs w:val="18"/>
                <w:lang w:eastAsia="lv-LV"/>
              </w:rPr>
              <w:t xml:space="preserve"> sabiedriskā transporta transportlīdzekļu iegāde vai pārbūve pašvaldībām – 12,5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biometāna</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uzpildes</w:t>
            </w:r>
            <w:proofErr w:type="spellEnd"/>
            <w:r w:rsidRPr="003F5B3C">
              <w:rPr>
                <w:rFonts w:eastAsia="Times New Roman" w:cs="Times New Roman"/>
                <w:color w:val="000000"/>
                <w:sz w:val="18"/>
                <w:szCs w:val="18"/>
                <w:lang w:eastAsia="lv-LV"/>
              </w:rPr>
              <w:t xml:space="preserve"> punktu izbūve – 10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ūdeņraža sabiedriskā transporta transportlīdzekļu autobusu iegāde – 7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ūdeņraža </w:t>
            </w:r>
            <w:proofErr w:type="spellStart"/>
            <w:r w:rsidRPr="003F5B3C">
              <w:rPr>
                <w:rFonts w:eastAsia="Times New Roman" w:cs="Times New Roman"/>
                <w:color w:val="000000"/>
                <w:sz w:val="18"/>
                <w:szCs w:val="18"/>
                <w:lang w:eastAsia="lv-LV"/>
              </w:rPr>
              <w:t>uzpildes</w:t>
            </w:r>
            <w:proofErr w:type="spellEnd"/>
            <w:r w:rsidRPr="003F5B3C">
              <w:rPr>
                <w:rFonts w:eastAsia="Times New Roman" w:cs="Times New Roman"/>
                <w:color w:val="000000"/>
                <w:sz w:val="18"/>
                <w:szCs w:val="18"/>
                <w:lang w:eastAsia="lv-LV"/>
              </w:rPr>
              <w:t xml:space="preserve"> punktu uzstādīšana – 10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3DBABFAA"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870123F"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5E78D852"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5D0FAF08"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Investīciju vajadzības elektroenerģijas un siltumenerģijas ražošanā un izmantošanā </w:t>
            </w:r>
            <w:r w:rsidRPr="003F5B3C">
              <w:rPr>
                <w:rFonts w:eastAsia="Times New Roman" w:cs="Times New Roman"/>
                <w:color w:val="000000"/>
                <w:sz w:val="18"/>
                <w:szCs w:val="18"/>
                <w:lang w:eastAsia="lv-LV"/>
              </w:rPr>
              <w:t xml:space="preserve">(3,2 mljrd. EUR): </w:t>
            </w:r>
            <w:proofErr w:type="spellStart"/>
            <w:r w:rsidRPr="003F5B3C">
              <w:rPr>
                <w:rFonts w:eastAsia="Times New Roman" w:cs="Times New Roman"/>
                <w:color w:val="000000"/>
                <w:sz w:val="18"/>
                <w:szCs w:val="18"/>
                <w:lang w:eastAsia="lv-LV"/>
              </w:rPr>
              <w:t>atkrastes</w:t>
            </w:r>
            <w:proofErr w:type="spellEnd"/>
            <w:r w:rsidRPr="003F5B3C">
              <w:rPr>
                <w:rFonts w:eastAsia="Times New Roman" w:cs="Times New Roman"/>
                <w:color w:val="000000"/>
                <w:sz w:val="18"/>
                <w:szCs w:val="18"/>
                <w:lang w:eastAsia="lv-LV"/>
              </w:rPr>
              <w:t xml:space="preserve"> vēja parku attīstība – 700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vēja elektrostaciju attīstība sauszemē – 1200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elektroenerģijas un/vai siltumenerģijas akumulācijas risinājumu īstenošana – 20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atjaunīgo</w:t>
            </w:r>
            <w:proofErr w:type="spellEnd"/>
            <w:r w:rsidRPr="003F5B3C">
              <w:rPr>
                <w:rFonts w:eastAsia="Times New Roman" w:cs="Times New Roman"/>
                <w:color w:val="000000"/>
                <w:sz w:val="18"/>
                <w:szCs w:val="18"/>
                <w:lang w:eastAsia="lv-LV"/>
              </w:rPr>
              <w:t xml:space="preserve"> energoresursu ražošanas jaudas palielināšana centralizētajā un individuālajā siltumapgādē un </w:t>
            </w:r>
            <w:proofErr w:type="spellStart"/>
            <w:r w:rsidRPr="003F5B3C">
              <w:rPr>
                <w:rFonts w:eastAsia="Times New Roman" w:cs="Times New Roman"/>
                <w:color w:val="000000"/>
                <w:sz w:val="18"/>
                <w:szCs w:val="18"/>
                <w:lang w:eastAsia="lv-LV"/>
              </w:rPr>
              <w:t>aukstumapgādē</w:t>
            </w:r>
            <w:proofErr w:type="spellEnd"/>
            <w:r w:rsidRPr="003F5B3C">
              <w:rPr>
                <w:rFonts w:eastAsia="Times New Roman" w:cs="Times New Roman"/>
                <w:color w:val="000000"/>
                <w:sz w:val="18"/>
                <w:szCs w:val="18"/>
                <w:lang w:eastAsia="lv-LV"/>
              </w:rPr>
              <w:t xml:space="preserve"> un infrastruktūras modernizācija – 500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centralizētās siltumapgādes un </w:t>
            </w:r>
            <w:proofErr w:type="spellStart"/>
            <w:r w:rsidRPr="003F5B3C">
              <w:rPr>
                <w:rFonts w:eastAsia="Times New Roman" w:cs="Times New Roman"/>
                <w:color w:val="000000"/>
                <w:sz w:val="18"/>
                <w:szCs w:val="18"/>
                <w:lang w:eastAsia="lv-LV"/>
              </w:rPr>
              <w:t>aukstumapgādes</w:t>
            </w:r>
            <w:proofErr w:type="spellEnd"/>
            <w:r w:rsidRPr="003F5B3C">
              <w:rPr>
                <w:rFonts w:eastAsia="Times New Roman" w:cs="Times New Roman"/>
                <w:color w:val="000000"/>
                <w:sz w:val="18"/>
                <w:szCs w:val="18"/>
                <w:lang w:eastAsia="lv-LV"/>
              </w:rPr>
              <w:t xml:space="preserve"> elektrifikācija – 200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elektroenerģijas pārvades un sadales sistēmas infrastruktūras pilnveidošana centralizētās siltumapgādes un </w:t>
            </w:r>
            <w:proofErr w:type="spellStart"/>
            <w:r w:rsidRPr="003F5B3C">
              <w:rPr>
                <w:rFonts w:eastAsia="Times New Roman" w:cs="Times New Roman"/>
                <w:color w:val="000000"/>
                <w:sz w:val="18"/>
                <w:szCs w:val="18"/>
                <w:lang w:eastAsia="lv-LV"/>
              </w:rPr>
              <w:t>aukstumapgādes</w:t>
            </w:r>
            <w:proofErr w:type="spellEnd"/>
            <w:r w:rsidRPr="003F5B3C">
              <w:rPr>
                <w:rFonts w:eastAsia="Times New Roman" w:cs="Times New Roman"/>
                <w:color w:val="000000"/>
                <w:sz w:val="18"/>
                <w:szCs w:val="18"/>
                <w:lang w:eastAsia="lv-LV"/>
              </w:rPr>
              <w:t xml:space="preserve"> elektrificēšanai – 20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roofErr w:type="spellStart"/>
            <w:r w:rsidRPr="003F5B3C">
              <w:rPr>
                <w:rFonts w:eastAsia="Times New Roman" w:cs="Times New Roman"/>
                <w:color w:val="000000"/>
                <w:sz w:val="18"/>
                <w:szCs w:val="18"/>
                <w:lang w:eastAsia="lv-LV"/>
              </w:rPr>
              <w:t>atjaunīgo</w:t>
            </w:r>
            <w:proofErr w:type="spellEnd"/>
            <w:r w:rsidRPr="003F5B3C">
              <w:rPr>
                <w:rFonts w:eastAsia="Times New Roman" w:cs="Times New Roman"/>
                <w:color w:val="000000"/>
                <w:sz w:val="18"/>
                <w:szCs w:val="18"/>
                <w:lang w:eastAsia="lv-LV"/>
              </w:rPr>
              <w:t xml:space="preserve"> energoresursu ražošanas jaudu palielināšana un to energoefektivitātes uzlabošana individuālajam pašpatēriņam, rūpniecībā un komersantos – 567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atbalsts </w:t>
            </w:r>
            <w:proofErr w:type="spellStart"/>
            <w:r w:rsidRPr="003F5B3C">
              <w:rPr>
                <w:rFonts w:eastAsia="Times New Roman" w:cs="Times New Roman"/>
                <w:color w:val="000000"/>
                <w:sz w:val="18"/>
                <w:szCs w:val="18"/>
                <w:lang w:eastAsia="lv-LV"/>
              </w:rPr>
              <w:t>biometāna</w:t>
            </w:r>
            <w:proofErr w:type="spellEnd"/>
            <w:r w:rsidRPr="003F5B3C">
              <w:rPr>
                <w:rFonts w:eastAsia="Times New Roman" w:cs="Times New Roman"/>
                <w:color w:val="000000"/>
                <w:sz w:val="18"/>
                <w:szCs w:val="18"/>
                <w:lang w:eastAsia="lv-LV"/>
              </w:rPr>
              <w:t xml:space="preserve"> ražošanai un tā ievadīšanai gāzes tīklā – 26,5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biodegvielu un </w:t>
            </w:r>
            <w:proofErr w:type="spellStart"/>
            <w:r w:rsidRPr="003F5B3C">
              <w:rPr>
                <w:rFonts w:eastAsia="Times New Roman" w:cs="Times New Roman"/>
                <w:color w:val="000000"/>
                <w:sz w:val="18"/>
                <w:szCs w:val="18"/>
                <w:lang w:eastAsia="lv-LV"/>
              </w:rPr>
              <w:t>biometāna</w:t>
            </w:r>
            <w:proofErr w:type="spellEnd"/>
            <w:r w:rsidRPr="003F5B3C">
              <w:rPr>
                <w:rFonts w:eastAsia="Times New Roman" w:cs="Times New Roman"/>
                <w:color w:val="000000"/>
                <w:sz w:val="18"/>
                <w:szCs w:val="18"/>
                <w:lang w:eastAsia="lv-LV"/>
              </w:rPr>
              <w:t xml:space="preserve"> izmantošanas veicināšana lauksaimnieciskajā ražošanā – 4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biogāzes/</w:t>
            </w:r>
            <w:proofErr w:type="spellStart"/>
            <w:r w:rsidRPr="003F5B3C">
              <w:rPr>
                <w:rFonts w:eastAsia="Times New Roman" w:cs="Times New Roman"/>
                <w:color w:val="000000"/>
                <w:sz w:val="18"/>
                <w:szCs w:val="18"/>
                <w:lang w:eastAsia="lv-LV"/>
              </w:rPr>
              <w:t>biometāna</w:t>
            </w:r>
            <w:proofErr w:type="spellEnd"/>
            <w:r w:rsidRPr="003F5B3C">
              <w:rPr>
                <w:rFonts w:eastAsia="Times New Roman" w:cs="Times New Roman"/>
                <w:color w:val="000000"/>
                <w:sz w:val="18"/>
                <w:szCs w:val="18"/>
                <w:lang w:eastAsia="lv-LV"/>
              </w:rPr>
              <w:t xml:space="preserve"> ieguve </w:t>
            </w:r>
            <w:proofErr w:type="spellStart"/>
            <w:r w:rsidRPr="003F5B3C">
              <w:rPr>
                <w:rFonts w:eastAsia="Times New Roman" w:cs="Times New Roman"/>
                <w:color w:val="000000"/>
                <w:sz w:val="18"/>
                <w:szCs w:val="18"/>
                <w:lang w:eastAsia="lv-LV"/>
              </w:rPr>
              <w:t>valstspilsētu</w:t>
            </w:r>
            <w:proofErr w:type="spellEnd"/>
            <w:r w:rsidRPr="003F5B3C">
              <w:rPr>
                <w:rFonts w:eastAsia="Times New Roman" w:cs="Times New Roman"/>
                <w:color w:val="000000"/>
                <w:sz w:val="18"/>
                <w:szCs w:val="18"/>
                <w:lang w:eastAsia="lv-LV"/>
              </w:rPr>
              <w:t xml:space="preserve"> ūdenssaimniecības pakalpojumu komersantos – 10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p>
        </w:tc>
      </w:tr>
      <w:tr w:rsidR="00BF055E" w:rsidRPr="003F5B3C" w14:paraId="62FCF5D3"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057BCF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0F9324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30A08B5"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Investīciju vajadzības atkritumu un notekūdeņu apsaimniekošanā</w:t>
            </w:r>
            <w:r w:rsidRPr="003F5B3C">
              <w:rPr>
                <w:rFonts w:eastAsia="Times New Roman" w:cs="Times New Roman"/>
                <w:color w:val="000000"/>
                <w:sz w:val="18"/>
                <w:szCs w:val="18"/>
                <w:lang w:eastAsia="lv-LV"/>
              </w:rPr>
              <w:t xml:space="preserve"> (104 milj. EUR): pilotprojekti reģionālajos poligonos atkritumu šķirošanas efektivitātes uzlabošanai – 0,232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notekūdeņu attīrīšanas iekārtu darbības uzlabošana – 79,32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Notekūdeņu dūņu apsaimniekošanas plāna 2024.-2027.g. īstenošana – 24,5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6B6458D9"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D6F7E9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59581FA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4C3175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Investīcijas publiskajā sektorā</w:t>
            </w:r>
            <w:r w:rsidRPr="003F5B3C">
              <w:rPr>
                <w:rFonts w:eastAsia="Times New Roman" w:cs="Times New Roman"/>
                <w:color w:val="000000"/>
                <w:sz w:val="18"/>
                <w:szCs w:val="18"/>
                <w:lang w:eastAsia="lv-LV"/>
              </w:rPr>
              <w:t xml:space="preserve"> (898 milj. </w:t>
            </w:r>
            <w:proofErr w:type="spellStart"/>
            <w:r w:rsidRPr="000F78CB">
              <w:rPr>
                <w:rFonts w:eastAsia="Times New Roman" w:cs="Times New Roman"/>
                <w:i/>
                <w:iCs/>
                <w:color w:val="000000"/>
                <w:sz w:val="18"/>
                <w:szCs w:val="18"/>
                <w:lang w:eastAsia="lv-LV"/>
              </w:rPr>
              <w:t>euro</w:t>
            </w:r>
            <w:proofErr w:type="spellEnd"/>
            <w:r w:rsidRPr="003F5B3C">
              <w:rPr>
                <w:rFonts w:eastAsia="Times New Roman" w:cs="Times New Roman"/>
                <w:color w:val="000000"/>
                <w:sz w:val="18"/>
                <w:szCs w:val="18"/>
                <w:lang w:eastAsia="lv-LV"/>
              </w:rPr>
              <w:t xml:space="preserve">): finansiāls un zināšanu atbalsts pašvaldībām energoefektivitātes pasākumu veicināšanai un īstenošanai – 8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publiskā sektora ēku energoefektivitātes uzlabošana – 800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publiskā sektora ēku energoefektivitātes uzlabošana ar bioloģiskas izcelsmes materiāliem – 90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76035F67"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3B165A9"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795BC5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56682FEC"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Investīcijas ēku energoefektivitātē</w:t>
            </w:r>
            <w:r w:rsidRPr="003F5B3C">
              <w:rPr>
                <w:rFonts w:eastAsia="Times New Roman" w:cs="Times New Roman"/>
                <w:color w:val="000000"/>
                <w:sz w:val="18"/>
                <w:szCs w:val="18"/>
                <w:lang w:eastAsia="lv-LV"/>
              </w:rPr>
              <w:t xml:space="preserve"> (1 mljrd. </w:t>
            </w:r>
            <w:proofErr w:type="spellStart"/>
            <w:r w:rsidRPr="000F78CB">
              <w:rPr>
                <w:rFonts w:eastAsia="Times New Roman" w:cs="Times New Roman"/>
                <w:i/>
                <w:iCs/>
                <w:color w:val="000000"/>
                <w:sz w:val="18"/>
                <w:szCs w:val="18"/>
                <w:lang w:eastAsia="lv-LV"/>
              </w:rPr>
              <w:t>euro</w:t>
            </w:r>
            <w:proofErr w:type="spellEnd"/>
            <w:r w:rsidRPr="003F5B3C">
              <w:rPr>
                <w:rFonts w:eastAsia="Times New Roman" w:cs="Times New Roman"/>
                <w:color w:val="000000"/>
                <w:sz w:val="18"/>
                <w:szCs w:val="18"/>
                <w:lang w:eastAsia="lv-LV"/>
              </w:rPr>
              <w:t xml:space="preserve">): dzīvojamo māju, daudzdzīvokļu ēku vai nedzīvojamo ēku un būvju pieslēgšanās pie efektīvas centralizētās siltumapgādes sistēmas – 50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atbalsts enerģētiskās nabadzības riskam pakļautajiem iedzīvotājiem daudzdzīvokļu ēku energoefektivitātes atbalsta ietvaros – 10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kvartālu renovācija (ēku energoefektivitātes uzlabošanu kvartālu mērogā) – 875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privātmāju energoefektivitātes uzlabošana – 100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ESKO tirgus attīstīšana – 15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62921629"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A6FD71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2F9C9EE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688A0EB"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Investīciju fonds- aizdevumi ar kapitāla atlaidi. </w:t>
            </w:r>
            <w:r w:rsidRPr="003F5B3C">
              <w:rPr>
                <w:rFonts w:eastAsia="Times New Roman" w:cs="Times New Roman"/>
                <w:color w:val="000000"/>
                <w:sz w:val="18"/>
                <w:szCs w:val="18"/>
                <w:lang w:eastAsia="lv-LV"/>
              </w:rPr>
              <w:t xml:space="preserve">Lai sasniegtu Ekonomikas ministrijas izvirzīto mērķi dubultot IKP jeb līdz 2035. gadam panākt, ka Latvijā IKP apjomi sasniedz 80 mljrd. </w:t>
            </w:r>
            <w:proofErr w:type="spellStart"/>
            <w:r w:rsidRPr="003F5B3C">
              <w:rPr>
                <w:rFonts w:eastAsia="Times New Roman" w:cs="Times New Roman"/>
                <w:color w:val="000000"/>
                <w:sz w:val="18"/>
                <w:szCs w:val="18"/>
                <w:lang w:eastAsia="lv-LV"/>
              </w:rPr>
              <w:t>eur</w:t>
            </w:r>
            <w:proofErr w:type="spellEnd"/>
            <w:r w:rsidRPr="003F5B3C">
              <w:rPr>
                <w:rFonts w:eastAsia="Times New Roman" w:cs="Times New Roman"/>
                <w:color w:val="000000"/>
                <w:sz w:val="18"/>
                <w:szCs w:val="18"/>
                <w:lang w:eastAsia="lv-LV"/>
              </w:rPr>
              <w:t xml:space="preserve">, ir nepieciešams nodrošināt finanšu pieejamību lieliem un mērogojamiem investīciju projektiem. Tāpat, lai veicinātu komersantu attīstību, arvien vairāk darba vietas arī Latvijas reģionos, plānots izstrādāt budžeta neitrālu finanšu instrumentu – aizdevumi ar kapitāla atlaidi līdz 30%, bet ne vairāk, kā 30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projektiem sākot no 5 milj. EUR līdz 100 un vairāk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 ik gadu nepieciešami 80 milj. </w:t>
            </w:r>
            <w:proofErr w:type="spellStart"/>
            <w:r w:rsidRPr="003F5B3C">
              <w:rPr>
                <w:rFonts w:eastAsia="Times New Roman" w:cs="Times New Roman"/>
                <w:i/>
                <w:iCs/>
                <w:color w:val="000000"/>
                <w:sz w:val="18"/>
                <w:szCs w:val="18"/>
                <w:lang w:eastAsia="lv-LV"/>
              </w:rPr>
              <w:t>eur</w:t>
            </w:r>
            <w:r w:rsidRPr="00FD5B5A">
              <w:rPr>
                <w:rFonts w:eastAsia="Times New Roman" w:cs="Times New Roman"/>
                <w:i/>
                <w:iCs/>
                <w:color w:val="000000"/>
                <w:sz w:val="18"/>
                <w:szCs w:val="18"/>
                <w:lang w:eastAsia="lv-LV"/>
              </w:rPr>
              <w:t>o</w:t>
            </w:r>
            <w:proofErr w:type="spellEnd"/>
            <w:r w:rsidRPr="003F5B3C">
              <w:rPr>
                <w:rFonts w:eastAsia="Times New Roman" w:cs="Times New Roman"/>
                <w:color w:val="000000"/>
                <w:sz w:val="18"/>
                <w:szCs w:val="18"/>
                <w:lang w:eastAsia="lv-LV"/>
              </w:rPr>
              <w:t>.</w:t>
            </w:r>
          </w:p>
        </w:tc>
      </w:tr>
      <w:tr w:rsidR="00BF055E" w:rsidRPr="003F5B3C" w14:paraId="646B81A6" w14:textId="77777777" w:rsidTr="003B1594">
        <w:trPr>
          <w:trHeight w:val="20"/>
          <w:jc w:val="center"/>
        </w:trPr>
        <w:tc>
          <w:tcPr>
            <w:tcW w:w="0" w:type="auto"/>
            <w:vMerge w:val="restart"/>
            <w:tcBorders>
              <w:top w:val="nil"/>
              <w:left w:val="single" w:sz="4" w:space="0" w:color="auto"/>
              <w:bottom w:val="single" w:sz="4" w:space="0" w:color="auto"/>
              <w:right w:val="single" w:sz="4" w:space="0" w:color="auto"/>
            </w:tcBorders>
            <w:shd w:val="clear" w:color="000000" w:fill="95B3D7"/>
            <w:noWrap/>
            <w:vAlign w:val="center"/>
            <w:hideMark/>
          </w:tcPr>
          <w:p w14:paraId="196904FA"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lastRenderedPageBreak/>
              <w:t>2</w:t>
            </w:r>
          </w:p>
        </w:tc>
        <w:tc>
          <w:tcPr>
            <w:tcW w:w="3210" w:type="dxa"/>
            <w:vMerge w:val="restart"/>
            <w:tcBorders>
              <w:top w:val="nil"/>
              <w:left w:val="single" w:sz="4" w:space="0" w:color="auto"/>
              <w:bottom w:val="single" w:sz="4" w:space="0" w:color="auto"/>
              <w:right w:val="single" w:sz="4" w:space="0" w:color="auto"/>
            </w:tcBorders>
            <w:shd w:val="clear" w:color="000000" w:fill="F2DCDB"/>
            <w:vAlign w:val="center"/>
            <w:hideMark/>
          </w:tcPr>
          <w:p w14:paraId="6CF0BBBE"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t>Sociālā un ekonomiskā noturība, tostarp Eiropas sociālo tiesību pīlārs</w:t>
            </w:r>
          </w:p>
        </w:tc>
        <w:tc>
          <w:tcPr>
            <w:tcW w:w="10879" w:type="dxa"/>
            <w:tcBorders>
              <w:top w:val="nil"/>
              <w:left w:val="nil"/>
              <w:bottom w:val="single" w:sz="4" w:space="0" w:color="auto"/>
              <w:right w:val="single" w:sz="4" w:space="0" w:color="auto"/>
            </w:tcBorders>
            <w:shd w:val="clear" w:color="auto" w:fill="auto"/>
            <w:hideMark/>
          </w:tcPr>
          <w:p w14:paraId="6A5F4874"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Rīgas ostas industriālā un loģistikas parka “Spilve” attīstība.</w:t>
            </w:r>
            <w:r w:rsidRPr="003F5B3C">
              <w:rPr>
                <w:rFonts w:eastAsia="Times New Roman" w:cs="Times New Roman"/>
                <w:color w:val="000000"/>
                <w:sz w:val="18"/>
                <w:szCs w:val="18"/>
                <w:lang w:eastAsia="lv-LV"/>
              </w:rPr>
              <w:t xml:space="preserve"> Nepieciešamais finansējums - aptuveni 110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Projekta mērķis ir attīstīt ar ostas darbību saistītu mūsdienīgu </w:t>
            </w:r>
            <w:proofErr w:type="spellStart"/>
            <w:r w:rsidRPr="003F5B3C">
              <w:rPr>
                <w:rFonts w:eastAsia="Times New Roman" w:cs="Times New Roman"/>
                <w:color w:val="000000"/>
                <w:sz w:val="18"/>
                <w:szCs w:val="18"/>
                <w:lang w:eastAsia="lv-LV"/>
              </w:rPr>
              <w:t>lielapjoma</w:t>
            </w:r>
            <w:proofErr w:type="spellEnd"/>
            <w:r w:rsidRPr="003F5B3C">
              <w:rPr>
                <w:rFonts w:eastAsia="Times New Roman" w:cs="Times New Roman"/>
                <w:color w:val="000000"/>
                <w:sz w:val="18"/>
                <w:szCs w:val="18"/>
                <w:lang w:eastAsia="lv-LV"/>
              </w:rPr>
              <w:t xml:space="preserve"> multimodālu industriālo un loģistikas parku “Spilve”. Industriālā un loģistikas parka “Spilve” izveide sekmēs Latvijas un Rīgas brīvostas konkurētspēju veicinošu uzņēmējdarbības virzienu attīstību: ražošanas darbības, loģistikas darbības un palīgdarbības (iedalītas ar uzņēmējdarbību un ar pakalpojumiem saistītajos), Latvijas Viedās specializācijas stratēģijā noteikto RIS 3 virzienu darbības un </w:t>
            </w:r>
            <w:proofErr w:type="spellStart"/>
            <w:r w:rsidRPr="003F5B3C">
              <w:rPr>
                <w:rFonts w:eastAsia="Times New Roman" w:cs="Times New Roman"/>
                <w:color w:val="000000"/>
                <w:sz w:val="18"/>
                <w:szCs w:val="18"/>
                <w:lang w:eastAsia="lv-LV"/>
              </w:rPr>
              <w:t>atjaunīgās</w:t>
            </w:r>
            <w:proofErr w:type="spellEnd"/>
            <w:r w:rsidRPr="003F5B3C">
              <w:rPr>
                <w:rFonts w:eastAsia="Times New Roman" w:cs="Times New Roman"/>
                <w:color w:val="000000"/>
                <w:sz w:val="18"/>
                <w:szCs w:val="18"/>
                <w:lang w:eastAsia="lv-LV"/>
              </w:rPr>
              <w:t xml:space="preserve"> enerģijas ieguves infrastruktūras attīstība. Kopumā industriālā parka attīstībai pieejama aptuveni 450 ha plašu teritorija, kura sadalīta 4 attīstības zonās, prioritāri attīstot A zonu, kas aizņem 79 ha plašu teritoriju starp Daugavgrīvas šoseju un </w:t>
            </w:r>
            <w:proofErr w:type="spellStart"/>
            <w:r w:rsidRPr="003F5B3C">
              <w:rPr>
                <w:rFonts w:eastAsia="Times New Roman" w:cs="Times New Roman"/>
                <w:color w:val="000000"/>
                <w:sz w:val="18"/>
                <w:szCs w:val="18"/>
                <w:lang w:eastAsia="lv-LV"/>
              </w:rPr>
              <w:t>Hapaka</w:t>
            </w:r>
            <w:proofErr w:type="spellEnd"/>
            <w:r w:rsidRPr="003F5B3C">
              <w:rPr>
                <w:rFonts w:eastAsia="Times New Roman" w:cs="Times New Roman"/>
                <w:color w:val="000000"/>
                <w:sz w:val="18"/>
                <w:szCs w:val="18"/>
                <w:lang w:eastAsia="lv-LV"/>
              </w:rPr>
              <w:t xml:space="preserve"> grāvi. Industriālā parka, tostarp multimodālu auto un dzelzceļa infrastruktūras integrāciju Rīgas pilsētā, ir plānots uzsākt 2026. gadā un pakāpeniski realizēt līdz 2040. gadam. </w:t>
            </w:r>
          </w:p>
        </w:tc>
      </w:tr>
      <w:tr w:rsidR="00BF055E" w:rsidRPr="003F5B3C" w14:paraId="16E811BE"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B59B2A5"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B2728A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84F57CB"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Dzelzceļa savienojuma, ar </w:t>
            </w:r>
            <w:r w:rsidRPr="003F5B3C">
              <w:rPr>
                <w:rFonts w:eastAsia="Times New Roman" w:cs="Times New Roman"/>
                <w:b/>
                <w:bCs/>
                <w:i/>
                <w:iCs/>
                <w:color w:val="000000"/>
                <w:sz w:val="18"/>
                <w:szCs w:val="18"/>
                <w:lang w:eastAsia="lv-LV"/>
              </w:rPr>
              <w:t xml:space="preserve">Rail </w:t>
            </w:r>
            <w:proofErr w:type="spellStart"/>
            <w:r w:rsidRPr="003F5B3C">
              <w:rPr>
                <w:rFonts w:eastAsia="Times New Roman" w:cs="Times New Roman"/>
                <w:b/>
                <w:bCs/>
                <w:i/>
                <w:iCs/>
                <w:color w:val="000000"/>
                <w:sz w:val="18"/>
                <w:szCs w:val="18"/>
                <w:lang w:eastAsia="lv-LV"/>
              </w:rPr>
              <w:t>Baltica</w:t>
            </w:r>
            <w:proofErr w:type="spellEnd"/>
            <w:r w:rsidRPr="003F5B3C">
              <w:rPr>
                <w:rFonts w:eastAsia="Times New Roman" w:cs="Times New Roman"/>
                <w:b/>
                <w:bCs/>
                <w:color w:val="000000"/>
                <w:sz w:val="18"/>
                <w:szCs w:val="18"/>
                <w:lang w:eastAsia="lv-LV"/>
              </w:rPr>
              <w:t xml:space="preserve"> izveide Rīgas ostas rajonā Spilve. </w:t>
            </w:r>
            <w:r w:rsidRPr="003F5B3C">
              <w:rPr>
                <w:rFonts w:eastAsia="Times New Roman" w:cs="Times New Roman"/>
                <w:color w:val="000000"/>
                <w:sz w:val="18"/>
                <w:szCs w:val="18"/>
                <w:lang w:eastAsia="lv-LV"/>
              </w:rPr>
              <w:br/>
              <w:t xml:space="preserve">Projekta ieceres kopējai īstenošanai nepieciešamais finansējums – aptuveni 75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Mērķis izveidot Rīgas brīvostas Industriālā un loģistikas parka “Spilve” teritorijas integrācijas risinājumu </w:t>
            </w:r>
            <w:r w:rsidRPr="003F5B3C">
              <w:rPr>
                <w:rFonts w:eastAsia="Times New Roman" w:cs="Times New Roman"/>
                <w:i/>
                <w:iCs/>
                <w:color w:val="000000"/>
                <w:sz w:val="18"/>
                <w:szCs w:val="18"/>
                <w:lang w:eastAsia="lv-LV"/>
              </w:rPr>
              <w:t xml:space="preserve">Rail </w:t>
            </w:r>
            <w:proofErr w:type="spellStart"/>
            <w:r w:rsidRPr="003F5B3C">
              <w:rPr>
                <w:rFonts w:eastAsia="Times New Roman" w:cs="Times New Roman"/>
                <w:i/>
                <w:iCs/>
                <w:color w:val="000000"/>
                <w:sz w:val="18"/>
                <w:szCs w:val="18"/>
                <w:lang w:eastAsia="lv-LV"/>
              </w:rPr>
              <w:t>Baltica</w:t>
            </w:r>
            <w:proofErr w:type="spellEnd"/>
            <w:r w:rsidRPr="003F5B3C">
              <w:rPr>
                <w:rFonts w:eastAsia="Times New Roman" w:cs="Times New Roman"/>
                <w:color w:val="000000"/>
                <w:sz w:val="18"/>
                <w:szCs w:val="18"/>
                <w:lang w:eastAsia="lv-LV"/>
              </w:rPr>
              <w:t xml:space="preserve"> dzelzceļa līniju, veidojot Eiropas platuma sliežu ceļa atzaru uz industriālā parka teritoriju. Plānots, ka industriālā un loģistikas parka “Spilve” attīstība sāksies jau 2026. gadā, bet dzelzceļa </w:t>
            </w:r>
            <w:proofErr w:type="spellStart"/>
            <w:r w:rsidRPr="003F5B3C">
              <w:rPr>
                <w:rFonts w:eastAsia="Times New Roman" w:cs="Times New Roman"/>
                <w:color w:val="000000"/>
                <w:sz w:val="18"/>
                <w:szCs w:val="18"/>
                <w:lang w:eastAsia="lv-LV"/>
              </w:rPr>
              <w:t>pieslēguma</w:t>
            </w:r>
            <w:proofErr w:type="spellEnd"/>
            <w:r w:rsidRPr="003F5B3C">
              <w:rPr>
                <w:rFonts w:eastAsia="Times New Roman" w:cs="Times New Roman"/>
                <w:color w:val="000000"/>
                <w:sz w:val="18"/>
                <w:szCs w:val="18"/>
                <w:lang w:eastAsia="lv-LV"/>
              </w:rPr>
              <w:t xml:space="preserve"> gaidāmais būvniecības sākums plānots 2032. gadā. Jaunā dzelzceļa savienojuma attīstīšana ir būtiska dzelzceļa un jūras transporta veidu turpmākai integrācijai Rīgas brīvostā un TEN-T pamattīklā, jo īpaši Ziemeļjūras – Baltijas jūras pamattīkla koridorā, tādējādi veicinot Ziemeļjūras – Baltijas jūras pamattīkla koridora turpmāku izmantošanu. </w:t>
            </w:r>
          </w:p>
        </w:tc>
      </w:tr>
      <w:tr w:rsidR="00BF055E" w:rsidRPr="003F5B3C" w14:paraId="0C33356D"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FFD576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150ED8CC"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59FBD6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Liepājas ostas teritoriju un infrastruktūras attīstība</w:t>
            </w:r>
            <w:r w:rsidRPr="003F5B3C">
              <w:rPr>
                <w:rFonts w:eastAsia="Times New Roman" w:cs="Times New Roman"/>
                <w:color w:val="000000"/>
                <w:sz w:val="18"/>
                <w:szCs w:val="18"/>
                <w:lang w:eastAsia="lv-LV"/>
              </w:rPr>
              <w:t xml:space="preserve">. Kopējās investīciju vajadzības: 1 155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Investīciju mērķi: </w:t>
            </w:r>
            <w:r w:rsidRPr="003F5B3C">
              <w:rPr>
                <w:rFonts w:eastAsia="Times New Roman" w:cs="Times New Roman"/>
                <w:color w:val="000000"/>
                <w:sz w:val="18"/>
                <w:szCs w:val="18"/>
                <w:lang w:eastAsia="lv-LV"/>
              </w:rPr>
              <w:br/>
              <w:t xml:space="preserve">-Ostas teritorijas, t.sk. kuģu ceļu, piestātņu, hidrotehnisko </w:t>
            </w:r>
            <w:proofErr w:type="spellStart"/>
            <w:r w:rsidRPr="003F5B3C">
              <w:rPr>
                <w:rFonts w:eastAsia="Times New Roman" w:cs="Times New Roman"/>
                <w:color w:val="000000"/>
                <w:sz w:val="18"/>
                <w:szCs w:val="18"/>
                <w:lang w:eastAsia="lv-LV"/>
              </w:rPr>
              <w:t>aizsargbūvju</w:t>
            </w:r>
            <w:proofErr w:type="spellEnd"/>
            <w:r w:rsidRPr="003F5B3C">
              <w:rPr>
                <w:rFonts w:eastAsia="Times New Roman" w:cs="Times New Roman"/>
                <w:color w:val="000000"/>
                <w:sz w:val="18"/>
                <w:szCs w:val="18"/>
                <w:lang w:eastAsia="lv-LV"/>
              </w:rPr>
              <w:t>, pievedceļu atjaunošana/ pārbūve/ būvniecība) attīstība;</w:t>
            </w:r>
            <w:r w:rsidRPr="003F5B3C">
              <w:rPr>
                <w:rFonts w:eastAsia="Times New Roman" w:cs="Times New Roman"/>
                <w:color w:val="000000"/>
                <w:sz w:val="18"/>
                <w:szCs w:val="18"/>
                <w:lang w:eastAsia="lv-LV"/>
              </w:rPr>
              <w:br/>
              <w:t>-Liepājas metalurga industriālā parka attīstība, kas sevī ietver – viedas un ilgtspējīgas infrastruktūras attīstību un RIS3 viedās specializācijas jomām (</w:t>
            </w:r>
            <w:proofErr w:type="spellStart"/>
            <w:r w:rsidRPr="003F5B3C">
              <w:rPr>
                <w:rFonts w:eastAsia="Times New Roman" w:cs="Times New Roman"/>
                <w:color w:val="000000"/>
                <w:sz w:val="18"/>
                <w:szCs w:val="18"/>
                <w:lang w:eastAsia="lv-LV"/>
              </w:rPr>
              <w:t>bioekonomika</w:t>
            </w:r>
            <w:proofErr w:type="spellEnd"/>
            <w:r w:rsidRPr="003F5B3C">
              <w:rPr>
                <w:rFonts w:eastAsia="Times New Roman" w:cs="Times New Roman"/>
                <w:color w:val="000000"/>
                <w:sz w:val="18"/>
                <w:szCs w:val="18"/>
                <w:lang w:eastAsia="lv-LV"/>
              </w:rPr>
              <w:t xml:space="preserve">, viedā enerģija, viedās </w:t>
            </w:r>
            <w:proofErr w:type="spellStart"/>
            <w:r w:rsidRPr="003F5B3C">
              <w:rPr>
                <w:rFonts w:eastAsia="Times New Roman" w:cs="Times New Roman"/>
                <w:color w:val="000000"/>
                <w:sz w:val="18"/>
                <w:szCs w:val="18"/>
                <w:lang w:eastAsia="lv-LV"/>
              </w:rPr>
              <w:t>inženiersistēmas</w:t>
            </w:r>
            <w:proofErr w:type="spellEnd"/>
            <w:r w:rsidRPr="003F5B3C">
              <w:rPr>
                <w:rFonts w:eastAsia="Times New Roman" w:cs="Times New Roman"/>
                <w:color w:val="000000"/>
                <w:sz w:val="18"/>
                <w:szCs w:val="18"/>
                <w:lang w:eastAsia="lv-LV"/>
              </w:rPr>
              <w:t xml:space="preserve">, u.c.), esošās teritorijas sakārtošanu, t.sk., degradētās un vēsturiski piesārņotās rūpnīcas teritorijas sakārtošanu, jaunu ielu un komunikāciju izbūve); </w:t>
            </w:r>
            <w:r w:rsidRPr="003F5B3C">
              <w:rPr>
                <w:rFonts w:eastAsia="Times New Roman" w:cs="Times New Roman"/>
                <w:color w:val="000000"/>
                <w:sz w:val="18"/>
                <w:szCs w:val="18"/>
                <w:lang w:eastAsia="lv-LV"/>
              </w:rPr>
              <w:br/>
              <w:t xml:space="preserve">-Degradēto teritoriju attīstība, paredzot bijušās Padomju armijas karabāzes teritorijas pakāpenisku attīstību – tūrisms, aktīvā atpūta, dzīvojamā ciematiņa izveidošana; - </w:t>
            </w:r>
            <w:proofErr w:type="spellStart"/>
            <w:r w:rsidRPr="003F5B3C">
              <w:rPr>
                <w:rFonts w:eastAsia="Times New Roman" w:cs="Times New Roman"/>
                <w:color w:val="000000"/>
                <w:sz w:val="18"/>
                <w:szCs w:val="18"/>
                <w:lang w:eastAsia="lv-LV"/>
              </w:rPr>
              <w:t>Jaunliepājas</w:t>
            </w:r>
            <w:proofErr w:type="spellEnd"/>
            <w:r w:rsidRPr="003F5B3C">
              <w:rPr>
                <w:rFonts w:eastAsia="Times New Roman" w:cs="Times New Roman"/>
                <w:color w:val="000000"/>
                <w:sz w:val="18"/>
                <w:szCs w:val="18"/>
                <w:lang w:eastAsia="lv-LV"/>
              </w:rPr>
              <w:t xml:space="preserve"> ostas promenādes un pieguļošo teritoriju attīstība. </w:t>
            </w:r>
          </w:p>
        </w:tc>
      </w:tr>
      <w:tr w:rsidR="00BF055E" w:rsidRPr="003F5B3C" w14:paraId="72A01B0E"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39551D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32727F20"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6D83C16B"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Rīcības plāns Latvijas Austrumu pierobežas ekonomiskajai izaugsmei un drošības stiprināšanai 2025.–2027. gadam</w:t>
            </w:r>
            <w:r w:rsidRPr="003F5B3C">
              <w:rPr>
                <w:rFonts w:eastAsia="Times New Roman" w:cs="Times New Roman"/>
                <w:color w:val="000000"/>
                <w:sz w:val="18"/>
                <w:szCs w:val="18"/>
                <w:lang w:eastAsia="lv-LV"/>
              </w:rPr>
              <w:t xml:space="preserve">. Plāna projekta papildus nepieciešamais finansējums-  355,6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Plāna projektā iekļauti pasākumi, kas vērsti uz: </w:t>
            </w:r>
            <w:r w:rsidRPr="003F5B3C">
              <w:rPr>
                <w:rFonts w:eastAsia="Times New Roman" w:cs="Times New Roman"/>
                <w:b/>
                <w:bCs/>
                <w:color w:val="000000"/>
                <w:sz w:val="18"/>
                <w:szCs w:val="18"/>
                <w:lang w:eastAsia="lv-LV"/>
              </w:rPr>
              <w:br/>
              <w:t>•</w:t>
            </w:r>
            <w:r w:rsidRPr="003F5B3C">
              <w:rPr>
                <w:rFonts w:eastAsia="Times New Roman" w:cs="Times New Roman"/>
                <w:color w:val="000000"/>
                <w:sz w:val="18"/>
                <w:szCs w:val="18"/>
                <w:lang w:eastAsia="lv-LV"/>
              </w:rPr>
              <w:t>Austrumu pierobežas teritorijas tautsaimniecības attīstību;</w:t>
            </w:r>
            <w:r w:rsidRPr="003F5B3C">
              <w:rPr>
                <w:rFonts w:eastAsia="Times New Roman" w:cs="Times New Roman"/>
                <w:color w:val="000000"/>
                <w:sz w:val="18"/>
                <w:szCs w:val="18"/>
                <w:lang w:eastAsia="lv-LV"/>
              </w:rPr>
              <w:br/>
              <w:t>•drošības risku mazināšanu Austrumu pierobežā;</w:t>
            </w:r>
            <w:r w:rsidRPr="003F5B3C">
              <w:rPr>
                <w:rFonts w:eastAsia="Times New Roman" w:cs="Times New Roman"/>
                <w:color w:val="000000"/>
                <w:sz w:val="18"/>
                <w:szCs w:val="18"/>
                <w:lang w:eastAsia="lv-LV"/>
              </w:rPr>
              <w:br/>
              <w:t xml:space="preserve">•cilvēkresursu attīstību Austrumu pierobežā, t.sk. </w:t>
            </w:r>
            <w:proofErr w:type="spellStart"/>
            <w:r w:rsidRPr="003F5B3C">
              <w:rPr>
                <w:rFonts w:eastAsia="Times New Roman" w:cs="Times New Roman"/>
                <w:color w:val="000000"/>
                <w:sz w:val="18"/>
                <w:szCs w:val="18"/>
                <w:lang w:eastAsia="lv-LV"/>
              </w:rPr>
              <w:t>apdzīvojuma</w:t>
            </w:r>
            <w:proofErr w:type="spellEnd"/>
            <w:r w:rsidRPr="003F5B3C">
              <w:rPr>
                <w:rFonts w:eastAsia="Times New Roman" w:cs="Times New Roman"/>
                <w:color w:val="000000"/>
                <w:sz w:val="18"/>
                <w:szCs w:val="18"/>
                <w:lang w:eastAsia="lv-LV"/>
              </w:rPr>
              <w:t xml:space="preserve"> un pakalpojumu tīkla pielāgošana demogrāfijas tendencēm un prognozēm.</w:t>
            </w:r>
          </w:p>
        </w:tc>
      </w:tr>
      <w:tr w:rsidR="00BF055E" w:rsidRPr="003F5B3C" w14:paraId="582FDEDA"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33AEB9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66CAAF1"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11E6A40A"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Valsts reģionālo un vietējo autoceļu tīkla uzlabošana.</w:t>
            </w:r>
            <w:r w:rsidRPr="003F5B3C">
              <w:rPr>
                <w:rFonts w:eastAsia="Times New Roman" w:cs="Times New Roman"/>
                <w:color w:val="000000"/>
                <w:sz w:val="18"/>
                <w:szCs w:val="18"/>
                <w:lang w:eastAsia="lv-LV"/>
              </w:rPr>
              <w:t xml:space="preserve"> Valsts reģionālo un vietējo autoceļu tīkla uzlabošanu administratīvi teritoriālās reformas kontekstā joprojām nepieciešams īstenot 28 autoceļu posmos par indikatīvi 111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Lai nodrošinātu novadu administratīvo centru un tajos sniegto pakalpojumu un darba vietu drošu sasniedzamību administratīvi teritoriālās reformas kontekstā, ir nepieciešams turpināt valsts reģionālo un vietējo autoceļu atjaunošanu vai pārbūvi</w:t>
            </w:r>
          </w:p>
        </w:tc>
      </w:tr>
      <w:tr w:rsidR="00BF055E" w:rsidRPr="003F5B3C" w14:paraId="578F0AC3"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F8529E0"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72A43BE8"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19B22B4"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Bāzes finansējuma palielināšana profesionālās izglītības programmu īstenošanai.</w:t>
            </w:r>
            <w:r w:rsidRPr="003F5B3C">
              <w:rPr>
                <w:rFonts w:eastAsia="Times New Roman" w:cs="Times New Roman"/>
                <w:color w:val="000000"/>
                <w:sz w:val="18"/>
                <w:szCs w:val="18"/>
                <w:lang w:eastAsia="lv-LV"/>
              </w:rPr>
              <w:t xml:space="preserve"> Kopējais nepieciešamais finansējums - 58,7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Lai nodrošinātu bāzes finansējumu (normējamās izmaksas + dienesta viesnīcas uzturēšanas izmaksas (nenormējamās izmaksas), kas atbilst faktiskajām profesionālās izglītības programmu īstenošanas izmaksām</w:t>
            </w:r>
            <w:r>
              <w:rPr>
                <w:rFonts w:eastAsia="Times New Roman" w:cs="Times New Roman"/>
                <w:color w:val="000000"/>
                <w:sz w:val="18"/>
                <w:szCs w:val="18"/>
                <w:lang w:eastAsia="lv-LV"/>
              </w:rPr>
              <w:t>)</w:t>
            </w:r>
            <w:r w:rsidRPr="003F5B3C">
              <w:rPr>
                <w:rFonts w:eastAsia="Times New Roman" w:cs="Times New Roman"/>
                <w:color w:val="000000"/>
                <w:sz w:val="18"/>
                <w:szCs w:val="18"/>
                <w:lang w:eastAsia="lv-LV"/>
              </w:rPr>
              <w:t xml:space="preserve">, nepieciešams palielināt normatīvajā regulējumā noteiktās profesionālās izglītības programmu īstenošanas izmaksas uz vienu izglītojamo, kas nav pārskatītas kopš 2007. gada. Esošais bāzes finansējums ir neatbilstošs un nav pietiekams, lai nodrošinātu pilnvērtīgu un kvalitatīvu mācību procesu, sagatavojot tautsaimniecības nozaru vajadzībām un darba tirgus pieprasījumam atbilstošus speciālistus. Priekšlikums paredz bāzes finansējuma paaugstināšanu (t.sk. normējamo izmaksu palielināšanu uz vienu izglītojamo gadā no 425,15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uz 811,69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un dienesta viesnīcu uzturēšanas izmaksu (nenormējamās izmaksas) palielināšanu uz vienu izglītojamo gadā no 282,23 uz 456,85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1B47FB21"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59CBD99"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922597F"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05D0187C"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RIS3 industriālās prasmes. </w:t>
            </w:r>
            <w:r w:rsidRPr="003F5B3C">
              <w:rPr>
                <w:rFonts w:eastAsia="Times New Roman" w:cs="Times New Roman"/>
                <w:color w:val="000000"/>
                <w:sz w:val="18"/>
                <w:szCs w:val="18"/>
                <w:lang w:eastAsia="lv-LV"/>
              </w:rPr>
              <w:t xml:space="preserve">Kopā nepieciešams - 22 185 000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1) Augsta līmeņa digitālo prasmju attīstība saimnieciskās darbības veicējiem, akadēmiskajam un zinātniskajam personālam; 2) Specializētas mācības inovāciju vadībā saimnieciskās darbības veicējiem, akadēmiskajam un zinātniskajam personālam. </w:t>
            </w:r>
          </w:p>
        </w:tc>
      </w:tr>
      <w:tr w:rsidR="00BF055E" w:rsidRPr="003F5B3C" w14:paraId="64D61387"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379EFAA"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7EC1BF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67F95F9E"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Institucionālā finansēšanas modeļa ieviešana.</w:t>
            </w:r>
            <w:r w:rsidRPr="003F5B3C">
              <w:rPr>
                <w:rFonts w:eastAsia="Times New Roman" w:cs="Times New Roman"/>
                <w:color w:val="000000"/>
                <w:sz w:val="18"/>
                <w:szCs w:val="18"/>
                <w:lang w:eastAsia="lv-LV"/>
              </w:rPr>
              <w:t xml:space="preserve"> Kopā nepieciešams- 118 000 000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Ieviest uzlabotu finansēšanas modeli, kas balstīts darba tirgus vajadzībās un studiju rezultātos. Rezultāts - kvalificētu speciālistu skaits, kuri pabeidz studijas. Pilotprojekts tika uzsākts 2024. gada 1. septembrī, no 2026. gada plānots pāriet uz institucionālo finansējumu visās valsts augstskolās. Projekta ietvaros tiks izmēģināts arī </w:t>
            </w:r>
            <w:proofErr w:type="spellStart"/>
            <w:r w:rsidRPr="003F5B3C">
              <w:rPr>
                <w:rFonts w:eastAsia="Times New Roman" w:cs="Times New Roman"/>
                <w:color w:val="000000"/>
                <w:sz w:val="18"/>
                <w:szCs w:val="18"/>
                <w:lang w:eastAsia="lv-LV"/>
              </w:rPr>
              <w:t>mikrokvalifikāciju</w:t>
            </w:r>
            <w:proofErr w:type="spellEnd"/>
            <w:r w:rsidRPr="003F5B3C">
              <w:rPr>
                <w:rFonts w:eastAsia="Times New Roman" w:cs="Times New Roman"/>
                <w:color w:val="000000"/>
                <w:sz w:val="18"/>
                <w:szCs w:val="18"/>
                <w:lang w:eastAsia="lv-LV"/>
              </w:rPr>
              <w:t xml:space="preserve"> piešķiršanas modelis.  </w:t>
            </w:r>
          </w:p>
        </w:tc>
      </w:tr>
      <w:tr w:rsidR="00BF055E" w:rsidRPr="003F5B3C" w14:paraId="65398741"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3B807CD"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60FEA3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6B98EFE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Snieguma finansējuma augstākajā izglītībā un zinātnē īpatsvara pakāpeniska palielināšana.</w:t>
            </w:r>
            <w:r w:rsidRPr="003F5B3C">
              <w:rPr>
                <w:rFonts w:eastAsia="Times New Roman" w:cs="Times New Roman"/>
                <w:color w:val="000000"/>
                <w:sz w:val="18"/>
                <w:szCs w:val="18"/>
                <w:lang w:eastAsia="lv-LV"/>
              </w:rPr>
              <w:t xml:space="preserve"> Kopā nepieciešams - 26 000 000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Mērķis: Snieguma finansējuma komponentes palielināšana augstākās izglītības un zinātnes finansējumā. Rezultāts: palielināts absolventu skaits, kas ir nodarbināts Latvijā kvalificētos amatos (strādā profesijā), palielinās zinātnisko darbinieku skaits PLE izteiksmē.</w:t>
            </w:r>
          </w:p>
        </w:tc>
      </w:tr>
      <w:tr w:rsidR="00BF055E" w:rsidRPr="003F5B3C" w14:paraId="33D10BBD"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B06A3F3"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78CC8B39"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5A0603EA"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Jauna akadēmiskās karjeras modeļa ieviešana. </w:t>
            </w:r>
            <w:r w:rsidRPr="003F5B3C">
              <w:rPr>
                <w:rFonts w:eastAsia="Times New Roman" w:cs="Times New Roman"/>
                <w:color w:val="000000"/>
                <w:sz w:val="18"/>
                <w:szCs w:val="18"/>
                <w:lang w:eastAsia="lv-LV"/>
              </w:rPr>
              <w:t xml:space="preserve">Kopā nepieciešams -  83 864 757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Mērķis: jauna, labai starptautiskai praksei atbilstoša akadēmiskās karjeras ietvara ieviešana visu tipu augstskolās, koledžās un zinātniskajos institūtos, t.sk uzlabojot amatu struktūru, novērtēšanu un karjeras plānošanu, ieviešot </w:t>
            </w:r>
            <w:proofErr w:type="spellStart"/>
            <w:r w:rsidRPr="003F5B3C">
              <w:rPr>
                <w:rFonts w:eastAsia="Times New Roman" w:cs="Times New Roman"/>
                <w:color w:val="000000"/>
                <w:sz w:val="18"/>
                <w:szCs w:val="18"/>
                <w:lang w:eastAsia="lv-LV"/>
              </w:rPr>
              <w:t>tenūras</w:t>
            </w:r>
            <w:proofErr w:type="spellEnd"/>
            <w:r w:rsidRPr="003F5B3C">
              <w:rPr>
                <w:rFonts w:eastAsia="Times New Roman" w:cs="Times New Roman"/>
                <w:color w:val="000000"/>
                <w:sz w:val="18"/>
                <w:szCs w:val="18"/>
                <w:lang w:eastAsia="lv-LV"/>
              </w:rPr>
              <w:t xml:space="preserve"> profesora amatus un atsakoties no akadēmiskā personāla ievēlēšanas procedūras, pārejot uz personāla atlasi konkursa kārtībā. </w:t>
            </w:r>
          </w:p>
        </w:tc>
      </w:tr>
      <w:tr w:rsidR="00BF055E" w:rsidRPr="003F5B3C" w14:paraId="70470C6F"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5BC226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D81CED2"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07E827A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Jaunā doktorantūras modeļa ieviešana</w:t>
            </w:r>
            <w:r w:rsidRPr="003F5B3C">
              <w:rPr>
                <w:rFonts w:eastAsia="Times New Roman" w:cs="Times New Roman"/>
                <w:color w:val="000000"/>
                <w:sz w:val="18"/>
                <w:szCs w:val="18"/>
                <w:lang w:eastAsia="lv-LV"/>
              </w:rPr>
              <w:t xml:space="preserve">. Kopā nepieciešams - 48 887 104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Jauna, labai starptautiskai praksei atbilstoša doktorantūras modeļa ieviešana zinātnes universitātēs, paredzot doktora grāda pretendenta zinātniskā un akadēmiskā darba sasaisti. </w:t>
            </w:r>
          </w:p>
        </w:tc>
      </w:tr>
      <w:tr w:rsidR="00BF055E" w:rsidRPr="003F5B3C" w14:paraId="10130FE2"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0B4F070"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878EB1A"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01E02C60"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Zinātnes bāzes un snieguma finansējuma pieaugums.</w:t>
            </w:r>
            <w:r w:rsidRPr="003F5B3C">
              <w:rPr>
                <w:rFonts w:eastAsia="Times New Roman" w:cs="Times New Roman"/>
                <w:color w:val="000000"/>
                <w:sz w:val="18"/>
                <w:szCs w:val="18"/>
                <w:lang w:eastAsia="lv-LV"/>
              </w:rPr>
              <w:t xml:space="preserve"> Kopā nepieciešams - 82 000 000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Mērķis: nodrošināt ieguldījumu mērķa sasniegšanu pētniecībā un inovācijā 1,5 % no IKP līdz 2027.gadam, tai skaitā valsts budžeta finansējumu P&amp;I, 0,4 % no IKP. </w:t>
            </w:r>
          </w:p>
        </w:tc>
      </w:tr>
      <w:tr w:rsidR="00BF055E" w:rsidRPr="003F5B3C" w14:paraId="383DB96F"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654FCA3"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56CD82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BAD08F6"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Starptautiskās sadarbības veicināšana tehnoloģiju attīstībai.</w:t>
            </w:r>
            <w:r w:rsidRPr="003F5B3C">
              <w:rPr>
                <w:rFonts w:eastAsia="Times New Roman" w:cs="Times New Roman"/>
                <w:color w:val="000000"/>
                <w:sz w:val="18"/>
                <w:szCs w:val="18"/>
                <w:lang w:eastAsia="lv-LV"/>
              </w:rPr>
              <w:t xml:space="preserve"> Kopā nepieciešams - 42 814 253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Mērķis: nodrošināt līdzfinansējumu ES Mikroshēmu kopuzņēmuma projektu konkursiem, finansējumu dalībai Eiropas Kosmosa aģentūras programmās, CERN un EMBL/EMBC, nodrošināt finansējumu VPP izveidei kvantu jomā un bilaterālās pētniecības programmu finansējuma palielināšana (FR, Taivāna) un izveidei ar Koreju un ASV (t.sk Ukrainas zinātniekiem). </w:t>
            </w:r>
          </w:p>
        </w:tc>
      </w:tr>
      <w:tr w:rsidR="00BF055E" w:rsidRPr="003F5B3C" w14:paraId="62045F51"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2FF98BD"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12935418"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390DD07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Speciālo izglītības iestāžu uzturēšanas izdevumi.</w:t>
            </w:r>
            <w:r w:rsidRPr="003F5B3C">
              <w:rPr>
                <w:rFonts w:eastAsia="Times New Roman" w:cs="Times New Roman"/>
                <w:color w:val="000000"/>
                <w:sz w:val="18"/>
                <w:szCs w:val="18"/>
                <w:lang w:eastAsia="lv-LV"/>
              </w:rPr>
              <w:t xml:space="preserve"> Kopā nepieciešams - 47 122 524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r>
              <w:rPr>
                <w:rFonts w:eastAsia="Times New Roman" w:cs="Times New Roman"/>
                <w:color w:val="000000"/>
                <w:sz w:val="18"/>
                <w:szCs w:val="18"/>
                <w:lang w:eastAsia="lv-LV"/>
              </w:rPr>
              <w:t>MK</w:t>
            </w:r>
            <w:r w:rsidRPr="003F5B3C">
              <w:rPr>
                <w:rFonts w:eastAsia="Times New Roman" w:cs="Times New Roman"/>
                <w:color w:val="000000"/>
                <w:sz w:val="18"/>
                <w:szCs w:val="18"/>
                <w:lang w:eastAsia="lv-LV"/>
              </w:rPr>
              <w:t xml:space="preserve"> 2016. gada 15. jūlija noteikumi Nr. 477 "Speciālās izglītības iestāžu un vispārējās izglītības iestāžu speciālās izglītības klašu (grupu) finansēšanas kārtība" ietver speciālo izglītības iestāžu uzturēšanas izdevumu uzskaitījumu, nosakot nepieciešamo uzturēšanas izdevumu apmēru uz vienu izglītojamo, kas saņem internāta pakalpojumus, gadā. Ievērojot to, ka minētais pielikums tika noteikts 2007. gadā un kopš tā laika izdevumi nav pārskatīti, palielinot izdevumu apmēru uz vienu izglītojamo tiktu nodrošināta speciālo izglītības iestāžu uzturēšana</w:t>
            </w:r>
            <w:r>
              <w:rPr>
                <w:rFonts w:eastAsia="Times New Roman" w:cs="Times New Roman"/>
                <w:color w:val="000000"/>
                <w:sz w:val="18"/>
                <w:szCs w:val="18"/>
                <w:lang w:eastAsia="lv-LV"/>
              </w:rPr>
              <w:t>.</w:t>
            </w:r>
          </w:p>
        </w:tc>
      </w:tr>
      <w:tr w:rsidR="00BF055E" w:rsidRPr="003F5B3C" w14:paraId="299F76EC"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CC995B1"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3C809D63"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D22C2F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Jaunais pedagogu darba samaksas finansēšanas modelis "Programma skolā".</w:t>
            </w:r>
            <w:r w:rsidRPr="003F5B3C">
              <w:rPr>
                <w:rFonts w:eastAsia="Times New Roman" w:cs="Times New Roman"/>
                <w:color w:val="000000"/>
                <w:sz w:val="18"/>
                <w:szCs w:val="18"/>
                <w:lang w:eastAsia="lv-LV"/>
              </w:rPr>
              <w:t xml:space="preserve"> Kopā nepieciešams - 352 399 219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Modelis paredz resursus pilnvērtīgai izglītības programmas īstenošanai, nosakot, ka finansējums tiek aprēķināts konkrētai izglītības iestādei, ņemot vērā tajā nodrošināto izglītības programmu apmēru. Būtu caurskatāma sistēma izglītības programmu īstenošanai  nepieciešamo izglītības iestādes darbinieku atalgojumam, kas ļautu pakāpeniski virzīties uz mērķi, ka pedagogu atalgojums ir konkurētspējīgs salīdzinājumā ar atalgojumu citās sabiedriskā sektora jomās.</w:t>
            </w:r>
          </w:p>
        </w:tc>
      </w:tr>
      <w:tr w:rsidR="00BF055E" w:rsidRPr="003F5B3C" w14:paraId="068FDEFF"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5A1FDBF"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1290633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483A7B10"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Paaugstināt ģimenēm ar bērniem sniegtā materiālā atbalsta adekvātumu, samazināt mājsaimniecību ar apgādībā esošiem nepilngadīgiem bērniem pakļautību nabadzības un/ vai sociālās atstumtības riskam</w:t>
            </w:r>
            <w:r w:rsidRPr="003F5B3C">
              <w:rPr>
                <w:rFonts w:eastAsia="Times New Roman" w:cs="Times New Roman"/>
                <w:color w:val="000000"/>
                <w:sz w:val="18"/>
                <w:szCs w:val="18"/>
                <w:lang w:eastAsia="lv-LV"/>
              </w:rPr>
              <w:t xml:space="preserve">. Nepieciešams finansējums: 2025. - 98,7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 - 173,3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2027. – 191,9 milj.</w:t>
            </w:r>
            <w:r>
              <w:rPr>
                <w:rFonts w:eastAsia="Times New Roman" w:cs="Times New Roman"/>
                <w:color w:val="000000"/>
                <w:sz w:val="18"/>
                <w:szCs w:val="18"/>
                <w:lang w:eastAsia="lv-LV"/>
              </w:rPr>
              <w:t xml:space="preserve">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 209,1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Investīcijas ietver:</w:t>
            </w:r>
            <w:r w:rsidRPr="003F5B3C">
              <w:rPr>
                <w:rFonts w:eastAsia="Times New Roman" w:cs="Times New Roman"/>
                <w:color w:val="000000"/>
                <w:sz w:val="18"/>
                <w:szCs w:val="18"/>
                <w:lang w:eastAsia="lv-LV"/>
              </w:rPr>
              <w:br/>
              <w:t>• nodrošinot valsts sociālo pabalstu un atlīdzību sasaisti ar sociāli ekonomiski pamatotiem rādītājiem (mājsaimniecības vidējo ienākumu mediāna, patēriņa cenu pārmaiņas) un to regulāru ikgadēju pārskatīšanu;</w:t>
            </w:r>
            <w:r w:rsidRPr="003F5B3C">
              <w:rPr>
                <w:rFonts w:eastAsia="Times New Roman" w:cs="Times New Roman"/>
                <w:color w:val="000000"/>
                <w:sz w:val="18"/>
                <w:szCs w:val="18"/>
                <w:lang w:eastAsia="lv-LV"/>
              </w:rPr>
              <w:br/>
              <w:t>• pilnveidojot valsts sociālo pabalstu saņemšanas kritērijus, lai paaugstinātu mērķa grupas pārklājumu;</w:t>
            </w:r>
            <w:r w:rsidRPr="003F5B3C">
              <w:rPr>
                <w:rFonts w:eastAsia="Times New Roman" w:cs="Times New Roman"/>
                <w:color w:val="000000"/>
                <w:sz w:val="18"/>
                <w:szCs w:val="18"/>
                <w:lang w:eastAsia="lv-LV"/>
              </w:rPr>
              <w:br/>
              <w:t>• palielinot sociālo aizsardzību pensionēšanās gadījumā noteiktām mājsaimniecībām ar apgādībā esošiem nepilngadīgiem bērniem;</w:t>
            </w:r>
            <w:r w:rsidRPr="003F5B3C">
              <w:rPr>
                <w:rFonts w:eastAsia="Times New Roman" w:cs="Times New Roman"/>
                <w:color w:val="000000"/>
                <w:sz w:val="18"/>
                <w:szCs w:val="18"/>
                <w:lang w:eastAsia="lv-LV"/>
              </w:rPr>
              <w:br/>
              <w:t>• pilnveidojot un paplašinot ģimenēm ar bērniem sniegto pakalpojumu kvalitāti un klāstu.</w:t>
            </w:r>
          </w:p>
        </w:tc>
      </w:tr>
      <w:tr w:rsidR="00BF055E" w:rsidRPr="003F5B3C" w14:paraId="4BEB81EB"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86A895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A24C5DA"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3FC6E27C"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Pilnveidot materiālā atbalsta adekvātumu </w:t>
            </w:r>
            <w:proofErr w:type="spellStart"/>
            <w:r w:rsidRPr="003F5B3C">
              <w:rPr>
                <w:rFonts w:eastAsia="Times New Roman" w:cs="Times New Roman"/>
                <w:b/>
                <w:bCs/>
                <w:color w:val="000000"/>
                <w:sz w:val="18"/>
                <w:szCs w:val="18"/>
                <w:lang w:eastAsia="lv-LV"/>
              </w:rPr>
              <w:t>ārpusģimenes</w:t>
            </w:r>
            <w:proofErr w:type="spellEnd"/>
            <w:r w:rsidRPr="003F5B3C">
              <w:rPr>
                <w:rFonts w:eastAsia="Times New Roman" w:cs="Times New Roman"/>
                <w:b/>
                <w:bCs/>
                <w:color w:val="000000"/>
                <w:sz w:val="18"/>
                <w:szCs w:val="18"/>
                <w:lang w:eastAsia="lv-LV"/>
              </w:rPr>
              <w:t xml:space="preserve"> aprūpē esošiem bērniem.</w:t>
            </w:r>
            <w:r w:rsidRPr="003F5B3C">
              <w:rPr>
                <w:rFonts w:eastAsia="Times New Roman" w:cs="Times New Roman"/>
                <w:color w:val="000000"/>
                <w:sz w:val="18"/>
                <w:szCs w:val="18"/>
                <w:lang w:eastAsia="lv-LV"/>
              </w:rPr>
              <w:t xml:space="preserve"> Nepieciešams finansējums: 2025. – 9,9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 – 14,7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2027. – 15,2 milj</w:t>
            </w:r>
            <w:r>
              <w:rPr>
                <w:rFonts w:eastAsia="Times New Roman" w:cs="Times New Roman"/>
                <w:color w:val="000000"/>
                <w:sz w:val="18"/>
                <w:szCs w:val="18"/>
                <w:lang w:eastAsia="lv-LV"/>
              </w:rPr>
              <w:t xml:space="preserve">.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 15,7 milj. </w:t>
            </w:r>
            <w:proofErr w:type="spellStart"/>
            <w:r w:rsidRPr="003F5B3C">
              <w:rPr>
                <w:rFonts w:eastAsia="Times New Roman" w:cs="Times New Roman"/>
                <w:i/>
                <w:color w:val="000000"/>
                <w:sz w:val="18"/>
                <w:szCs w:val="18"/>
                <w:lang w:eastAsia="lv-LV"/>
              </w:rPr>
              <w:t>euro</w:t>
            </w:r>
            <w:proofErr w:type="spellEnd"/>
            <w:r>
              <w:rPr>
                <w:rFonts w:eastAsia="Times New Roman" w:cs="Times New Roman"/>
                <w:i/>
                <w:color w:val="000000"/>
                <w:sz w:val="18"/>
                <w:szCs w:val="18"/>
                <w:lang w:eastAsia="lv-LV"/>
              </w:rPr>
              <w:t xml:space="preserve">. </w:t>
            </w:r>
            <w:r w:rsidRPr="003F5B3C">
              <w:rPr>
                <w:rFonts w:eastAsia="Times New Roman" w:cs="Times New Roman"/>
                <w:color w:val="000000"/>
                <w:sz w:val="18"/>
                <w:szCs w:val="18"/>
                <w:lang w:eastAsia="lv-LV"/>
              </w:rPr>
              <w:t>Investīcijas ietver:</w:t>
            </w:r>
            <w:r w:rsidRPr="003F5B3C">
              <w:rPr>
                <w:rFonts w:eastAsia="Times New Roman" w:cs="Times New Roman"/>
                <w:color w:val="000000"/>
                <w:sz w:val="18"/>
                <w:szCs w:val="18"/>
                <w:lang w:eastAsia="lv-LV"/>
              </w:rPr>
              <w:br/>
              <w:t>• nodrošin</w:t>
            </w:r>
            <w:r>
              <w:rPr>
                <w:rFonts w:eastAsia="Times New Roman" w:cs="Times New Roman"/>
                <w:color w:val="000000"/>
                <w:sz w:val="18"/>
                <w:szCs w:val="18"/>
                <w:lang w:eastAsia="lv-LV"/>
              </w:rPr>
              <w:t>ā</w:t>
            </w:r>
            <w:r w:rsidRPr="003F5B3C">
              <w:rPr>
                <w:rFonts w:eastAsia="Times New Roman" w:cs="Times New Roman"/>
                <w:color w:val="000000"/>
                <w:sz w:val="18"/>
                <w:szCs w:val="18"/>
                <w:lang w:eastAsia="lv-LV"/>
              </w:rPr>
              <w:t>t valsts sociālo pabalstu sasaisti ar sociāli ekonomiski pamatotiem rādītājiem un to regulāru ikgadēju pārskatīšanu;</w:t>
            </w:r>
            <w:r w:rsidRPr="003F5B3C">
              <w:rPr>
                <w:rFonts w:eastAsia="Times New Roman" w:cs="Times New Roman"/>
                <w:color w:val="000000"/>
                <w:sz w:val="18"/>
                <w:szCs w:val="18"/>
                <w:lang w:eastAsia="lv-LV"/>
              </w:rPr>
              <w:br/>
              <w:t>• palielin</w:t>
            </w:r>
            <w:r>
              <w:rPr>
                <w:rFonts w:eastAsia="Times New Roman" w:cs="Times New Roman"/>
                <w:color w:val="000000"/>
                <w:sz w:val="18"/>
                <w:szCs w:val="18"/>
                <w:lang w:eastAsia="lv-LV"/>
              </w:rPr>
              <w:t>ā</w:t>
            </w:r>
            <w:r w:rsidRPr="003F5B3C">
              <w:rPr>
                <w:rFonts w:eastAsia="Times New Roman" w:cs="Times New Roman"/>
                <w:color w:val="000000"/>
                <w:sz w:val="18"/>
                <w:szCs w:val="18"/>
                <w:lang w:eastAsia="lv-LV"/>
              </w:rPr>
              <w:t>t sociālās aizsardzības pārklājumu;</w:t>
            </w:r>
            <w:r w:rsidRPr="003F5B3C">
              <w:rPr>
                <w:rFonts w:eastAsia="Times New Roman" w:cs="Times New Roman"/>
                <w:color w:val="000000"/>
                <w:sz w:val="18"/>
                <w:szCs w:val="18"/>
                <w:lang w:eastAsia="lv-LV"/>
              </w:rPr>
              <w:br/>
              <w:t>• paplašin</w:t>
            </w:r>
            <w:r>
              <w:rPr>
                <w:rFonts w:eastAsia="Times New Roman" w:cs="Times New Roman"/>
                <w:color w:val="000000"/>
                <w:sz w:val="18"/>
                <w:szCs w:val="18"/>
                <w:lang w:eastAsia="lv-LV"/>
              </w:rPr>
              <w:t>ā</w:t>
            </w:r>
            <w:r w:rsidRPr="003F5B3C">
              <w:rPr>
                <w:rFonts w:eastAsia="Times New Roman" w:cs="Times New Roman"/>
                <w:color w:val="000000"/>
                <w:sz w:val="18"/>
                <w:szCs w:val="18"/>
                <w:lang w:eastAsia="lv-LV"/>
              </w:rPr>
              <w:t xml:space="preserve">t </w:t>
            </w:r>
            <w:proofErr w:type="spellStart"/>
            <w:r w:rsidRPr="003F5B3C">
              <w:rPr>
                <w:rFonts w:eastAsia="Times New Roman" w:cs="Times New Roman"/>
                <w:color w:val="000000"/>
                <w:sz w:val="18"/>
                <w:szCs w:val="18"/>
                <w:lang w:eastAsia="lv-LV"/>
              </w:rPr>
              <w:t>ārpusģimenes</w:t>
            </w:r>
            <w:proofErr w:type="spellEnd"/>
            <w:r w:rsidRPr="003F5B3C">
              <w:rPr>
                <w:rFonts w:eastAsia="Times New Roman" w:cs="Times New Roman"/>
                <w:color w:val="000000"/>
                <w:sz w:val="18"/>
                <w:szCs w:val="18"/>
                <w:lang w:eastAsia="lv-LV"/>
              </w:rPr>
              <w:t xml:space="preserve"> aprūpes pakalpojumu pieejamību un pilnveidojot to kvalitāti.</w:t>
            </w:r>
          </w:p>
        </w:tc>
      </w:tr>
      <w:tr w:rsidR="00BF055E" w:rsidRPr="003F5B3C" w14:paraId="4D2427B4"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4E3EA2A"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569B264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19181D2E"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Nodrošināt sociālo pakalpojumu pieejamību atbilstoši iedzīvotāju vajadzībām, palielināt to klāstu un kvalitāti. </w:t>
            </w:r>
            <w:r w:rsidRPr="003F5B3C">
              <w:rPr>
                <w:rFonts w:eastAsia="Times New Roman" w:cs="Times New Roman"/>
                <w:color w:val="000000"/>
                <w:sz w:val="18"/>
                <w:szCs w:val="18"/>
                <w:lang w:eastAsia="lv-LV"/>
              </w:rPr>
              <w:t xml:space="preserve">Nepieciešamais finansējums: 2025. – 41,5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 – 42,3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2027. – 44,5 milj.</w:t>
            </w:r>
            <w:r>
              <w:rPr>
                <w:rFonts w:eastAsia="Times New Roman" w:cs="Times New Roman"/>
                <w:color w:val="000000"/>
                <w:sz w:val="18"/>
                <w:szCs w:val="18"/>
                <w:lang w:eastAsia="lv-LV"/>
              </w:rPr>
              <w:t xml:space="preserve">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 41,6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Investīcijas ietver:</w:t>
            </w:r>
            <w:r w:rsidRPr="003F5B3C">
              <w:rPr>
                <w:rFonts w:eastAsia="Times New Roman" w:cs="Times New Roman"/>
                <w:color w:val="000000"/>
                <w:sz w:val="18"/>
                <w:szCs w:val="18"/>
                <w:lang w:eastAsia="lv-LV"/>
              </w:rPr>
              <w:br/>
              <w:t>• nodrošin</w:t>
            </w:r>
            <w:r>
              <w:rPr>
                <w:rFonts w:eastAsia="Times New Roman" w:cs="Times New Roman"/>
                <w:color w:val="000000"/>
                <w:sz w:val="18"/>
                <w:szCs w:val="18"/>
                <w:lang w:eastAsia="lv-LV"/>
              </w:rPr>
              <w:t>ā</w:t>
            </w:r>
            <w:r w:rsidRPr="003F5B3C">
              <w:rPr>
                <w:rFonts w:eastAsia="Times New Roman" w:cs="Times New Roman"/>
                <w:color w:val="000000"/>
                <w:sz w:val="18"/>
                <w:szCs w:val="18"/>
                <w:lang w:eastAsia="lv-LV"/>
              </w:rPr>
              <w:t>t regulāru pakalpojumu satura pārskatīšanu atbilstoši iedzīvotāju vajadzībām un pakalpojuma izmaksu pārskatīšanu atbilstoši faktiskajām tirgus cenām;</w:t>
            </w:r>
            <w:r w:rsidRPr="003F5B3C">
              <w:rPr>
                <w:rFonts w:eastAsia="Times New Roman" w:cs="Times New Roman"/>
                <w:color w:val="000000"/>
                <w:sz w:val="18"/>
                <w:szCs w:val="18"/>
                <w:lang w:eastAsia="lv-LV"/>
              </w:rPr>
              <w:br/>
              <w:t>• snie</w:t>
            </w:r>
            <w:r>
              <w:rPr>
                <w:rFonts w:eastAsia="Times New Roman" w:cs="Times New Roman"/>
                <w:color w:val="000000"/>
                <w:sz w:val="18"/>
                <w:szCs w:val="18"/>
                <w:lang w:eastAsia="lv-LV"/>
              </w:rPr>
              <w:t>gt</w:t>
            </w:r>
            <w:r w:rsidRPr="003F5B3C">
              <w:rPr>
                <w:rFonts w:eastAsia="Times New Roman" w:cs="Times New Roman"/>
                <w:color w:val="000000"/>
                <w:sz w:val="18"/>
                <w:szCs w:val="18"/>
                <w:lang w:eastAsia="lv-LV"/>
              </w:rPr>
              <w:t xml:space="preserve"> atbalstu pašvaldībām minimālā sociālo pakalpojuma groza ieviešanai;</w:t>
            </w:r>
            <w:r w:rsidRPr="003F5B3C">
              <w:rPr>
                <w:rFonts w:eastAsia="Times New Roman" w:cs="Times New Roman"/>
                <w:color w:val="000000"/>
                <w:sz w:val="18"/>
                <w:szCs w:val="18"/>
                <w:lang w:eastAsia="lv-LV"/>
              </w:rPr>
              <w:br/>
              <w:t>• atbalsts sociālo pakalpojumu pārvaldības pilnveidošanai un pakalpojumu sniegšanā iesaistīto speciālistu piesaistei;</w:t>
            </w:r>
            <w:r w:rsidRPr="003F5B3C">
              <w:rPr>
                <w:rFonts w:eastAsia="Times New Roman" w:cs="Times New Roman"/>
                <w:color w:val="000000"/>
                <w:sz w:val="18"/>
                <w:szCs w:val="18"/>
                <w:lang w:eastAsia="lv-LV"/>
              </w:rPr>
              <w:br/>
              <w:t>• uzlabot pakalpojumu infrastruktūru.</w:t>
            </w:r>
          </w:p>
        </w:tc>
      </w:tr>
      <w:tr w:rsidR="00BF055E" w:rsidRPr="003F5B3C" w14:paraId="22D6E7FD"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F1414DB"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071080D"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4B4EA32E"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Palielināt atbalstu iedzīvotājiem ar zemiem un nepietiekamiem ienākumiem, </w:t>
            </w:r>
            <w:r w:rsidRPr="003F5B3C">
              <w:rPr>
                <w:rFonts w:eastAsia="Times New Roman" w:cs="Times New Roman"/>
                <w:color w:val="000000"/>
                <w:sz w:val="18"/>
                <w:szCs w:val="18"/>
                <w:lang w:eastAsia="lv-LV"/>
              </w:rPr>
              <w:t xml:space="preserve">sniedzot pārtikas atbalstu un pamata materiālo palīdzību zemu ienākumu un krīzes situācijā nonākušām mājsaimniecībām un palielinot valsts budžeta līdzfinansējumu pašvaldībām no 30% līdz 50% mājokļa pabalsta izmaksai. Nepieciešamais finansējums: 2025.gadā -15,3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2026.gadā – 25,7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2027. gadā – 29.2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gadā – 31,4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7D398678"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98EAB4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14E935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1E787AA8" w14:textId="77777777" w:rsidR="00BF055E"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Zemas īres maksas mājokļu būvniecība reģionos.</w:t>
            </w:r>
            <w:r w:rsidRPr="003F5B3C">
              <w:rPr>
                <w:rFonts w:eastAsia="Times New Roman" w:cs="Times New Roman"/>
                <w:color w:val="000000"/>
                <w:sz w:val="18"/>
                <w:szCs w:val="18"/>
                <w:lang w:eastAsia="lv-LV"/>
              </w:rPr>
              <w:t xml:space="preserve"> Mērķis: dzīvojamo īres māju būvniecība ar mērķi veicināt būvniecības standartiem un energoefektivitātes prasībām atbilstošu zemas īres maksas mājokļu pieejamību mājsaimniecībām (“neatbalstītais vidusslānis”), kas nevar atļauties mājokli uz tirgus nosacījumiem. Zemas īres maksas mājokļu būvniecības atbalsta programma tiek īstenota kopš 2022.</w:t>
            </w:r>
            <w:r>
              <w:rPr>
                <w:rFonts w:eastAsia="Times New Roman" w:cs="Times New Roman"/>
                <w:color w:val="000000"/>
                <w:sz w:val="18"/>
                <w:szCs w:val="18"/>
                <w:lang w:eastAsia="lv-LV"/>
              </w:rPr>
              <w:t xml:space="preserve"> </w:t>
            </w:r>
            <w:r w:rsidRPr="003F5B3C">
              <w:rPr>
                <w:rFonts w:eastAsia="Times New Roman" w:cs="Times New Roman"/>
                <w:color w:val="000000"/>
                <w:sz w:val="18"/>
                <w:szCs w:val="18"/>
                <w:lang w:eastAsia="lv-LV"/>
              </w:rPr>
              <w:t xml:space="preserve">gada un finansēta no </w:t>
            </w:r>
            <w:r>
              <w:rPr>
                <w:rFonts w:eastAsia="Times New Roman" w:cs="Times New Roman"/>
                <w:color w:val="000000"/>
                <w:sz w:val="18"/>
                <w:szCs w:val="18"/>
                <w:lang w:eastAsia="lv-LV"/>
              </w:rPr>
              <w:t>ANM</w:t>
            </w:r>
            <w:r w:rsidRPr="003F5B3C">
              <w:rPr>
                <w:rFonts w:eastAsia="Times New Roman" w:cs="Times New Roman"/>
                <w:color w:val="000000"/>
                <w:sz w:val="18"/>
                <w:szCs w:val="18"/>
                <w:lang w:eastAsia="lv-LV"/>
              </w:rPr>
              <w:t xml:space="preserve"> finansējuma. Pieejamais finansējums atbalsta programmai ir 51,9 milj. EUR, tajā skaitā </w:t>
            </w:r>
            <w:r>
              <w:rPr>
                <w:rFonts w:eastAsia="Times New Roman" w:cs="Times New Roman"/>
                <w:color w:val="000000"/>
                <w:sz w:val="18"/>
                <w:szCs w:val="18"/>
                <w:lang w:eastAsia="lv-LV"/>
              </w:rPr>
              <w:t>ANM</w:t>
            </w:r>
            <w:r w:rsidRPr="003F5B3C">
              <w:rPr>
                <w:rFonts w:eastAsia="Times New Roman" w:cs="Times New Roman"/>
                <w:color w:val="000000"/>
                <w:sz w:val="18"/>
                <w:szCs w:val="18"/>
                <w:lang w:eastAsia="lv-LV"/>
              </w:rPr>
              <w:t xml:space="preserve"> finansējums 42,9 milj. EUR. Par šo finansējumu kopumā var uzbūvēt 467 dzīvokļus. Pēc atbalsta programmas pilnveides 2023. un 2024.</w:t>
            </w:r>
            <w:r>
              <w:rPr>
                <w:rFonts w:eastAsia="Times New Roman" w:cs="Times New Roman"/>
                <w:color w:val="000000"/>
                <w:sz w:val="18"/>
                <w:szCs w:val="18"/>
                <w:lang w:eastAsia="lv-LV"/>
              </w:rPr>
              <w:t xml:space="preserve"> </w:t>
            </w:r>
            <w:r w:rsidRPr="003F5B3C">
              <w:rPr>
                <w:rFonts w:eastAsia="Times New Roman" w:cs="Times New Roman"/>
                <w:color w:val="000000"/>
                <w:sz w:val="18"/>
                <w:szCs w:val="18"/>
                <w:lang w:eastAsia="lv-LV"/>
              </w:rPr>
              <w:t xml:space="preserve">gadā, ir būtiski pieaugusi interese par atbalsta programmu. Dotajā brīdī ir noslēgti 4 aizdevumu līgumi par kopējo dzīvokļu skaitu 314 dzīvokļi, savukārt 7 projekti ir vēl vērtēšanā. Visiem vērtēšanā esošajiem projektiem finansējums nepietiek. Savukārt, mājsaimniecības, kurām nav pietiekami ienākumi pienācīga mājokļa nodrošināšanai par tirgus cenu, ir 44 % mājsaimniecību jeb vairāk kā 350 tūkst. mājsaimniecību. Attiecīgi ir būtiski turpināt atbalsta programmu un nodrošināt papildus finansējumu, nodrošinot atbalsta programmas īstenošanas nepārtrauktību. Ikgadēji nepieciešamais finansējums: 50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par kuriem var uzbūvēt ikgadēji 460 dzīvokļus.</w:t>
            </w:r>
          </w:p>
          <w:p w14:paraId="0F063C07"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p>
        </w:tc>
      </w:tr>
      <w:tr w:rsidR="00BF055E" w:rsidRPr="003F5B3C" w14:paraId="1447607A" w14:textId="77777777" w:rsidTr="003B1594">
        <w:trPr>
          <w:trHeight w:val="20"/>
          <w:jc w:val="center"/>
        </w:trPr>
        <w:tc>
          <w:tcPr>
            <w:tcW w:w="0" w:type="auto"/>
            <w:vMerge w:val="restart"/>
            <w:tcBorders>
              <w:top w:val="nil"/>
              <w:left w:val="single" w:sz="4" w:space="0" w:color="auto"/>
              <w:bottom w:val="single" w:sz="4" w:space="0" w:color="auto"/>
              <w:right w:val="single" w:sz="4" w:space="0" w:color="auto"/>
            </w:tcBorders>
            <w:shd w:val="clear" w:color="000000" w:fill="95B3D7"/>
            <w:noWrap/>
            <w:vAlign w:val="center"/>
            <w:hideMark/>
          </w:tcPr>
          <w:p w14:paraId="22E8B70F"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t>3</w:t>
            </w:r>
          </w:p>
        </w:tc>
        <w:tc>
          <w:tcPr>
            <w:tcW w:w="3210" w:type="dxa"/>
            <w:vMerge w:val="restart"/>
            <w:tcBorders>
              <w:top w:val="nil"/>
              <w:left w:val="single" w:sz="4" w:space="0" w:color="auto"/>
              <w:bottom w:val="single" w:sz="4" w:space="0" w:color="auto"/>
              <w:right w:val="single" w:sz="4" w:space="0" w:color="auto"/>
            </w:tcBorders>
            <w:shd w:val="clear" w:color="000000" w:fill="F2DCDB"/>
            <w:noWrap/>
            <w:vAlign w:val="center"/>
            <w:hideMark/>
          </w:tcPr>
          <w:p w14:paraId="54C391E4"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t>Enerģētiskā drošība</w:t>
            </w:r>
          </w:p>
        </w:tc>
        <w:tc>
          <w:tcPr>
            <w:tcW w:w="10879" w:type="dxa"/>
            <w:tcBorders>
              <w:top w:val="nil"/>
              <w:left w:val="nil"/>
              <w:bottom w:val="single" w:sz="4" w:space="0" w:color="auto"/>
              <w:right w:val="single" w:sz="4" w:space="0" w:color="auto"/>
            </w:tcBorders>
            <w:shd w:val="clear" w:color="auto" w:fill="auto"/>
            <w:hideMark/>
          </w:tcPr>
          <w:p w14:paraId="6DC0B0B1"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proofErr w:type="spellStart"/>
            <w:r w:rsidRPr="003F5B3C">
              <w:rPr>
                <w:rFonts w:eastAsia="Times New Roman" w:cs="Times New Roman"/>
                <w:b/>
                <w:bCs/>
                <w:color w:val="000000"/>
                <w:sz w:val="18"/>
                <w:szCs w:val="18"/>
                <w:lang w:eastAsia="lv-LV"/>
              </w:rPr>
              <w:t>Atkrastes</w:t>
            </w:r>
            <w:proofErr w:type="spellEnd"/>
            <w:r w:rsidRPr="003F5B3C">
              <w:rPr>
                <w:rFonts w:eastAsia="Times New Roman" w:cs="Times New Roman"/>
                <w:b/>
                <w:bCs/>
                <w:color w:val="000000"/>
                <w:sz w:val="18"/>
                <w:szCs w:val="18"/>
                <w:lang w:eastAsia="lv-LV"/>
              </w:rPr>
              <w:t xml:space="preserve"> vēja parku apkalpošanas termināļa izveide Ventspils ostā.</w:t>
            </w:r>
            <w:r w:rsidRPr="003F5B3C">
              <w:rPr>
                <w:rFonts w:eastAsia="Times New Roman" w:cs="Times New Roman"/>
                <w:color w:val="000000"/>
                <w:sz w:val="18"/>
                <w:szCs w:val="18"/>
                <w:lang w:eastAsia="lv-LV"/>
              </w:rPr>
              <w:br/>
              <w:t xml:space="preserve">Kopējās nepieciešamās investīcijas prognozētas 130-190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apmērā. Termināļa izveide ļautu ostai iesaistīties pilnīgi jaunā un šobrīd Latvijā nepastāvošā biznesa nišā – apkalpot </w:t>
            </w:r>
            <w:proofErr w:type="spellStart"/>
            <w:r w:rsidRPr="003F5B3C">
              <w:rPr>
                <w:rFonts w:eastAsia="Times New Roman" w:cs="Times New Roman"/>
                <w:color w:val="000000"/>
                <w:sz w:val="18"/>
                <w:szCs w:val="18"/>
                <w:lang w:eastAsia="lv-LV"/>
              </w:rPr>
              <w:t>atkrastes</w:t>
            </w:r>
            <w:proofErr w:type="spellEnd"/>
            <w:r w:rsidRPr="003F5B3C">
              <w:rPr>
                <w:rFonts w:eastAsia="Times New Roman" w:cs="Times New Roman"/>
                <w:color w:val="000000"/>
                <w:sz w:val="18"/>
                <w:szCs w:val="18"/>
                <w:lang w:eastAsia="lv-LV"/>
              </w:rPr>
              <w:t xml:space="preserve"> vēja parkus to būvniecības fāzē un kļūt par ražošanas bāzi vēja turbīnu </w:t>
            </w:r>
            <w:proofErr w:type="spellStart"/>
            <w:r w:rsidRPr="003F5B3C">
              <w:rPr>
                <w:rFonts w:eastAsia="Times New Roman" w:cs="Times New Roman"/>
                <w:color w:val="000000"/>
                <w:sz w:val="18"/>
                <w:szCs w:val="18"/>
                <w:lang w:eastAsia="lv-LV"/>
              </w:rPr>
              <w:t>negabarīta</w:t>
            </w:r>
            <w:proofErr w:type="spellEnd"/>
            <w:r w:rsidRPr="003F5B3C">
              <w:rPr>
                <w:rFonts w:eastAsia="Times New Roman" w:cs="Times New Roman"/>
                <w:color w:val="000000"/>
                <w:sz w:val="18"/>
                <w:szCs w:val="18"/>
                <w:lang w:eastAsia="lv-LV"/>
              </w:rPr>
              <w:t xml:space="preserve"> konstrukcijām. Projekts ir vērtējams kā nacionālas nozīmes.</w:t>
            </w:r>
          </w:p>
        </w:tc>
      </w:tr>
      <w:tr w:rsidR="00BF055E" w:rsidRPr="003F5B3C" w14:paraId="7E8EEEBB"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14CEAA3"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ED2192D"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6D1CA265"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Teritoriju un infrastruktūras enerģētiskās drošības nodrošināšana Liepājas ostā.</w:t>
            </w:r>
            <w:r w:rsidRPr="003F5B3C">
              <w:rPr>
                <w:rFonts w:eastAsia="Times New Roman" w:cs="Times New Roman"/>
                <w:color w:val="000000"/>
                <w:sz w:val="18"/>
                <w:szCs w:val="18"/>
                <w:lang w:eastAsia="lv-LV"/>
              </w:rPr>
              <w:t xml:space="preserve"> Kopējās investīciju vajadzības: 2 266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r w:rsidRPr="003F5B3C">
              <w:rPr>
                <w:rFonts w:eastAsia="Times New Roman" w:cs="Times New Roman"/>
                <w:color w:val="000000"/>
                <w:sz w:val="18"/>
                <w:szCs w:val="18"/>
                <w:lang w:eastAsia="lv-LV"/>
              </w:rPr>
              <w:br/>
              <w:t xml:space="preserve">Investīcijas ietver: ostas piestātņu elektrifikācija; ostas kapteiņa dienesta ēku kompleksa renovācija; priekšostas teritorijas attīstība (1. Paredzēts izveidot jaunu piestātni Liepājas ostā, no kuras tiktu nodrošināta nepieciešamo iekārtu nogādāšana Baltijas jūrā (vēja enerģijas parku būvniecībai); 2. Zaļā ūdeņraža rūpnīcas un eksporta termināļa izbūve Liepājas ostas teritorijā. Ražotnei paredzēts pieslēgt 1000 MW </w:t>
            </w:r>
            <w:proofErr w:type="spellStart"/>
            <w:r w:rsidRPr="003F5B3C">
              <w:rPr>
                <w:rFonts w:eastAsia="Times New Roman" w:cs="Times New Roman"/>
                <w:color w:val="000000"/>
                <w:sz w:val="18"/>
                <w:szCs w:val="18"/>
                <w:lang w:eastAsia="lv-LV"/>
              </w:rPr>
              <w:t>elektro</w:t>
            </w:r>
            <w:proofErr w:type="spellEnd"/>
            <w:r w:rsidRPr="003F5B3C">
              <w:rPr>
                <w:rFonts w:eastAsia="Times New Roman" w:cs="Times New Roman"/>
                <w:color w:val="000000"/>
                <w:sz w:val="18"/>
                <w:szCs w:val="18"/>
                <w:lang w:eastAsia="lv-LV"/>
              </w:rPr>
              <w:t xml:space="preserve"> jaudu, nodrošinot iespēju saražot aptuveni 150 000 t zaļā ūdeņraža gadā. Kā blakusprodukts lielā daudzumā radīsies siltums un O</w:t>
            </w:r>
            <w:r w:rsidRPr="003F5B3C">
              <w:rPr>
                <w:rFonts w:eastAsia="Times New Roman" w:cs="Times New Roman"/>
                <w:color w:val="000000"/>
                <w:sz w:val="18"/>
                <w:szCs w:val="18"/>
                <w:vertAlign w:val="subscript"/>
                <w:lang w:eastAsia="lv-LV"/>
              </w:rPr>
              <w:t>2</w:t>
            </w:r>
            <w:r w:rsidRPr="003F5B3C">
              <w:rPr>
                <w:rFonts w:eastAsia="Times New Roman" w:cs="Times New Roman"/>
                <w:color w:val="000000"/>
                <w:sz w:val="18"/>
                <w:szCs w:val="18"/>
                <w:lang w:eastAsia="lv-LV"/>
              </w:rPr>
              <w:t xml:space="preserve">; 3. Projekts SAF (angļu val. </w:t>
            </w:r>
            <w:proofErr w:type="spellStart"/>
            <w:r w:rsidRPr="003F5B3C">
              <w:rPr>
                <w:rFonts w:eastAsia="Times New Roman" w:cs="Times New Roman"/>
                <w:i/>
                <w:iCs/>
                <w:color w:val="000000"/>
                <w:sz w:val="18"/>
                <w:szCs w:val="18"/>
                <w:lang w:eastAsia="lv-LV"/>
              </w:rPr>
              <w:t>Sustainable</w:t>
            </w:r>
            <w:proofErr w:type="spellEnd"/>
            <w:r w:rsidRPr="003F5B3C">
              <w:rPr>
                <w:rFonts w:eastAsia="Times New Roman" w:cs="Times New Roman"/>
                <w:i/>
                <w:iCs/>
                <w:color w:val="000000"/>
                <w:sz w:val="18"/>
                <w:szCs w:val="18"/>
                <w:lang w:eastAsia="lv-LV"/>
              </w:rPr>
              <w:t xml:space="preserve"> Aviation </w:t>
            </w:r>
            <w:proofErr w:type="spellStart"/>
            <w:r w:rsidRPr="003F5B3C">
              <w:rPr>
                <w:rFonts w:eastAsia="Times New Roman" w:cs="Times New Roman"/>
                <w:i/>
                <w:iCs/>
                <w:color w:val="000000"/>
                <w:sz w:val="18"/>
                <w:szCs w:val="18"/>
                <w:lang w:eastAsia="lv-LV"/>
              </w:rPr>
              <w:t>Fuel</w:t>
            </w:r>
            <w:proofErr w:type="spellEnd"/>
            <w:r w:rsidRPr="003F5B3C">
              <w:rPr>
                <w:rFonts w:eastAsia="Times New Roman" w:cs="Times New Roman"/>
                <w:color w:val="000000"/>
                <w:sz w:val="18"/>
                <w:szCs w:val="18"/>
                <w:lang w:eastAsia="lv-LV"/>
              </w:rPr>
              <w:t xml:space="preserve">) rūpnīcas izbūve; 4. Izbūvēta ražotne, kurā tiktu komplektētas ar ūdeņradi darbināmās lidmašīnas. Liepājas lidostā varētu notikt lidaparātu testēšanas procesi; 5. Plānots uzstādīt oglekļa ķeršanas (angļu val. </w:t>
            </w:r>
            <w:proofErr w:type="spellStart"/>
            <w:r w:rsidRPr="003F5B3C">
              <w:rPr>
                <w:rFonts w:eastAsia="Times New Roman" w:cs="Times New Roman"/>
                <w:i/>
                <w:iCs/>
                <w:color w:val="000000"/>
                <w:sz w:val="18"/>
                <w:szCs w:val="18"/>
                <w:lang w:eastAsia="lv-LV"/>
              </w:rPr>
              <w:t>Carbon</w:t>
            </w:r>
            <w:proofErr w:type="spellEnd"/>
            <w:r w:rsidRPr="003F5B3C">
              <w:rPr>
                <w:rFonts w:eastAsia="Times New Roman" w:cs="Times New Roman"/>
                <w:i/>
                <w:iCs/>
                <w:color w:val="000000"/>
                <w:sz w:val="18"/>
                <w:szCs w:val="18"/>
                <w:lang w:eastAsia="lv-LV"/>
              </w:rPr>
              <w:t xml:space="preserve"> </w:t>
            </w:r>
            <w:proofErr w:type="spellStart"/>
            <w:r w:rsidRPr="003F5B3C">
              <w:rPr>
                <w:rFonts w:eastAsia="Times New Roman" w:cs="Times New Roman"/>
                <w:i/>
                <w:iCs/>
                <w:color w:val="000000"/>
                <w:sz w:val="18"/>
                <w:szCs w:val="18"/>
                <w:lang w:eastAsia="lv-LV"/>
              </w:rPr>
              <w:t>Capture</w:t>
            </w:r>
            <w:proofErr w:type="spellEnd"/>
            <w:r w:rsidRPr="003F5B3C">
              <w:rPr>
                <w:rFonts w:eastAsia="Times New Roman" w:cs="Times New Roman"/>
                <w:color w:val="000000"/>
                <w:sz w:val="18"/>
                <w:szCs w:val="18"/>
                <w:lang w:eastAsia="lv-LV"/>
              </w:rPr>
              <w:t>) aprīkojumu 800 000 t CO</w:t>
            </w:r>
            <w:r w:rsidRPr="003F5B3C">
              <w:rPr>
                <w:rFonts w:eastAsia="Times New Roman" w:cs="Times New Roman"/>
                <w:color w:val="000000"/>
                <w:sz w:val="18"/>
                <w:szCs w:val="18"/>
                <w:vertAlign w:val="subscript"/>
                <w:lang w:eastAsia="lv-LV"/>
              </w:rPr>
              <w:t>2</w:t>
            </w:r>
            <w:r w:rsidRPr="003F5B3C">
              <w:rPr>
                <w:rFonts w:eastAsia="Times New Roman" w:cs="Times New Roman"/>
                <w:color w:val="000000"/>
                <w:sz w:val="18"/>
                <w:szCs w:val="18"/>
                <w:lang w:eastAsia="lv-LV"/>
              </w:rPr>
              <w:t xml:space="preserve"> savākšanai, kuru turpmāk paredzēts vai nu nogādāt bijušajās gāzes atradnēs Baltijas vai Ziemeļjūrā noglabāšanai, vai izmantot kā izejvielu rūpniecībā. Nepieciešams izbūvēt CO</w:t>
            </w:r>
            <w:r w:rsidRPr="003F5B3C">
              <w:rPr>
                <w:rFonts w:eastAsia="Times New Roman" w:cs="Times New Roman"/>
                <w:color w:val="000000"/>
                <w:sz w:val="18"/>
                <w:szCs w:val="18"/>
                <w:vertAlign w:val="subscript"/>
                <w:lang w:eastAsia="lv-LV"/>
              </w:rPr>
              <w:t>2</w:t>
            </w:r>
            <w:r w:rsidRPr="003F5B3C">
              <w:rPr>
                <w:rFonts w:eastAsia="Times New Roman" w:cs="Times New Roman"/>
                <w:color w:val="000000"/>
                <w:sz w:val="18"/>
                <w:szCs w:val="18"/>
                <w:lang w:eastAsia="lv-LV"/>
              </w:rPr>
              <w:t xml:space="preserve"> maģistrālo cauruļvadu līdz Liepājas ostai, un izbūvēt ostā termināli).</w:t>
            </w:r>
          </w:p>
        </w:tc>
      </w:tr>
      <w:tr w:rsidR="00BF055E" w:rsidRPr="003F5B3C" w14:paraId="1210F237"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4C696775"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2B2C029"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1E829168"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Salacgrīvas ostas priekšostas būvniecība</w:t>
            </w:r>
            <w:r w:rsidRPr="003F5B3C">
              <w:rPr>
                <w:rFonts w:eastAsia="Times New Roman" w:cs="Times New Roman"/>
                <w:color w:val="000000"/>
                <w:sz w:val="18"/>
                <w:szCs w:val="18"/>
                <w:lang w:eastAsia="lv-LV"/>
              </w:rPr>
              <w:t xml:space="preserve">, t.sk. kuģu kanāla padziļināšana, </w:t>
            </w:r>
            <w:proofErr w:type="spellStart"/>
            <w:r w:rsidRPr="003F5B3C">
              <w:rPr>
                <w:rFonts w:eastAsia="Times New Roman" w:cs="Times New Roman"/>
                <w:color w:val="000000"/>
                <w:sz w:val="18"/>
                <w:szCs w:val="18"/>
                <w:lang w:eastAsia="lv-LV"/>
              </w:rPr>
              <w:t>atkrastes</w:t>
            </w:r>
            <w:proofErr w:type="spellEnd"/>
            <w:r w:rsidRPr="003F5B3C">
              <w:rPr>
                <w:rFonts w:eastAsia="Times New Roman" w:cs="Times New Roman"/>
                <w:color w:val="000000"/>
                <w:sz w:val="18"/>
                <w:szCs w:val="18"/>
                <w:lang w:eastAsia="lv-LV"/>
              </w:rPr>
              <w:t xml:space="preserve"> vēja parku apkalpošanai un attīstībai, investīcijas 25-120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5B18A8E7"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F28F1A3"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50CAC2E5"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0DA3AC60"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Rojas ostas priekšostas izbūve</w:t>
            </w:r>
            <w:r w:rsidRPr="003F5B3C">
              <w:rPr>
                <w:rFonts w:eastAsia="Times New Roman" w:cs="Times New Roman"/>
                <w:color w:val="000000"/>
                <w:sz w:val="18"/>
                <w:szCs w:val="18"/>
                <w:lang w:eastAsia="lv-LV"/>
              </w:rPr>
              <w:t xml:space="preserve">, t.sk. kuģu kanāla un akvatorija padziļināšana līdz 7,0 m; piestātņu un </w:t>
            </w:r>
            <w:proofErr w:type="spellStart"/>
            <w:r w:rsidRPr="003F5B3C">
              <w:rPr>
                <w:rFonts w:eastAsia="Times New Roman" w:cs="Times New Roman"/>
                <w:color w:val="000000"/>
                <w:sz w:val="18"/>
                <w:szCs w:val="18"/>
                <w:lang w:eastAsia="lv-LV"/>
              </w:rPr>
              <w:t>slipa</w:t>
            </w:r>
            <w:proofErr w:type="spellEnd"/>
            <w:r w:rsidRPr="003F5B3C">
              <w:rPr>
                <w:rFonts w:eastAsia="Times New Roman" w:cs="Times New Roman"/>
                <w:color w:val="000000"/>
                <w:sz w:val="18"/>
                <w:szCs w:val="18"/>
                <w:lang w:eastAsia="lv-LV"/>
              </w:rPr>
              <w:t xml:space="preserve"> izbūve, jaunas teritorijas (8 ha) izveide </w:t>
            </w:r>
            <w:proofErr w:type="spellStart"/>
            <w:r w:rsidRPr="003F5B3C">
              <w:rPr>
                <w:rFonts w:eastAsia="Times New Roman" w:cs="Times New Roman"/>
                <w:color w:val="000000"/>
                <w:sz w:val="18"/>
                <w:szCs w:val="18"/>
                <w:lang w:eastAsia="lv-LV"/>
              </w:rPr>
              <w:t>atkrastes</w:t>
            </w:r>
            <w:proofErr w:type="spellEnd"/>
            <w:r w:rsidRPr="003F5B3C">
              <w:rPr>
                <w:rFonts w:eastAsia="Times New Roman" w:cs="Times New Roman"/>
                <w:color w:val="000000"/>
                <w:sz w:val="18"/>
                <w:szCs w:val="18"/>
                <w:lang w:eastAsia="lv-LV"/>
              </w:rPr>
              <w:t xml:space="preserve"> vēja parku Rīgas jūras līcī apkalpošanas bāzes izveidei, investīcijas 25- 50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15A33A3F"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5C149170"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1C1C68A1"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08E6B465"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Baltijas valstu elektrotīklu sinhronizācija ar kontinentālo Eiropas tīklu </w:t>
            </w:r>
            <w:r w:rsidRPr="003F5B3C">
              <w:rPr>
                <w:rFonts w:eastAsia="Times New Roman" w:cs="Times New Roman"/>
                <w:color w:val="000000"/>
                <w:sz w:val="18"/>
                <w:szCs w:val="18"/>
                <w:lang w:eastAsia="lv-LV"/>
              </w:rPr>
              <w:t xml:space="preserve">– 60,3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607EF02C"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1FE352A"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04A6188"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408C46A5"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Pazemes gāzes krātuves modernizācija</w:t>
            </w:r>
            <w:r w:rsidRPr="003F5B3C">
              <w:rPr>
                <w:rFonts w:eastAsia="Times New Roman" w:cs="Times New Roman"/>
                <w:color w:val="000000"/>
                <w:sz w:val="18"/>
                <w:szCs w:val="18"/>
                <w:lang w:eastAsia="lv-LV"/>
              </w:rPr>
              <w:t xml:space="preserve"> – 88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4252B9A9"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0D0B41C"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19A4DC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7A64FDD"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Akumulācijas risinājumu īstenošanas lielas jaudas elektroenerģijas ražošanas stacijās </w:t>
            </w:r>
            <w:r w:rsidRPr="003F5B3C">
              <w:rPr>
                <w:rFonts w:eastAsia="Times New Roman" w:cs="Times New Roman"/>
                <w:color w:val="000000"/>
                <w:sz w:val="18"/>
                <w:szCs w:val="18"/>
                <w:lang w:eastAsia="lv-LV"/>
              </w:rPr>
              <w:t xml:space="preserve">– 20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05DB699D"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AA9634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F52A7A8"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30F6C474"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Elektroenerģijas uzkrāšanas tehnoloģiju izmantošana komersantos un privātpersonām</w:t>
            </w:r>
            <w:r w:rsidRPr="003F5B3C">
              <w:rPr>
                <w:rFonts w:eastAsia="Times New Roman" w:cs="Times New Roman"/>
                <w:color w:val="000000"/>
                <w:sz w:val="18"/>
                <w:szCs w:val="18"/>
                <w:lang w:eastAsia="lv-LV"/>
              </w:rPr>
              <w:t xml:space="preserve"> – 60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04013541" w14:textId="77777777" w:rsidTr="003B1594">
        <w:trPr>
          <w:trHeight w:val="20"/>
          <w:jc w:val="center"/>
        </w:trPr>
        <w:tc>
          <w:tcPr>
            <w:tcW w:w="0" w:type="auto"/>
            <w:vMerge w:val="restart"/>
            <w:tcBorders>
              <w:top w:val="nil"/>
              <w:left w:val="single" w:sz="4" w:space="0" w:color="auto"/>
              <w:bottom w:val="single" w:sz="4" w:space="0" w:color="auto"/>
              <w:right w:val="single" w:sz="4" w:space="0" w:color="auto"/>
            </w:tcBorders>
            <w:shd w:val="clear" w:color="000000" w:fill="95B3D7"/>
            <w:noWrap/>
            <w:vAlign w:val="center"/>
            <w:hideMark/>
          </w:tcPr>
          <w:p w14:paraId="4D6F6CD9"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lastRenderedPageBreak/>
              <w:t>4</w:t>
            </w:r>
          </w:p>
        </w:tc>
        <w:tc>
          <w:tcPr>
            <w:tcW w:w="3210" w:type="dxa"/>
            <w:vMerge w:val="restart"/>
            <w:tcBorders>
              <w:top w:val="nil"/>
              <w:left w:val="single" w:sz="4" w:space="0" w:color="auto"/>
              <w:bottom w:val="single" w:sz="4" w:space="0" w:color="auto"/>
              <w:right w:val="single" w:sz="4" w:space="0" w:color="auto"/>
            </w:tcBorders>
            <w:shd w:val="clear" w:color="000000" w:fill="F2DCDB"/>
            <w:noWrap/>
            <w:vAlign w:val="center"/>
            <w:hideMark/>
          </w:tcPr>
          <w:p w14:paraId="46AF9F3E" w14:textId="77777777" w:rsidR="00BF055E" w:rsidRPr="003F5B3C" w:rsidRDefault="00BF055E" w:rsidP="006357B3">
            <w:pPr>
              <w:spacing w:after="0" w:line="240" w:lineRule="auto"/>
              <w:ind w:firstLine="0"/>
              <w:jc w:val="center"/>
              <w:rPr>
                <w:rFonts w:eastAsia="Times New Roman" w:cs="Times New Roman"/>
                <w:b/>
                <w:bCs/>
                <w:color w:val="000000"/>
                <w:sz w:val="18"/>
                <w:szCs w:val="18"/>
                <w:lang w:eastAsia="lv-LV"/>
              </w:rPr>
            </w:pPr>
            <w:r w:rsidRPr="003F5B3C">
              <w:rPr>
                <w:rFonts w:eastAsia="Times New Roman" w:cs="Times New Roman"/>
                <w:b/>
                <w:bCs/>
                <w:color w:val="000000"/>
                <w:sz w:val="18"/>
                <w:szCs w:val="18"/>
                <w:lang w:eastAsia="lv-LV"/>
              </w:rPr>
              <w:t>Aizsardzības spēju palielināšana</w:t>
            </w:r>
          </w:p>
        </w:tc>
        <w:tc>
          <w:tcPr>
            <w:tcW w:w="10879" w:type="dxa"/>
            <w:tcBorders>
              <w:top w:val="nil"/>
              <w:left w:val="nil"/>
              <w:bottom w:val="single" w:sz="4" w:space="0" w:color="auto"/>
              <w:right w:val="single" w:sz="4" w:space="0" w:color="auto"/>
            </w:tcBorders>
            <w:shd w:val="clear" w:color="auto" w:fill="auto"/>
            <w:vAlign w:val="bottom"/>
            <w:hideMark/>
          </w:tcPr>
          <w:p w14:paraId="5A7CE244"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Patvertņu un vietu, kur var patverties, atjaunošana un izveidošana.</w:t>
            </w:r>
            <w:r w:rsidRPr="003F5B3C">
              <w:rPr>
                <w:rFonts w:eastAsia="Times New Roman" w:cs="Times New Roman"/>
                <w:color w:val="000000"/>
                <w:sz w:val="18"/>
                <w:szCs w:val="18"/>
                <w:lang w:eastAsia="lv-LV"/>
              </w:rPr>
              <w:br/>
              <w:t xml:space="preserve">Nepieciešamais finansējums 2025. – 2028. gadā ik gadu 9 867 990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r w:rsidRPr="003F5B3C">
              <w:rPr>
                <w:rFonts w:eastAsia="Times New Roman" w:cs="Times New Roman"/>
                <w:color w:val="000000"/>
                <w:sz w:val="18"/>
                <w:szCs w:val="18"/>
                <w:lang w:eastAsia="lv-LV"/>
              </w:rPr>
              <w:br/>
              <w:t xml:space="preserve">2029.- 2034. gadā 59 207 940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Paredzēts nodrošināt patvertņu (312) un vietu, kur var patverties (1249), atjaunošanu un izveidošanu cilvēku aizsardzībai kara, militāra iebrukuma un katastrofu gadījumos. Pasākuma ietvaros tiks veidota drošāka vide, proti, cilvēkiem būs pieejamas vietas, kur patverties kara, militāra iebrukuma vai cita apdraudējuma gadījumā un pasargāt sevi no postošiem faktoriem, piemēram, sprādziena triecienviļņa, šķembām, lodēm, stiklu lauskām, radioaktīvā piesārņojuma.</w:t>
            </w:r>
          </w:p>
        </w:tc>
      </w:tr>
      <w:tr w:rsidR="00BF055E" w:rsidRPr="003F5B3C" w14:paraId="7FF2AC76"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D64BD5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5CC01AA1"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50CA6788"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15 jaunu katastrofu pārvaldīšanas centru būvniecība.</w:t>
            </w:r>
            <w:r w:rsidRPr="003F5B3C">
              <w:rPr>
                <w:rFonts w:eastAsia="Times New Roman" w:cs="Times New Roman"/>
                <w:color w:val="000000"/>
                <w:sz w:val="18"/>
                <w:szCs w:val="18"/>
                <w:lang w:eastAsia="lv-LV"/>
              </w:rPr>
              <w:br/>
              <w:t xml:space="preserve">Nepieciešamais finansējums 2025. gadā 31 463 376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 gadā 67 069 762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2027. gadā 14 296 068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gadā 8 592 726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Lai nodrošinātu visaptverošu valsts aizsardzības sistēmu un efektīvu, ātru un kvalitatīvu katastrofu pārvaldībā iesaistīto dienestu sadarbību un koordināciju, nepieciešams papildu izbūvēt 15 jaunus katastrofu pārvaldības centrus, tajos izvietojot tajā skaitā Valsts ugunsdzēsības un glābšanas dienesta depo. Katastrofu pārvaldības centru būvniecības plānošanā ievērots reģionālais princips, plānojot būvniecību prioritāri tajās vietās, kur ir visvairāk izsaukumu un lielāks sabiedrības īpatsvars. </w:t>
            </w:r>
          </w:p>
        </w:tc>
      </w:tr>
      <w:tr w:rsidR="00BF055E" w:rsidRPr="003F5B3C" w14:paraId="1A1D9EA7"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BCF25D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74EAEC5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3799387"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Infrastruktūras izveide </w:t>
            </w:r>
            <w:proofErr w:type="spellStart"/>
            <w:r w:rsidRPr="003F5B3C">
              <w:rPr>
                <w:rFonts w:eastAsia="Times New Roman" w:cs="Times New Roman"/>
                <w:b/>
                <w:bCs/>
                <w:color w:val="000000"/>
                <w:sz w:val="18"/>
                <w:szCs w:val="18"/>
                <w:lang w:eastAsia="lv-LV"/>
              </w:rPr>
              <w:t>iekšlietu</w:t>
            </w:r>
            <w:proofErr w:type="spellEnd"/>
            <w:r w:rsidRPr="003F5B3C">
              <w:rPr>
                <w:rFonts w:eastAsia="Times New Roman" w:cs="Times New Roman"/>
                <w:b/>
                <w:bCs/>
                <w:color w:val="000000"/>
                <w:sz w:val="18"/>
                <w:szCs w:val="18"/>
                <w:lang w:eastAsia="lv-LV"/>
              </w:rPr>
              <w:t xml:space="preserve"> dienestu reaģēšanas spēju stiprināšanai.</w:t>
            </w:r>
            <w:r w:rsidRPr="003F5B3C">
              <w:rPr>
                <w:rFonts w:eastAsia="Times New Roman" w:cs="Times New Roman"/>
                <w:color w:val="000000"/>
                <w:sz w:val="18"/>
                <w:szCs w:val="18"/>
                <w:lang w:eastAsia="lv-LV"/>
              </w:rPr>
              <w:br/>
              <w:t xml:space="preserve">Nepieciešamais finansējums 2025. gadā 2 533 070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 gadā 34 268 667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2027. gadā 32 611 049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gadā 116 645 002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gadā 36 875 460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Lai nodrošinātu </w:t>
            </w:r>
            <w:proofErr w:type="spellStart"/>
            <w:r w:rsidRPr="003F5B3C">
              <w:rPr>
                <w:rFonts w:eastAsia="Times New Roman" w:cs="Times New Roman"/>
                <w:color w:val="000000"/>
                <w:sz w:val="18"/>
                <w:szCs w:val="18"/>
                <w:lang w:eastAsia="lv-LV"/>
              </w:rPr>
              <w:t>iekšlietu</w:t>
            </w:r>
            <w:proofErr w:type="spellEnd"/>
            <w:r w:rsidRPr="003F5B3C">
              <w:rPr>
                <w:rFonts w:eastAsia="Times New Roman" w:cs="Times New Roman"/>
                <w:color w:val="000000"/>
                <w:sz w:val="18"/>
                <w:szCs w:val="18"/>
                <w:lang w:eastAsia="lv-LV"/>
              </w:rPr>
              <w:t xml:space="preserve"> dienestu kapacitāti pildīt starptautiskās saistības meklēšanas un glābšanas jomā, kā arī paaugstinātu reaģēšanas spējas un operatīvu rīcību jebkura apdraudējuma situācijā, tostarp terorakta un militāra iebrukuma gadījumā, nepieciešama infrastruktūra, kas atbilstu kritiskās infrastruktūras objekta prasībām. Turklāt nepieciešami arī civilās aviācijas drošības standartiem atbilstoši vidējās klases gaisa kuģi – helikopteri un atbilstoša infrastruktūra to uzglabāšanai, uzturēšanai, kā arī attiecīgi apmācīts personāls.</w:t>
            </w:r>
          </w:p>
        </w:tc>
      </w:tr>
      <w:tr w:rsidR="00BF055E" w:rsidRPr="003F5B3C" w14:paraId="7356CB5C"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D5C22D6"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52B17875"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D66FF23"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Jaunas ēkas būvniecība konsorcija "Iekšējās drošības akadēmija" vajadzībām.</w:t>
            </w:r>
            <w:r w:rsidRPr="003F5B3C">
              <w:rPr>
                <w:rFonts w:eastAsia="Times New Roman" w:cs="Times New Roman"/>
                <w:color w:val="000000"/>
                <w:sz w:val="18"/>
                <w:szCs w:val="18"/>
                <w:lang w:eastAsia="lv-LV"/>
              </w:rPr>
              <w:br/>
              <w:t xml:space="preserve">Nepieciešamais finansējums 2025. gadā 1 653 119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 gadā 2 406 833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w:t>
            </w:r>
            <w:r w:rsidRPr="003F5B3C">
              <w:rPr>
                <w:rFonts w:eastAsia="Times New Roman" w:cs="Times New Roman"/>
                <w:color w:val="000000"/>
                <w:sz w:val="18"/>
                <w:szCs w:val="18"/>
                <w:lang w:eastAsia="lv-LV"/>
              </w:rPr>
              <w:br/>
              <w:t xml:space="preserve">2027. gadā 5 341 537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gadā 6 854 635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2029. – 2034.gadā 61 850 790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Starp </w:t>
            </w:r>
            <w:proofErr w:type="spellStart"/>
            <w:r w:rsidRPr="003F5B3C">
              <w:rPr>
                <w:rFonts w:eastAsia="Times New Roman" w:cs="Times New Roman"/>
                <w:color w:val="000000"/>
                <w:sz w:val="18"/>
                <w:szCs w:val="18"/>
                <w:lang w:eastAsia="lv-LV"/>
              </w:rPr>
              <w:t>Iekšlietu</w:t>
            </w:r>
            <w:proofErr w:type="spellEnd"/>
            <w:r w:rsidRPr="003F5B3C">
              <w:rPr>
                <w:rFonts w:eastAsia="Times New Roman" w:cs="Times New Roman"/>
                <w:color w:val="000000"/>
                <w:sz w:val="18"/>
                <w:szCs w:val="18"/>
                <w:lang w:eastAsia="lv-LV"/>
              </w:rPr>
              <w:t xml:space="preserve"> ministriju, Valsts policijas koledžu, Rīgas Stradiņa universitāti un Latvijas Universitāti tika izveidots konsorcijs “Iekšējās drošības akadēmija”. Iekšējās drošības akadēmijas vajadzībām nepieciešama infrastruktūras izveide un modernizācija Ezermalas ielā 10D, Rīgā, kur patlaban atrodas Valsts policijas koledža. Plānots būvēt jaunu mācību korpusu, veidot </w:t>
            </w:r>
            <w:proofErr w:type="spellStart"/>
            <w:r w:rsidRPr="003F5B3C">
              <w:rPr>
                <w:rFonts w:eastAsia="Times New Roman" w:cs="Times New Roman"/>
                <w:color w:val="000000"/>
                <w:sz w:val="18"/>
                <w:szCs w:val="18"/>
                <w:lang w:eastAsia="lv-LV"/>
              </w:rPr>
              <w:t>kiberpoligonu</w:t>
            </w:r>
            <w:proofErr w:type="spellEnd"/>
            <w:r w:rsidRPr="003F5B3C">
              <w:rPr>
                <w:rFonts w:eastAsia="Times New Roman" w:cs="Times New Roman"/>
                <w:color w:val="000000"/>
                <w:sz w:val="18"/>
                <w:szCs w:val="18"/>
                <w:lang w:eastAsia="lv-LV"/>
              </w:rPr>
              <w:t xml:space="preserve"> un taktisko poligonu. Tāpat plānots būvēt 640 m² lielu šautuvi, sporta laukumu, kā arī pārbūvēt ieroču un bruņojuma glabātavu.</w:t>
            </w:r>
          </w:p>
        </w:tc>
      </w:tr>
      <w:tr w:rsidR="00BF055E" w:rsidRPr="003F5B3C" w14:paraId="23CA1CC9"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3C48D1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666AC1E"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BE5A3D0"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proofErr w:type="spellStart"/>
            <w:r w:rsidRPr="003F5B3C">
              <w:rPr>
                <w:rFonts w:eastAsia="Times New Roman" w:cs="Times New Roman"/>
                <w:b/>
                <w:bCs/>
                <w:color w:val="000000"/>
                <w:sz w:val="18"/>
                <w:szCs w:val="18"/>
                <w:lang w:eastAsia="lv-LV"/>
              </w:rPr>
              <w:t>Klimatneitrālas</w:t>
            </w:r>
            <w:proofErr w:type="spellEnd"/>
            <w:r w:rsidRPr="003F5B3C">
              <w:rPr>
                <w:rFonts w:eastAsia="Times New Roman" w:cs="Times New Roman"/>
                <w:b/>
                <w:bCs/>
                <w:color w:val="000000"/>
                <w:sz w:val="18"/>
                <w:szCs w:val="18"/>
                <w:lang w:eastAsia="lv-LV"/>
              </w:rPr>
              <w:t xml:space="preserve"> un kuģošanas drošībai atbilstošas </w:t>
            </w:r>
            <w:proofErr w:type="spellStart"/>
            <w:r w:rsidRPr="003F5B3C">
              <w:rPr>
                <w:rFonts w:eastAsia="Times New Roman" w:cs="Times New Roman"/>
                <w:b/>
                <w:bCs/>
                <w:color w:val="000000"/>
                <w:sz w:val="18"/>
                <w:szCs w:val="18"/>
                <w:lang w:eastAsia="lv-LV"/>
              </w:rPr>
              <w:t>palīgflotes</w:t>
            </w:r>
            <w:proofErr w:type="spellEnd"/>
            <w:r w:rsidRPr="003F5B3C">
              <w:rPr>
                <w:rFonts w:eastAsia="Times New Roman" w:cs="Times New Roman"/>
                <w:b/>
                <w:bCs/>
                <w:color w:val="000000"/>
                <w:sz w:val="18"/>
                <w:szCs w:val="18"/>
                <w:lang w:eastAsia="lv-LV"/>
              </w:rPr>
              <w:t xml:space="preserve"> izveide Rīgas ostā</w:t>
            </w:r>
            <w:r w:rsidRPr="003F5B3C">
              <w:rPr>
                <w:rFonts w:eastAsia="Times New Roman" w:cs="Times New Roman"/>
                <w:color w:val="000000"/>
                <w:sz w:val="18"/>
                <w:szCs w:val="18"/>
                <w:lang w:eastAsia="lv-LV"/>
              </w:rPr>
              <w:t xml:space="preserve">. Projekta ieceres kopējai īstenošanai nepieciešamais papildu finansējums - aptuveni 100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Projekta mērķis droša un ilgtspējīga kuģu apkalpošanas infrastruktūra, nodrošināta ostas tehniskās flotes atbilstība kuģu satiksmes intensitātei, samazinās ar kuģošanu saistīto negadījumu skaits ostā, mazinās Rīgas brīvostas darbības ietekmi uz vidi. Paredzēta pakāpeniska esošās ostas tehniskās flotes nomaiņa pret jaunu, modernu, videi draudzīgāku un </w:t>
            </w:r>
            <w:proofErr w:type="spellStart"/>
            <w:r w:rsidRPr="003F5B3C">
              <w:rPr>
                <w:rFonts w:eastAsia="Times New Roman" w:cs="Times New Roman"/>
                <w:color w:val="000000"/>
                <w:sz w:val="18"/>
                <w:szCs w:val="18"/>
                <w:lang w:eastAsia="lv-LV"/>
              </w:rPr>
              <w:t>multifunkcionāli</w:t>
            </w:r>
            <w:proofErr w:type="spellEnd"/>
            <w:r w:rsidRPr="003F5B3C">
              <w:rPr>
                <w:rFonts w:eastAsia="Times New Roman" w:cs="Times New Roman"/>
                <w:color w:val="000000"/>
                <w:sz w:val="18"/>
                <w:szCs w:val="18"/>
                <w:lang w:eastAsia="lv-LV"/>
              </w:rPr>
              <w:t xml:space="preserve"> (tai skaitā militārās mobilitātes funkcijām) izmantojamu floti. </w:t>
            </w:r>
          </w:p>
        </w:tc>
      </w:tr>
      <w:tr w:rsidR="00BF055E" w:rsidRPr="003F5B3C" w14:paraId="31FA0A13"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BBF03AB"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9FC76E4"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3569AC0C"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Molu rekonstrukcija Rīgas ostā.</w:t>
            </w:r>
            <w:r w:rsidRPr="003F5B3C">
              <w:rPr>
                <w:rFonts w:eastAsia="Times New Roman" w:cs="Times New Roman"/>
                <w:color w:val="000000"/>
                <w:sz w:val="18"/>
                <w:szCs w:val="18"/>
                <w:lang w:eastAsia="lv-LV"/>
              </w:rPr>
              <w:t xml:space="preserve"> Nepieciešamais finansējums – aptuveni 64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Rīgas ostas Austrumu mols un Rietumu mols ir vienas no ostas svarīgākajām hidrotehniskajām būvēm, kas norobežo ostas akvatoriju no Rīgas līča straumēm, smilšu sanesumiem un citiem faktoriem, nodrošinot ostas galvenā kuģošanas kanāla izveidoto parametru (platumu un dziļumu) uzturēšanu. Lai uzlabotu ostas infrastruktūru un nodrošinātu to labu tehnisko stāvokli un uzlabotu kuģošanas drošību ir nepieciešams veikt molu rekonstrukciju. </w:t>
            </w:r>
          </w:p>
        </w:tc>
      </w:tr>
      <w:tr w:rsidR="00BF055E" w:rsidRPr="003F5B3C" w14:paraId="62DDDA84"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06139D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0CF4DD20"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28D3DD4F"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Ostas akvatorijas padziļināšana Rīgas ostā. </w:t>
            </w:r>
            <w:r w:rsidRPr="003F5B3C">
              <w:rPr>
                <w:rFonts w:eastAsia="Times New Roman" w:cs="Times New Roman"/>
                <w:color w:val="000000"/>
                <w:sz w:val="18"/>
                <w:szCs w:val="18"/>
                <w:lang w:eastAsia="lv-LV"/>
              </w:rPr>
              <w:br/>
              <w:t xml:space="preserve">Projekta ieceres kopējai īstenošanai nepieciešamais finansējums – aptuveni 31,2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Lai uzlabotu ostas kuģošanas drošību, aizsardzības spējas un kuģu satiksmes intensitāti, ir jānodrošina kuģu kanālu patstāvīga uzturēšana un attīstība, veicot kuģu ceļu paplašināšanas un padziļināšanas darbus. Projekta mērķis ir paplašināt un padziļināt Rīgas ostas galveno kuģu ceļu no 100 m līdz 150 m, lai nodrošinātu visu tipu kuģu, kas var ienākt Baltijas jūrā drošu apkalpošanu Rīgas ostā, tajā skaitā, paredzot ostas kuģu kanāla padziļināšanu un rekonstrukciju – Daugavgrīvas-</w:t>
            </w:r>
            <w:proofErr w:type="spellStart"/>
            <w:r w:rsidRPr="003F5B3C">
              <w:rPr>
                <w:rFonts w:eastAsia="Times New Roman" w:cs="Times New Roman"/>
                <w:color w:val="000000"/>
                <w:sz w:val="18"/>
                <w:szCs w:val="18"/>
                <w:lang w:eastAsia="lv-LV"/>
              </w:rPr>
              <w:t>Rīnūžu</w:t>
            </w:r>
            <w:proofErr w:type="spellEnd"/>
            <w:r w:rsidRPr="003F5B3C">
              <w:rPr>
                <w:rFonts w:eastAsia="Times New Roman" w:cs="Times New Roman"/>
                <w:color w:val="000000"/>
                <w:sz w:val="18"/>
                <w:szCs w:val="18"/>
                <w:lang w:eastAsia="lv-LV"/>
              </w:rPr>
              <w:t xml:space="preserve">-Mangaļu kuģu kanālu padziļināšana līdz 16,0-17,0 m; Baltās baznīcas kuģu kanāla padziļināšana līdz 15,5 m. </w:t>
            </w:r>
          </w:p>
        </w:tc>
      </w:tr>
      <w:tr w:rsidR="00BF055E" w:rsidRPr="003F5B3C" w14:paraId="551A2378"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414EA58"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16F1D7D"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7ECB376C"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Sava padziļināšanas kuģa iegāde Ventspils ostai. </w:t>
            </w:r>
            <w:r w:rsidRPr="003F5B3C">
              <w:rPr>
                <w:rFonts w:eastAsia="Times New Roman" w:cs="Times New Roman"/>
                <w:color w:val="000000"/>
                <w:sz w:val="18"/>
                <w:szCs w:val="18"/>
                <w:lang w:eastAsia="lv-LV"/>
              </w:rPr>
              <w:br/>
              <w:t xml:space="preserve">Nepieciešamas 25 milj.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investīcijas. Krītoties kravu apgrozījumam Latvijas ostās, nepieciešamajā apjomā pastāvīgi nav iespējams nodrošināt </w:t>
            </w:r>
            <w:r w:rsidRPr="003F5B3C">
              <w:rPr>
                <w:rFonts w:eastAsia="Times New Roman" w:cs="Times New Roman"/>
                <w:color w:val="000000"/>
                <w:sz w:val="18"/>
                <w:szCs w:val="18"/>
                <w:lang w:eastAsia="lv-LV"/>
              </w:rPr>
              <w:lastRenderedPageBreak/>
              <w:t>padziļināšanas pakalpojuma piesaisti un atbildošu dziļumu uzturēšanu. Gan pastāvīgai darbībai, gan īpaši ārkārtas situācijām būtu nepieciešama sava padziļināšanas kuģa iegāde, kas nodrošinātu nepieciešamā dziļuma uzturēšanu Latvijas ostās.</w:t>
            </w:r>
          </w:p>
        </w:tc>
      </w:tr>
      <w:tr w:rsidR="00BF055E" w:rsidRPr="003F5B3C" w14:paraId="45EE6739"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6CF8889"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2B5D6B9"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54FB40B6"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Liepājas ostas teritoriju un infrastruktūras aizsardzības spēju nodrošināšana/ palielināšana. </w:t>
            </w:r>
            <w:r w:rsidRPr="003F5B3C">
              <w:rPr>
                <w:rFonts w:eastAsia="Times New Roman" w:cs="Times New Roman"/>
                <w:color w:val="000000"/>
                <w:sz w:val="18"/>
                <w:szCs w:val="18"/>
                <w:lang w:eastAsia="lv-LV"/>
              </w:rPr>
              <w:t>Kopējās investīciju vajadzības: 163 milj</w:t>
            </w:r>
            <w:r>
              <w:rPr>
                <w:rFonts w:eastAsia="Times New Roman" w:cs="Times New Roman"/>
                <w:color w:val="000000"/>
                <w:sz w:val="18"/>
                <w:szCs w:val="18"/>
                <w:lang w:eastAsia="lv-LV"/>
              </w:rPr>
              <w:t xml:space="preserve">.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Investīcijās ietilpst:</w:t>
            </w:r>
            <w:r w:rsidRPr="003F5B3C">
              <w:rPr>
                <w:rFonts w:eastAsia="Times New Roman" w:cs="Times New Roman"/>
                <w:color w:val="000000"/>
                <w:sz w:val="18"/>
                <w:szCs w:val="18"/>
                <w:lang w:eastAsia="lv-LV"/>
              </w:rPr>
              <w:br/>
              <w:t>-Dzelzceļa un autoceļa pievedceļu izbūve Karostā;</w:t>
            </w:r>
            <w:r w:rsidRPr="003F5B3C">
              <w:rPr>
                <w:rFonts w:eastAsia="Times New Roman" w:cs="Times New Roman"/>
                <w:color w:val="000000"/>
                <w:sz w:val="18"/>
                <w:szCs w:val="18"/>
                <w:lang w:eastAsia="lv-LV"/>
              </w:rPr>
              <w:br/>
              <w:t>-Jauna paceļamā tilta izbūve Karostā;</w:t>
            </w:r>
            <w:r w:rsidRPr="003F5B3C">
              <w:rPr>
                <w:rFonts w:eastAsia="Times New Roman" w:cs="Times New Roman"/>
                <w:color w:val="000000"/>
                <w:sz w:val="18"/>
                <w:szCs w:val="18"/>
                <w:lang w:eastAsia="lv-LV"/>
              </w:rPr>
              <w:br/>
              <w:t>-Militārā mobilitātes nodrošināšana (ostas piestātņu rekonstrukcija/ pārbūve, pievedceļu attīstība, u.c.);</w:t>
            </w:r>
            <w:r w:rsidRPr="003F5B3C">
              <w:rPr>
                <w:rFonts w:eastAsia="Times New Roman" w:cs="Times New Roman"/>
                <w:color w:val="000000"/>
                <w:sz w:val="18"/>
                <w:szCs w:val="18"/>
                <w:lang w:eastAsia="lv-LV"/>
              </w:rPr>
              <w:br/>
              <w:t>-Lidostas infrastruktūras attīstība (skrejceļa pagarināšana, termināļa būvniecība, u.c.);</w:t>
            </w:r>
            <w:r w:rsidRPr="003F5B3C">
              <w:rPr>
                <w:rFonts w:eastAsia="Times New Roman" w:cs="Times New Roman"/>
                <w:color w:val="000000"/>
                <w:sz w:val="18"/>
                <w:szCs w:val="18"/>
                <w:lang w:eastAsia="lv-LV"/>
              </w:rPr>
              <w:br/>
              <w:t>-Kritiskās infrastruktūras aizsardzība, kas vērsta uz potenciālo sabotāžas gadījumu mazināšanu elektroenerģijas punktiem, dzelzceļam u.c. kritiskās infrastruktūras objektiem.</w:t>
            </w:r>
          </w:p>
        </w:tc>
      </w:tr>
      <w:tr w:rsidR="00BF055E" w:rsidRPr="003F5B3C" w14:paraId="149DD383"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5FADF21"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44EE4A1"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41A5E70E"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Aizsardzības spēju palielināšana 2025.-2028. gadam</w:t>
            </w:r>
            <w:r w:rsidRPr="003F5B3C">
              <w:rPr>
                <w:rFonts w:eastAsia="Times New Roman" w:cs="Times New Roman"/>
                <w:color w:val="000000"/>
                <w:sz w:val="18"/>
                <w:szCs w:val="18"/>
                <w:lang w:eastAsia="lv-LV"/>
              </w:rPr>
              <w:t xml:space="preserve">, nepieciešama, lai attīstītu Nacionālo bruņoto spēku pasākumu kopumu, kas primāri vērsts uz valsts apdraudējuma pārvarēšanu. 2025. gadam – 73 250 000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2026. gadam – 208 190 000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2027. gadam 121 100 000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 xml:space="preserve">, 2028. gadam 147 600 000 </w:t>
            </w:r>
            <w:proofErr w:type="spellStart"/>
            <w:r w:rsidRPr="003F5B3C">
              <w:rPr>
                <w:rFonts w:eastAsia="Times New Roman" w:cs="Times New Roman"/>
                <w:i/>
                <w:color w:val="000000"/>
                <w:sz w:val="18"/>
                <w:szCs w:val="18"/>
                <w:lang w:eastAsia="lv-LV"/>
              </w:rPr>
              <w:t>euro</w:t>
            </w:r>
            <w:proofErr w:type="spellEnd"/>
            <w:r w:rsidRPr="003F5B3C">
              <w:rPr>
                <w:rFonts w:eastAsia="Times New Roman" w:cs="Times New Roman"/>
                <w:color w:val="000000"/>
                <w:sz w:val="18"/>
                <w:szCs w:val="18"/>
                <w:lang w:eastAsia="lv-LV"/>
              </w:rPr>
              <w:t>.</w:t>
            </w:r>
          </w:p>
        </w:tc>
      </w:tr>
      <w:tr w:rsidR="00BF055E" w:rsidRPr="003F5B3C" w14:paraId="4C4BE7E5"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5C810C0"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67374627"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4E8B2D0B" w14:textId="53B2EEAC"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Jaunas meža ugunsdzēsības staciju un specializētā autotransporta novietņu izbūve.</w:t>
            </w:r>
            <w:r w:rsidRPr="003F5B3C">
              <w:rPr>
                <w:rFonts w:eastAsia="Times New Roman" w:cs="Times New Roman"/>
                <w:color w:val="000000"/>
                <w:sz w:val="18"/>
                <w:szCs w:val="18"/>
                <w:lang w:eastAsia="lv-LV"/>
              </w:rPr>
              <w:t xml:space="preserve"> </w:t>
            </w:r>
            <w:r w:rsidR="00476C44">
              <w:rPr>
                <w:rFonts w:eastAsia="Times New Roman" w:cs="Times New Roman"/>
                <w:color w:val="000000"/>
                <w:sz w:val="18"/>
                <w:szCs w:val="18"/>
                <w:lang w:eastAsia="lv-LV"/>
              </w:rPr>
              <w:t>M</w:t>
            </w:r>
            <w:r w:rsidR="00476C44" w:rsidRPr="00476C44">
              <w:rPr>
                <w:rFonts w:eastAsia="Times New Roman" w:cs="Times New Roman"/>
                <w:color w:val="000000"/>
                <w:sz w:val="18"/>
                <w:szCs w:val="18"/>
                <w:lang w:eastAsia="lv-LV"/>
              </w:rPr>
              <w:t>eža ugunsdzēsības stacij</w:t>
            </w:r>
            <w:r w:rsidR="00476C44">
              <w:rPr>
                <w:rFonts w:eastAsia="Times New Roman" w:cs="Times New Roman"/>
                <w:color w:val="000000"/>
                <w:sz w:val="18"/>
                <w:szCs w:val="18"/>
                <w:lang w:eastAsia="lv-LV"/>
              </w:rPr>
              <w:t>as</w:t>
            </w:r>
            <w:r w:rsidRPr="003F5B3C">
              <w:rPr>
                <w:rFonts w:eastAsia="Times New Roman" w:cs="Times New Roman"/>
                <w:color w:val="000000"/>
                <w:sz w:val="18"/>
                <w:szCs w:val="18"/>
                <w:lang w:eastAsia="lv-LV"/>
              </w:rPr>
              <w:t xml:space="preserve"> ir noteiktas kā nozares D kategorijas kritiskā infrastruktūra, kuru darbība ir jānodrošina izsludināta izņēmuma stāvokļa vai kara laikā. Lai nodrošinātu operatīvu darbību, plānošanas periodā </w:t>
            </w:r>
            <w:r w:rsidR="00476C44" w:rsidRPr="00476C44">
              <w:rPr>
                <w:rFonts w:eastAsia="Times New Roman" w:cs="Times New Roman"/>
                <w:color w:val="000000"/>
                <w:sz w:val="18"/>
                <w:szCs w:val="18"/>
                <w:lang w:eastAsia="lv-LV"/>
              </w:rPr>
              <w:t>Valsts meža dienest</w:t>
            </w:r>
            <w:r w:rsidR="00476C44">
              <w:rPr>
                <w:rFonts w:eastAsia="Times New Roman" w:cs="Times New Roman"/>
                <w:color w:val="000000"/>
                <w:sz w:val="18"/>
                <w:szCs w:val="18"/>
                <w:lang w:eastAsia="lv-LV"/>
              </w:rPr>
              <w:t>am</w:t>
            </w:r>
            <w:r w:rsidRPr="003F5B3C">
              <w:rPr>
                <w:rFonts w:eastAsia="Times New Roman" w:cs="Times New Roman"/>
                <w:color w:val="000000"/>
                <w:sz w:val="18"/>
                <w:szCs w:val="18"/>
                <w:lang w:eastAsia="lv-LV"/>
              </w:rPr>
              <w:t xml:space="preserve"> ir nepieciešams uzbūvēt 12 jaunas meža ugunsdzēsības stacijas un pārbūvēt 5 esošās specializētā autotransporta novietnes. Nepieciešamas attālinātas ugunsgrēku atklāšanas un novērošanas sistēmas (AUANS), kas spētu aizstāt </w:t>
            </w:r>
            <w:proofErr w:type="spellStart"/>
            <w:r w:rsidRPr="003F5B3C">
              <w:rPr>
                <w:rFonts w:eastAsia="Times New Roman" w:cs="Times New Roman"/>
                <w:color w:val="000000"/>
                <w:sz w:val="18"/>
                <w:szCs w:val="18"/>
                <w:lang w:eastAsia="lv-LV"/>
              </w:rPr>
              <w:t>ugunsnovērošanas</w:t>
            </w:r>
            <w:proofErr w:type="spellEnd"/>
            <w:r w:rsidRPr="003F5B3C">
              <w:rPr>
                <w:rFonts w:eastAsia="Times New Roman" w:cs="Times New Roman"/>
                <w:color w:val="000000"/>
                <w:sz w:val="18"/>
                <w:szCs w:val="18"/>
                <w:lang w:eastAsia="lv-LV"/>
              </w:rPr>
              <w:t xml:space="preserve"> torņu dežurantus. Kopējais nepieciešamais finansējuma apjoms 2025.-2028. gadā līdz 25 150 000 </w:t>
            </w:r>
            <w:proofErr w:type="spellStart"/>
            <w:r w:rsidRPr="003F5B3C">
              <w:rPr>
                <w:rFonts w:eastAsia="Times New Roman" w:cs="Times New Roman"/>
                <w:i/>
                <w:color w:val="000000"/>
                <w:sz w:val="18"/>
                <w:szCs w:val="18"/>
                <w:lang w:eastAsia="lv-LV"/>
              </w:rPr>
              <w:t>euro</w:t>
            </w:r>
            <w:proofErr w:type="spellEnd"/>
            <w:r w:rsidR="00476C44">
              <w:rPr>
                <w:rFonts w:eastAsia="Times New Roman" w:cs="Times New Roman"/>
                <w:i/>
                <w:color w:val="000000"/>
                <w:sz w:val="18"/>
                <w:szCs w:val="18"/>
                <w:lang w:eastAsia="lv-LV"/>
              </w:rPr>
              <w:t xml:space="preserve">. </w:t>
            </w:r>
          </w:p>
        </w:tc>
      </w:tr>
      <w:tr w:rsidR="00BF055E" w:rsidRPr="003F5B3C" w14:paraId="38878894" w14:textId="77777777" w:rsidTr="003B1594">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70C216C"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3210" w:type="dxa"/>
            <w:vMerge/>
            <w:tcBorders>
              <w:top w:val="nil"/>
              <w:left w:val="single" w:sz="4" w:space="0" w:color="auto"/>
              <w:bottom w:val="single" w:sz="4" w:space="0" w:color="auto"/>
              <w:right w:val="single" w:sz="4" w:space="0" w:color="auto"/>
            </w:tcBorders>
            <w:vAlign w:val="center"/>
            <w:hideMark/>
          </w:tcPr>
          <w:p w14:paraId="476AEEEC" w14:textId="77777777" w:rsidR="00BF055E" w:rsidRPr="003F5B3C" w:rsidRDefault="00BF055E" w:rsidP="006357B3">
            <w:pPr>
              <w:spacing w:after="0" w:line="240" w:lineRule="auto"/>
              <w:ind w:firstLine="0"/>
              <w:jc w:val="left"/>
              <w:rPr>
                <w:rFonts w:eastAsia="Times New Roman" w:cs="Times New Roman"/>
                <w:b/>
                <w:bCs/>
                <w:color w:val="000000"/>
                <w:sz w:val="18"/>
                <w:szCs w:val="18"/>
                <w:lang w:eastAsia="lv-LV"/>
              </w:rPr>
            </w:pPr>
          </w:p>
        </w:tc>
        <w:tc>
          <w:tcPr>
            <w:tcW w:w="10879" w:type="dxa"/>
            <w:tcBorders>
              <w:top w:val="nil"/>
              <w:left w:val="nil"/>
              <w:bottom w:val="single" w:sz="4" w:space="0" w:color="auto"/>
              <w:right w:val="single" w:sz="4" w:space="0" w:color="auto"/>
            </w:tcBorders>
            <w:shd w:val="clear" w:color="auto" w:fill="auto"/>
            <w:hideMark/>
          </w:tcPr>
          <w:p w14:paraId="6C5CA089" w14:textId="77777777" w:rsidR="00BF055E" w:rsidRPr="003F5B3C" w:rsidRDefault="00BF055E" w:rsidP="006357B3">
            <w:pPr>
              <w:spacing w:after="0" w:line="240" w:lineRule="auto"/>
              <w:ind w:firstLine="0"/>
              <w:jc w:val="left"/>
              <w:rPr>
                <w:rFonts w:eastAsia="Times New Roman" w:cs="Times New Roman"/>
                <w:color w:val="000000"/>
                <w:sz w:val="18"/>
                <w:szCs w:val="18"/>
                <w:lang w:eastAsia="lv-LV"/>
              </w:rPr>
            </w:pPr>
            <w:r w:rsidRPr="003F5B3C">
              <w:rPr>
                <w:rFonts w:eastAsia="Times New Roman" w:cs="Times New Roman"/>
                <w:b/>
                <w:bCs/>
                <w:color w:val="000000"/>
                <w:sz w:val="18"/>
                <w:szCs w:val="18"/>
                <w:lang w:eastAsia="lv-LV"/>
              </w:rPr>
              <w:t xml:space="preserve">Inovāciju ieguldījumu fonds/ Atbalsts duālo pielietojumu produktiem. </w:t>
            </w:r>
            <w:r w:rsidRPr="003F5B3C">
              <w:rPr>
                <w:rFonts w:eastAsia="Times New Roman" w:cs="Times New Roman"/>
                <w:color w:val="000000"/>
                <w:sz w:val="18"/>
                <w:szCs w:val="18"/>
                <w:lang w:eastAsia="lv-LV"/>
              </w:rPr>
              <w:t xml:space="preserve">Lai nodrošinātu kvalitatīvu un atbilstoši nozaru vajadzībām mērķētu atbalstu, kā arī veicināt ieguldījumus tādās investīcijās, kas ilgtermiņā veicina arī aizsardzību un valsts drošību, nepieciešams atbalsts jaunu duālo preču un produktu ražošanai, t.sk. prototipu izstrādei, apmācībām, akcelerācijas pakalpojumu saņemšanai un apgrozāmajiem līdzekļiem. Vienlaikus, lai stimulētu uz augsto tehnoloģiju vērstu inovāciju attīstību Latvijā, īpaši gadījumos, kad nav citu alternatīvu finansējuma avotu, priekšlikums izveidot jaunu Inovāciju ieguldījumu fondu. Nepieciešamais finansējums – 120 milj. </w:t>
            </w:r>
            <w:proofErr w:type="spellStart"/>
            <w:r w:rsidRPr="003F5B3C">
              <w:rPr>
                <w:rFonts w:eastAsia="Times New Roman" w:cs="Times New Roman"/>
                <w:i/>
                <w:color w:val="000000"/>
                <w:sz w:val="18"/>
                <w:szCs w:val="18"/>
                <w:lang w:eastAsia="lv-LV"/>
              </w:rPr>
              <w:t>euro</w:t>
            </w:r>
            <w:proofErr w:type="spellEnd"/>
          </w:p>
        </w:tc>
      </w:tr>
    </w:tbl>
    <w:p w14:paraId="428F6351" w14:textId="77777777" w:rsidR="00BF055E" w:rsidRPr="002869EC" w:rsidRDefault="00BF055E" w:rsidP="006357B3">
      <w:pPr>
        <w:spacing w:before="120" w:line="240" w:lineRule="auto"/>
        <w:ind w:firstLine="0"/>
        <w:rPr>
          <w:rFonts w:eastAsia="Calibri" w:cs="Times New Roman"/>
          <w:kern w:val="2"/>
          <w:szCs w:val="24"/>
          <w14:ligatures w14:val="standardContextual"/>
        </w:rPr>
      </w:pPr>
    </w:p>
    <w:p w14:paraId="2737E898" w14:textId="77777777" w:rsidR="00BF055E" w:rsidRDefault="00BF055E" w:rsidP="006357B3">
      <w:pPr>
        <w:spacing w:before="120" w:line="240" w:lineRule="auto"/>
        <w:ind w:firstLine="0"/>
        <w:rPr>
          <w:szCs w:val="20"/>
        </w:rPr>
      </w:pPr>
    </w:p>
    <w:p w14:paraId="68D4A479" w14:textId="77777777" w:rsidR="00BF055E" w:rsidRDefault="00BF055E" w:rsidP="006357B3">
      <w:pPr>
        <w:spacing w:before="120" w:line="240" w:lineRule="auto"/>
        <w:ind w:firstLine="0"/>
        <w:rPr>
          <w:szCs w:val="20"/>
        </w:rPr>
      </w:pPr>
    </w:p>
    <w:p w14:paraId="57E86D64" w14:textId="77777777" w:rsidR="00BF055E" w:rsidRPr="00BF055E" w:rsidRDefault="00BF055E" w:rsidP="006357B3">
      <w:pPr>
        <w:spacing w:before="120" w:line="240" w:lineRule="auto"/>
        <w:ind w:firstLine="0"/>
        <w:rPr>
          <w:szCs w:val="20"/>
        </w:rPr>
        <w:sectPr w:rsidR="00BF055E" w:rsidRPr="00BF055E" w:rsidSect="00BF055E">
          <w:pgSz w:w="16838" w:h="11906" w:orient="landscape" w:code="9"/>
          <w:pgMar w:top="1418" w:right="1134" w:bottom="1134" w:left="1134" w:header="0" w:footer="142" w:gutter="0"/>
          <w:cols w:space="708"/>
          <w:titlePg/>
          <w:docGrid w:linePitch="381"/>
        </w:sectPr>
      </w:pPr>
    </w:p>
    <w:p w14:paraId="12D5A14C" w14:textId="66607ECD" w:rsidR="00692447" w:rsidRPr="00B83DC8" w:rsidRDefault="001E75E4" w:rsidP="006357B3">
      <w:pPr>
        <w:pStyle w:val="Heading1"/>
        <w:spacing w:before="0" w:after="240" w:line="240" w:lineRule="auto"/>
        <w:rPr>
          <w:sz w:val="32"/>
          <w:szCs w:val="32"/>
        </w:rPr>
      </w:pPr>
      <w:bookmarkStart w:id="61" w:name="_Toc179540647"/>
      <w:r>
        <w:rPr>
          <w:sz w:val="32"/>
          <w:szCs w:val="32"/>
        </w:rPr>
        <w:lastRenderedPageBreak/>
        <w:t>10</w:t>
      </w:r>
      <w:r w:rsidR="00EF14FD" w:rsidRPr="002869EC">
        <w:rPr>
          <w:sz w:val="32"/>
          <w:szCs w:val="32"/>
        </w:rPr>
        <w:t>.</w:t>
      </w:r>
      <w:r w:rsidR="005A4348" w:rsidRPr="002869EC">
        <w:rPr>
          <w:sz w:val="32"/>
          <w:szCs w:val="32"/>
        </w:rPr>
        <w:t xml:space="preserve"> Fiskālie riski</w:t>
      </w:r>
      <w:bookmarkEnd w:id="61"/>
    </w:p>
    <w:p w14:paraId="1CC13E0C" w14:textId="7211D246" w:rsidR="00566407" w:rsidRPr="002223AF" w:rsidRDefault="00566407" w:rsidP="005761AE">
      <w:pPr>
        <w:spacing w:after="160" w:line="240" w:lineRule="auto"/>
        <w:rPr>
          <w:rFonts w:eastAsia="Aptos" w:cs="Times New Roman"/>
          <w:kern w:val="2"/>
          <w:szCs w:val="24"/>
          <w14:ligatures w14:val="standardContextual"/>
        </w:rPr>
      </w:pPr>
      <w:r w:rsidRPr="002223AF">
        <w:rPr>
          <w:rFonts w:eastAsia="Aptos" w:cs="Times New Roman"/>
          <w:kern w:val="2"/>
          <w:szCs w:val="24"/>
          <w14:ligatures w14:val="standardContextual"/>
        </w:rPr>
        <w:t>Saskaņā ar nacionālo fiskālās disciplīnas regulējumu</w:t>
      </w:r>
      <w:r w:rsidR="00082BC8" w:rsidRPr="004E21A0">
        <w:rPr>
          <w:rStyle w:val="FootnoteReference"/>
          <w:rFonts w:ascii="Times New Roman" w:eastAsia="Aptos" w:hAnsi="Times New Roman" w:cs="Times New Roman"/>
          <w:kern w:val="2"/>
          <w:sz w:val="24"/>
          <w:szCs w:val="24"/>
          <w14:ligatures w14:val="standardContextual"/>
        </w:rPr>
        <w:footnoteReference w:id="9"/>
      </w:r>
      <w:r w:rsidRPr="002223AF">
        <w:rPr>
          <w:rFonts w:eastAsia="Aptos" w:cs="Times New Roman"/>
          <w:kern w:val="2"/>
          <w:szCs w:val="24"/>
          <w14:ligatures w14:val="standardContextual"/>
        </w:rPr>
        <w:t xml:space="preserve">, nosakot strukturālās bilances mērķus tiek ņemta vērā </w:t>
      </w:r>
      <w:r w:rsidRPr="002223AF">
        <w:rPr>
          <w:rFonts w:eastAsia="Aptos" w:cs="Times New Roman"/>
          <w:b/>
          <w:bCs/>
          <w:kern w:val="2"/>
          <w:szCs w:val="24"/>
          <w14:ligatures w14:val="standardContextual"/>
        </w:rPr>
        <w:t>fiskāl</w:t>
      </w:r>
      <w:r w:rsidR="005243E9">
        <w:rPr>
          <w:rFonts w:eastAsia="Aptos" w:cs="Times New Roman"/>
          <w:b/>
          <w:bCs/>
          <w:kern w:val="2"/>
          <w:szCs w:val="24"/>
          <w14:ligatures w14:val="standardContextual"/>
        </w:rPr>
        <w:t>ā</w:t>
      </w:r>
      <w:r w:rsidRPr="002223AF">
        <w:rPr>
          <w:rFonts w:eastAsia="Aptos" w:cs="Times New Roman"/>
          <w:b/>
          <w:bCs/>
          <w:kern w:val="2"/>
          <w:szCs w:val="24"/>
          <w14:ligatures w14:val="standardContextual"/>
        </w:rPr>
        <w:t xml:space="preserve"> nodrošinājuma rezerve</w:t>
      </w:r>
      <w:r w:rsidRPr="002223AF">
        <w:rPr>
          <w:rFonts w:eastAsia="Aptos" w:cs="Times New Roman"/>
          <w:kern w:val="2"/>
          <w:szCs w:val="24"/>
          <w14:ligatures w14:val="standardContextual"/>
        </w:rPr>
        <w:t xml:space="preserve">, t.i. “drošības spilvens”, kas akumulē fiskālos riskus budžeta izpildes laikā gadījumos, kad </w:t>
      </w:r>
      <w:r w:rsidRPr="002223AF" w:rsidDel="001D2FBC">
        <w:rPr>
          <w:rFonts w:eastAsia="Aptos" w:cs="Times New Roman"/>
          <w:kern w:val="2"/>
          <w:szCs w:val="24"/>
          <w14:ligatures w14:val="standardContextual"/>
        </w:rPr>
        <w:t xml:space="preserve">makroekonomiskie un fiskālie rādītāji </w:t>
      </w:r>
      <w:r w:rsidRPr="002223AF">
        <w:rPr>
          <w:rFonts w:eastAsia="Aptos" w:cs="Times New Roman"/>
          <w:kern w:val="2"/>
          <w:szCs w:val="24"/>
          <w14:ligatures w14:val="standardContextual"/>
        </w:rPr>
        <w:t>novirzās</w:t>
      </w:r>
      <w:r w:rsidRPr="002223AF" w:rsidDel="001D2FBC">
        <w:rPr>
          <w:rFonts w:eastAsia="Aptos" w:cs="Times New Roman"/>
          <w:kern w:val="2"/>
          <w:szCs w:val="24"/>
          <w14:ligatures w14:val="standardContextual"/>
        </w:rPr>
        <w:t xml:space="preserve"> no to plānotajām vērtībām.</w:t>
      </w:r>
      <w:r w:rsidRPr="002223AF">
        <w:rPr>
          <w:rFonts w:eastAsia="Aptos" w:cs="Times New Roman"/>
          <w:kern w:val="2"/>
          <w:szCs w:val="24"/>
          <w14:ligatures w14:val="standardContextual"/>
        </w:rPr>
        <w:t xml:space="preserve"> </w:t>
      </w:r>
    </w:p>
    <w:p w14:paraId="627E4567" w14:textId="77777777" w:rsidR="00566407" w:rsidRPr="00AE2FFC" w:rsidRDefault="00566407" w:rsidP="005761AE">
      <w:pPr>
        <w:spacing w:line="240" w:lineRule="auto"/>
        <w:rPr>
          <w:rFonts w:cs="Times New Roman"/>
          <w:color w:val="000000"/>
          <w:szCs w:val="24"/>
        </w:rPr>
      </w:pPr>
      <w:r w:rsidRPr="00AE2FFC">
        <w:rPr>
          <w:rFonts w:cs="Times New Roman"/>
          <w:color w:val="000000"/>
          <w:szCs w:val="24"/>
        </w:rPr>
        <w:t xml:space="preserve">Fiskālo risku laicīga apzināšana ļauj valsts pārvaldei īstenot tādu budžeta politiku un pasākumus, lai ierobežotu finanšu problēmu veidošanos, jo nesavlaicīga fiskālo risku apzināšana un to novēršanas plāna neesamība var izraisīt papildu valdības finansiālas saistības, finansēšanas nepieciešamības pieaugumu, valsts parāda būtisku pieaugumu, valsts parāda pārfinansēšanas risku un pat finanšu krīzi. </w:t>
      </w:r>
    </w:p>
    <w:p w14:paraId="08AAB531" w14:textId="77777777" w:rsidR="0001020F" w:rsidRDefault="00566407" w:rsidP="005761AE">
      <w:pPr>
        <w:spacing w:after="160" w:line="240" w:lineRule="auto"/>
        <w:rPr>
          <w:rFonts w:eastAsia="Aptos" w:cs="Times New Roman"/>
          <w:kern w:val="2"/>
          <w:szCs w:val="24"/>
          <w14:ligatures w14:val="standardContextual"/>
        </w:rPr>
      </w:pPr>
      <w:r w:rsidRPr="00566407">
        <w:rPr>
          <w:rFonts w:eastAsia="Aptos" w:cs="Times New Roman"/>
          <w:kern w:val="2"/>
          <w:szCs w:val="24"/>
          <w14:ligatures w14:val="standardContextual"/>
        </w:rPr>
        <w:t xml:space="preserve">Fiskālo risku vadība tika izveidota ar mērķi nodrošināt fiskālo rādītāju (t.i. prognozētais IKP, plānotā vispārējās valdības budžeta strukturālā bilance, plānotā vispārējās valdības budžeta bilance, prognozētie valsts budžeta ieņēmumi un koriģētie maksimāli pieļaujamie valsts budžeta izdevumi) stabilitāti vidējā termiņā. </w:t>
      </w:r>
    </w:p>
    <w:p w14:paraId="5302A610" w14:textId="13452B9A" w:rsidR="00082BC8" w:rsidRPr="00082BC8" w:rsidRDefault="0001020F" w:rsidP="005761AE">
      <w:pPr>
        <w:spacing w:after="160" w:line="240" w:lineRule="auto"/>
        <w:rPr>
          <w:rFonts w:eastAsia="Aptos" w:cs="Times New Roman"/>
          <w:b/>
          <w:bCs/>
          <w:kern w:val="2"/>
          <w:szCs w:val="24"/>
          <w14:ligatures w14:val="standardContextual"/>
        </w:rPr>
      </w:pPr>
      <w:r>
        <w:rPr>
          <w:rFonts w:eastAsia="Aptos" w:cs="Times New Roman"/>
          <w:kern w:val="2"/>
          <w:szCs w:val="24"/>
          <w14:ligatures w14:val="standardContextual"/>
        </w:rPr>
        <w:t xml:space="preserve">Ik gadu pirms budžeta procedūras uzsākšanas tiek sagatavots dokuments – Fiskālo risku deklarācija, kurā tiek identificēti fiskālie riski, tiek novērtēta </w:t>
      </w:r>
      <w:r w:rsidRPr="00566407">
        <w:rPr>
          <w:rFonts w:eastAsia="Aptos" w:cs="Times New Roman"/>
          <w:kern w:val="2"/>
          <w:szCs w:val="24"/>
          <w14:ligatures w14:val="standardContextual"/>
        </w:rPr>
        <w:t>to iestāšanās varbūtība un fiskālā ietekme</w:t>
      </w:r>
      <w:r>
        <w:rPr>
          <w:rFonts w:eastAsia="Aptos" w:cs="Times New Roman"/>
          <w:kern w:val="2"/>
          <w:szCs w:val="24"/>
          <w14:ligatures w14:val="standardContextual"/>
        </w:rPr>
        <w:t xml:space="preserve">, tiek identificēti </w:t>
      </w:r>
      <w:r w:rsidRPr="00566407">
        <w:rPr>
          <w:rFonts w:eastAsia="Aptos" w:cs="Times New Roman"/>
          <w:kern w:val="2"/>
          <w:szCs w:val="24"/>
          <w14:ligatures w14:val="standardContextual"/>
        </w:rPr>
        <w:t>novēršanai vai mazināšanai nepieciešam</w:t>
      </w:r>
      <w:r>
        <w:rPr>
          <w:rFonts w:eastAsia="Aptos" w:cs="Times New Roman"/>
          <w:kern w:val="2"/>
          <w:szCs w:val="24"/>
          <w14:ligatures w14:val="standardContextual"/>
        </w:rPr>
        <w:t xml:space="preserve">ie </w:t>
      </w:r>
      <w:r w:rsidRPr="00566407">
        <w:rPr>
          <w:rFonts w:eastAsia="Aptos" w:cs="Times New Roman"/>
          <w:kern w:val="2"/>
          <w:szCs w:val="24"/>
          <w14:ligatures w14:val="standardContextual"/>
        </w:rPr>
        <w:t>pasākum</w:t>
      </w:r>
      <w:r>
        <w:rPr>
          <w:rFonts w:eastAsia="Aptos" w:cs="Times New Roman"/>
          <w:kern w:val="2"/>
          <w:szCs w:val="24"/>
          <w14:ligatures w14:val="standardContextual"/>
        </w:rPr>
        <w:t>i un rezultātā tiek veikts fiskālā nodrošinājuma rezerves aprēķins.</w:t>
      </w:r>
      <w:r w:rsidR="00082BC8">
        <w:rPr>
          <w:rFonts w:eastAsia="Aptos" w:cs="Times New Roman"/>
          <w:kern w:val="2"/>
          <w:szCs w:val="24"/>
          <w14:ligatures w14:val="standardContextual"/>
        </w:rPr>
        <w:t xml:space="preserve"> </w:t>
      </w:r>
      <w:r w:rsidR="00082BC8" w:rsidRPr="00082BC8">
        <w:rPr>
          <w:rFonts w:eastAsia="Aptos" w:cs="Times New Roman"/>
          <w:b/>
          <w:bCs/>
          <w:kern w:val="2"/>
          <w:szCs w:val="24"/>
          <w14:ligatures w14:val="standardContextual"/>
        </w:rPr>
        <w:t>2025., 2026., un 2027. gad</w:t>
      </w:r>
      <w:r w:rsidR="00082BC8">
        <w:rPr>
          <w:rFonts w:eastAsia="Aptos" w:cs="Times New Roman"/>
          <w:b/>
          <w:bCs/>
          <w:kern w:val="2"/>
          <w:szCs w:val="24"/>
          <w14:ligatures w14:val="standardContextual"/>
        </w:rPr>
        <w:t>am</w:t>
      </w:r>
      <w:r w:rsidR="00082BC8" w:rsidRPr="00082BC8">
        <w:rPr>
          <w:rFonts w:eastAsia="Aptos" w:cs="Times New Roman"/>
          <w:b/>
          <w:bCs/>
          <w:kern w:val="2"/>
          <w:szCs w:val="24"/>
          <w14:ligatures w14:val="standardContextual"/>
        </w:rPr>
        <w:t xml:space="preserve"> fiskālā nodrošinājuma rezerve </w:t>
      </w:r>
      <w:r w:rsidR="00082BC8">
        <w:rPr>
          <w:rFonts w:eastAsia="Aptos" w:cs="Times New Roman"/>
          <w:b/>
          <w:bCs/>
          <w:kern w:val="2"/>
          <w:szCs w:val="24"/>
          <w14:ligatures w14:val="standardContextual"/>
        </w:rPr>
        <w:t xml:space="preserve">tiek </w:t>
      </w:r>
      <w:r w:rsidR="00082BC8" w:rsidRPr="00082BC8">
        <w:rPr>
          <w:rFonts w:eastAsia="Aptos" w:cs="Times New Roman"/>
          <w:b/>
          <w:bCs/>
          <w:kern w:val="2"/>
          <w:szCs w:val="24"/>
          <w14:ligatures w14:val="standardContextual"/>
        </w:rPr>
        <w:t>veido</w:t>
      </w:r>
      <w:r w:rsidR="00082BC8">
        <w:rPr>
          <w:rFonts w:eastAsia="Aptos" w:cs="Times New Roman"/>
          <w:b/>
          <w:bCs/>
          <w:kern w:val="2"/>
          <w:szCs w:val="24"/>
          <w14:ligatures w14:val="standardContextual"/>
        </w:rPr>
        <w:t>ta</w:t>
      </w:r>
      <w:r w:rsidR="00082BC8" w:rsidRPr="00082BC8">
        <w:rPr>
          <w:rFonts w:eastAsia="Aptos" w:cs="Times New Roman"/>
          <w:b/>
          <w:bCs/>
          <w:kern w:val="2"/>
          <w:szCs w:val="24"/>
          <w14:ligatures w14:val="standardContextual"/>
        </w:rPr>
        <w:t xml:space="preserve"> 0,1% no IKP apmērā. </w:t>
      </w:r>
    </w:p>
    <w:p w14:paraId="6BB2826D" w14:textId="41F9DB80" w:rsidR="0001020F" w:rsidRPr="0001020F" w:rsidRDefault="0001020F" w:rsidP="005761AE">
      <w:pPr>
        <w:spacing w:after="160" w:line="240" w:lineRule="auto"/>
        <w:rPr>
          <w:rFonts w:eastAsia="Aptos" w:cs="Times New Roman"/>
          <w:kern w:val="2"/>
          <w:szCs w:val="24"/>
          <w14:ligatures w14:val="standardContextual"/>
        </w:rPr>
      </w:pPr>
      <w:r>
        <w:rPr>
          <w:rFonts w:eastAsia="Aptos" w:cs="Times New Roman"/>
          <w:kern w:val="2"/>
          <w:szCs w:val="24"/>
          <w14:ligatures w14:val="standardContextual"/>
        </w:rPr>
        <w:t>Lielai daļai identificēto risku piemīt simetriska daba, attiecīgi j</w:t>
      </w:r>
      <w:r w:rsidRPr="0001020F">
        <w:rPr>
          <w:rFonts w:eastAsia="Aptos" w:cs="Times New Roman"/>
          <w:kern w:val="2"/>
          <w:szCs w:val="24"/>
          <w14:ligatures w14:val="standardContextual"/>
        </w:rPr>
        <w:t xml:space="preserve">aunais ES ekonomikas pārvaldības ietvars </w:t>
      </w:r>
      <w:r w:rsidR="00082BC8" w:rsidRPr="0001020F">
        <w:rPr>
          <w:rFonts w:eastAsia="Aptos" w:cs="Times New Roman"/>
          <w:kern w:val="2"/>
          <w:szCs w:val="24"/>
          <w14:ligatures w14:val="standardContextual"/>
        </w:rPr>
        <w:t>pēc būtības apstiprina FM pieeju simetrisko risku uzskaitei</w:t>
      </w:r>
      <w:r w:rsidRPr="0001020F">
        <w:rPr>
          <w:rFonts w:eastAsia="Aptos" w:cs="Times New Roman"/>
          <w:kern w:val="2"/>
          <w:szCs w:val="24"/>
          <w14:ligatures w14:val="standardContextual"/>
        </w:rPr>
        <w:t>. Jaunais ES ekonomikas pārvaldības ietvars paredz izveidot kontroles kontu, kurā tiks uzskaitītas novirzes no apstiprinātās fiskālās trajektorijas. Šādas novirzes ietekmē vispārējās valdības budžeta deficītu un parādu, taču neatstāj ietekmi uz deficīta un parāda rādītājiem vidējā termiņā. Gadā, kad fiskālā trajektorija būs zemāka kā plānots, kontroles kontā tiks uzskaitīts kredīts, savukārt gadā, kad fiskālā trajektorija būs augstāka kā plānots, kontroles kontā tiks uzskaitīts debets. Gadījumā, ja vispārējās valdības budžeta deficīts un parāds pārsniegs atsauces vērtības</w:t>
      </w:r>
      <w:r w:rsidR="00082BC8">
        <w:rPr>
          <w:rFonts w:eastAsia="Aptos" w:cs="Times New Roman"/>
          <w:kern w:val="2"/>
          <w:szCs w:val="24"/>
          <w14:ligatures w14:val="standardContextual"/>
        </w:rPr>
        <w:t xml:space="preserve"> (3% no IKP deficītam/60% no IKP parādam)</w:t>
      </w:r>
      <w:r w:rsidRPr="0001020F">
        <w:rPr>
          <w:rFonts w:eastAsia="Aptos" w:cs="Times New Roman"/>
          <w:kern w:val="2"/>
          <w:szCs w:val="24"/>
          <w14:ligatures w14:val="standardContextual"/>
        </w:rPr>
        <w:t>, tad kontroles konta novirzes būs viens no būtiskajiem faktoriem, kuru ES Padome vērtēs pieņemot lēmumu par Pārmērīga budžeta deficīta procedūras uzsākšanu.</w:t>
      </w:r>
    </w:p>
    <w:p w14:paraId="093A471D" w14:textId="698BA744" w:rsidR="00351B01" w:rsidRDefault="00351B01" w:rsidP="005761AE">
      <w:pPr>
        <w:spacing w:after="160" w:line="240" w:lineRule="auto"/>
        <w:rPr>
          <w:rFonts w:eastAsia="Aptos" w:cs="Times New Roman"/>
          <w:kern w:val="2"/>
          <w:szCs w:val="24"/>
          <w14:ligatures w14:val="standardContextual"/>
        </w:rPr>
      </w:pPr>
      <w:r>
        <w:rPr>
          <w:rFonts w:eastAsia="Aptos" w:cs="Times New Roman"/>
          <w:kern w:val="2"/>
          <w:szCs w:val="24"/>
          <w14:ligatures w14:val="standardContextual"/>
        </w:rPr>
        <w:t>E</w:t>
      </w:r>
      <w:r w:rsidRPr="00351B01">
        <w:rPr>
          <w:rFonts w:eastAsia="Aptos" w:cs="Times New Roman"/>
          <w:kern w:val="2"/>
          <w:szCs w:val="24"/>
          <w14:ligatures w14:val="standardContextual"/>
        </w:rPr>
        <w:t xml:space="preserve">konomikas šoki izraisa būtisku negatīvu ietekmi uz valsts fiskālajiem rādītājiem un optimālai fiskālai politikai būtu šī ietekme, kur iespējams, jāmazina. Valsts publisko finanšu sistēma būtu jāveido pēc iespējas noturīgāku pret ekonomikas šokiem. Tāpēc, lai arī šie aspekti nav tieši saistīti ar fiskālajiem riskiem tajā nozīmē, kā tas noteikts valsts fiskālās disciplīnas tiesiskajā regulējumā, </w:t>
      </w:r>
      <w:r>
        <w:rPr>
          <w:rFonts w:eastAsia="Aptos" w:cs="Times New Roman"/>
          <w:kern w:val="2"/>
          <w:szCs w:val="24"/>
          <w14:ligatures w14:val="standardContextual"/>
        </w:rPr>
        <w:t>Fiskālo risku deklarācijā</w:t>
      </w:r>
      <w:r w:rsidRPr="00351B01">
        <w:rPr>
          <w:rFonts w:eastAsia="Aptos" w:cs="Times New Roman"/>
          <w:kern w:val="2"/>
          <w:szCs w:val="24"/>
          <w14:ligatures w14:val="standardContextual"/>
        </w:rPr>
        <w:t xml:space="preserve"> tiek iekļauta arī informācija par to, kā ekonomikas šoki var ietekmēt fiskālos rādītājus</w:t>
      </w:r>
      <w:r>
        <w:rPr>
          <w:rFonts w:eastAsia="Aptos" w:cs="Times New Roman"/>
          <w:kern w:val="2"/>
          <w:szCs w:val="24"/>
          <w14:ligatures w14:val="standardContextual"/>
        </w:rPr>
        <w:t xml:space="preserve">: </w:t>
      </w:r>
      <w:r w:rsidRPr="00351B01">
        <w:rPr>
          <w:rFonts w:eastAsia="Aptos" w:cs="Times New Roman"/>
          <w:kern w:val="2"/>
          <w:szCs w:val="24"/>
          <w14:ligatures w14:val="standardContextual"/>
        </w:rPr>
        <w:t xml:space="preserve">informācija par valsts ekspozīciju uz komercsabiedrībām, garantiju ekspozīciju un ekonomikas šoku ietekmi uz valsts parādu. Atsevišķi tiek skatīta arī ilgtermiņa parāda ilgtspēja, kas nav fiskālais risks </w:t>
      </w:r>
      <w:r>
        <w:rPr>
          <w:rFonts w:eastAsia="Aptos" w:cs="Times New Roman"/>
          <w:kern w:val="2"/>
          <w:szCs w:val="24"/>
          <w14:ligatures w14:val="standardContextual"/>
        </w:rPr>
        <w:t>Fiskālo risku deklarācijā</w:t>
      </w:r>
      <w:r w:rsidRPr="00351B01">
        <w:rPr>
          <w:rFonts w:eastAsia="Aptos" w:cs="Times New Roman"/>
          <w:kern w:val="2"/>
          <w:szCs w:val="24"/>
          <w14:ligatures w14:val="standardContextual"/>
        </w:rPr>
        <w:t xml:space="preserve"> izpratnē, taču parāda ilgtspējai ir būtiska ietekme uz publisko finanšu stabilitāti.</w:t>
      </w:r>
    </w:p>
    <w:p w14:paraId="18207DDC" w14:textId="77777777" w:rsidR="003B2F54" w:rsidRDefault="003B2F54" w:rsidP="006357B3">
      <w:pPr>
        <w:spacing w:after="160" w:line="240" w:lineRule="auto"/>
        <w:ind w:firstLine="0"/>
        <w:jc w:val="center"/>
        <w:rPr>
          <w:rFonts w:eastAsia="Aptos" w:cs="Times New Roman"/>
          <w:b/>
          <w:bCs/>
          <w:kern w:val="2"/>
          <w:szCs w:val="28"/>
          <w14:ligatures w14:val="standardContextual"/>
        </w:rPr>
      </w:pPr>
    </w:p>
    <w:p w14:paraId="753923B2" w14:textId="77777777" w:rsidR="003B2F54" w:rsidRDefault="003B2F54" w:rsidP="006357B3">
      <w:pPr>
        <w:spacing w:after="160" w:line="240" w:lineRule="auto"/>
        <w:ind w:firstLine="0"/>
        <w:jc w:val="center"/>
        <w:rPr>
          <w:rFonts w:eastAsia="Aptos" w:cs="Times New Roman"/>
          <w:b/>
          <w:bCs/>
          <w:kern w:val="2"/>
          <w:szCs w:val="28"/>
          <w14:ligatures w14:val="standardContextual"/>
        </w:rPr>
      </w:pPr>
    </w:p>
    <w:p w14:paraId="2F29CC1F" w14:textId="77777777" w:rsidR="003B2F54" w:rsidRDefault="003B2F54" w:rsidP="006357B3">
      <w:pPr>
        <w:spacing w:after="160" w:line="240" w:lineRule="auto"/>
        <w:ind w:firstLine="0"/>
        <w:jc w:val="center"/>
        <w:rPr>
          <w:rFonts w:eastAsia="Aptos" w:cs="Times New Roman"/>
          <w:b/>
          <w:bCs/>
          <w:kern w:val="2"/>
          <w:szCs w:val="28"/>
          <w14:ligatures w14:val="standardContextual"/>
        </w:rPr>
      </w:pPr>
    </w:p>
    <w:p w14:paraId="46132FC9" w14:textId="2C1B521C" w:rsidR="009F2B23" w:rsidRPr="009F2B23" w:rsidRDefault="009F2B23" w:rsidP="006357B3">
      <w:pPr>
        <w:spacing w:after="160" w:line="240" w:lineRule="auto"/>
        <w:ind w:firstLine="0"/>
        <w:jc w:val="center"/>
        <w:rPr>
          <w:rFonts w:eastAsia="Aptos" w:cs="Times New Roman"/>
          <w:b/>
          <w:bCs/>
          <w:kern w:val="2"/>
          <w:szCs w:val="28"/>
          <w14:ligatures w14:val="standardContextual"/>
        </w:rPr>
      </w:pPr>
      <w:r w:rsidRPr="009F2B23">
        <w:rPr>
          <w:rFonts w:eastAsia="Aptos" w:cs="Times New Roman"/>
          <w:b/>
          <w:bCs/>
          <w:kern w:val="2"/>
          <w:szCs w:val="28"/>
          <w14:ligatures w14:val="standardContextual"/>
        </w:rPr>
        <w:lastRenderedPageBreak/>
        <w:t>Iespējamās saistībās</w:t>
      </w:r>
    </w:p>
    <w:p w14:paraId="633E1F85" w14:textId="77777777" w:rsidR="009F2B23" w:rsidRPr="009F2B23" w:rsidRDefault="009F2B23" w:rsidP="006357B3">
      <w:pPr>
        <w:spacing w:after="160" w:line="240" w:lineRule="auto"/>
        <w:ind w:firstLine="0"/>
        <w:jc w:val="center"/>
        <w:rPr>
          <w:rFonts w:eastAsia="Aptos" w:cs="Times New Roman"/>
          <w:b/>
          <w:bCs/>
          <w:kern w:val="2"/>
          <w:szCs w:val="24"/>
          <w14:ligatures w14:val="standardContextual"/>
        </w:rPr>
      </w:pPr>
      <w:bookmarkStart w:id="62" w:name="_Toc173768727"/>
      <w:r w:rsidRPr="009F2B23">
        <w:rPr>
          <w:rFonts w:eastAsia="Aptos" w:cs="Times New Roman"/>
          <w:b/>
          <w:bCs/>
          <w:kern w:val="2"/>
          <w:szCs w:val="24"/>
          <w14:ligatures w14:val="standardContextual"/>
        </w:rPr>
        <w:t>Valsts kapitālsabiedrības, kuras nav pieklasificētas S.13 sektoram</w:t>
      </w:r>
      <w:bookmarkEnd w:id="62"/>
    </w:p>
    <w:p w14:paraId="7291B3D9" w14:textId="20EFD14A" w:rsidR="00351B01" w:rsidRDefault="00351B01" w:rsidP="006357B3">
      <w:pPr>
        <w:spacing w:after="160" w:line="240" w:lineRule="auto"/>
        <w:ind w:firstLine="709"/>
        <w:rPr>
          <w:rFonts w:eastAsia="Aptos" w:cs="Times New Roman"/>
          <w:kern w:val="2"/>
          <w:szCs w:val="24"/>
          <w14:ligatures w14:val="standardContextual"/>
        </w:rPr>
      </w:pPr>
      <w:r w:rsidRPr="00351B01">
        <w:rPr>
          <w:rFonts w:eastAsia="Aptos" w:cs="Times New Roman"/>
          <w:kern w:val="2"/>
          <w:szCs w:val="24"/>
          <w14:ligatures w14:val="standardContextual"/>
        </w:rPr>
        <w:t>Atbilstoši FM apkopotajiem datiem</w:t>
      </w:r>
      <w:r>
        <w:rPr>
          <w:rFonts w:eastAsia="Aptos" w:cs="Times New Roman"/>
          <w:kern w:val="2"/>
          <w:szCs w:val="24"/>
          <w14:ligatures w14:val="standardContextual"/>
        </w:rPr>
        <w:t xml:space="preserve"> (</w:t>
      </w:r>
      <w:r w:rsidR="00091136">
        <w:rPr>
          <w:rFonts w:eastAsia="Aptos" w:cs="Times New Roman"/>
          <w:kern w:val="2"/>
          <w:szCs w:val="24"/>
          <w14:ligatures w14:val="standardContextual"/>
        </w:rPr>
        <w:t>10</w:t>
      </w:r>
      <w:r>
        <w:rPr>
          <w:rFonts w:eastAsia="Aptos" w:cs="Times New Roman"/>
          <w:kern w:val="2"/>
          <w:szCs w:val="24"/>
          <w14:ligatures w14:val="standardContextual"/>
        </w:rPr>
        <w:t>.1. attēls)</w:t>
      </w:r>
      <w:r w:rsidRPr="00351B01">
        <w:rPr>
          <w:rFonts w:eastAsia="Aptos" w:cs="Times New Roman"/>
          <w:kern w:val="2"/>
          <w:szCs w:val="24"/>
          <w14:ligatures w14:val="standardContextual"/>
        </w:rPr>
        <w:t>, kas tiek apkopoti atbilstoši Padomes 2011. gada 8. novembr</w:t>
      </w:r>
      <w:r>
        <w:rPr>
          <w:rFonts w:eastAsia="Aptos" w:cs="Times New Roman"/>
          <w:kern w:val="2"/>
          <w:szCs w:val="24"/>
          <w14:ligatures w14:val="standardContextual"/>
        </w:rPr>
        <w:t>a</w:t>
      </w:r>
      <w:r w:rsidRPr="00351B01">
        <w:rPr>
          <w:rFonts w:eastAsia="Aptos" w:cs="Times New Roman"/>
          <w:kern w:val="2"/>
          <w:szCs w:val="24"/>
          <w14:ligatures w14:val="standardContextual"/>
        </w:rPr>
        <w:t xml:space="preserve"> Direktīvai 2011/85/ES par prasībām dalībvalstu budžeta struktūrām, var secināt, ka vispārējās valdības sektora līdzdalība publiskā sektora komercsabiedrībās ir stabila, tomēr lejupvērsta.</w:t>
      </w:r>
      <w:r>
        <w:rPr>
          <w:rFonts w:eastAsia="Aptos" w:cs="Times New Roman"/>
          <w:kern w:val="2"/>
          <w:szCs w:val="24"/>
          <w14:ligatures w14:val="standardContextual"/>
        </w:rPr>
        <w:t xml:space="preserve"> </w:t>
      </w:r>
    </w:p>
    <w:p w14:paraId="0B1A5C5C" w14:textId="16B29885" w:rsidR="00351B01" w:rsidRPr="005243E9" w:rsidRDefault="00351B01" w:rsidP="006357B3">
      <w:pPr>
        <w:spacing w:after="160" w:line="240" w:lineRule="auto"/>
        <w:ind w:firstLine="709"/>
        <w:jc w:val="center"/>
        <w:rPr>
          <w:rFonts w:eastAsia="Aptos" w:cs="Times New Roman"/>
          <w:i/>
          <w:iCs/>
          <w:kern w:val="2"/>
          <w:szCs w:val="24"/>
          <w14:ligatures w14:val="standardContextual"/>
        </w:rPr>
      </w:pPr>
      <w:r w:rsidRPr="005243E9">
        <w:rPr>
          <w:i/>
          <w:iCs/>
          <w:noProof/>
        </w:rPr>
        <w:drawing>
          <wp:inline distT="0" distB="0" distL="0" distR="0" wp14:anchorId="5C91DCF0" wp14:editId="62831203">
            <wp:extent cx="5253487" cy="2493034"/>
            <wp:effectExtent l="0" t="0" r="4445" b="2540"/>
            <wp:docPr id="2110145100" name="Chart 1">
              <a:extLst xmlns:a="http://schemas.openxmlformats.org/drawingml/2006/main">
                <a:ext uri="{FF2B5EF4-FFF2-40B4-BE49-F238E27FC236}">
                  <a16:creationId xmlns:a16="http://schemas.microsoft.com/office/drawing/2014/main" id="{CD654224-A7BA-47DB-9A49-60D4B958E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6D15EE7" w14:textId="6665F5E1" w:rsidR="00351B01" w:rsidRPr="005243E9" w:rsidRDefault="00091136" w:rsidP="006357B3">
      <w:pPr>
        <w:spacing w:after="0" w:line="240" w:lineRule="auto"/>
        <w:ind w:firstLine="0"/>
        <w:jc w:val="center"/>
        <w:rPr>
          <w:rFonts w:cs="Times New Roman"/>
          <w:i/>
          <w:iCs/>
          <w:color w:val="000000"/>
          <w:szCs w:val="24"/>
          <w:highlight w:val="yellow"/>
        </w:rPr>
      </w:pPr>
      <w:r>
        <w:rPr>
          <w:rFonts w:cs="Times New Roman"/>
          <w:b/>
          <w:bCs/>
          <w:i/>
          <w:iCs/>
          <w:color w:val="000000" w:themeColor="text1"/>
          <w:szCs w:val="24"/>
        </w:rPr>
        <w:t>10</w:t>
      </w:r>
      <w:r w:rsidR="00351B01" w:rsidRPr="005243E9">
        <w:rPr>
          <w:rFonts w:cs="Times New Roman"/>
          <w:b/>
          <w:bCs/>
          <w:i/>
          <w:iCs/>
          <w:color w:val="000000" w:themeColor="text1"/>
          <w:szCs w:val="24"/>
        </w:rPr>
        <w:t>.1.</w:t>
      </w:r>
      <w:r w:rsidR="00A4204D" w:rsidRPr="005243E9">
        <w:rPr>
          <w:rFonts w:cs="Times New Roman"/>
          <w:b/>
          <w:bCs/>
          <w:i/>
          <w:iCs/>
          <w:color w:val="000000" w:themeColor="text1"/>
          <w:szCs w:val="24"/>
        </w:rPr>
        <w:t xml:space="preserve"> </w:t>
      </w:r>
      <w:r w:rsidR="00351B01" w:rsidRPr="005243E9">
        <w:rPr>
          <w:rFonts w:cs="Times New Roman"/>
          <w:b/>
          <w:bCs/>
          <w:i/>
          <w:iCs/>
          <w:color w:val="000000" w:themeColor="text1"/>
          <w:szCs w:val="24"/>
        </w:rPr>
        <w:t>at</w:t>
      </w:r>
      <w:r w:rsidR="00A4204D" w:rsidRPr="005243E9">
        <w:rPr>
          <w:rFonts w:cs="Times New Roman"/>
          <w:b/>
          <w:bCs/>
          <w:i/>
          <w:iCs/>
          <w:color w:val="000000" w:themeColor="text1"/>
          <w:szCs w:val="24"/>
        </w:rPr>
        <w:t>t</w:t>
      </w:r>
      <w:r w:rsidR="00351B01" w:rsidRPr="005243E9">
        <w:rPr>
          <w:rFonts w:cs="Times New Roman"/>
          <w:b/>
          <w:bCs/>
          <w:i/>
          <w:iCs/>
          <w:color w:val="000000" w:themeColor="text1"/>
          <w:szCs w:val="24"/>
        </w:rPr>
        <w:t xml:space="preserve">. Vispārējā valdības sektora līdzdalības vērtība publiskā sektora komercsabiedrību kapitālā no 2016. līdz 2022. gadam, % no IKP. Avots: </w:t>
      </w:r>
      <w:proofErr w:type="spellStart"/>
      <w:r w:rsidR="00351B01" w:rsidRPr="005243E9">
        <w:rPr>
          <w:rFonts w:cs="Times New Roman"/>
          <w:b/>
          <w:bCs/>
          <w:i/>
          <w:iCs/>
          <w:color w:val="000000" w:themeColor="text1"/>
          <w:szCs w:val="24"/>
        </w:rPr>
        <w:t>Eurostat</w:t>
      </w:r>
      <w:proofErr w:type="spellEnd"/>
    </w:p>
    <w:p w14:paraId="02CA19C5" w14:textId="77777777" w:rsidR="00351B01" w:rsidRDefault="00351B01" w:rsidP="006357B3">
      <w:pPr>
        <w:spacing w:after="0" w:line="240" w:lineRule="auto"/>
        <w:ind w:firstLine="709"/>
        <w:rPr>
          <w:rFonts w:eastAsia="Aptos" w:cs="Times New Roman"/>
          <w:kern w:val="2"/>
          <w:szCs w:val="24"/>
          <w14:ligatures w14:val="standardContextual"/>
        </w:rPr>
      </w:pPr>
    </w:p>
    <w:p w14:paraId="5AABAC87" w14:textId="43DDCEBE" w:rsidR="00351B01" w:rsidRPr="00351B01" w:rsidRDefault="00351B01" w:rsidP="006357B3">
      <w:pPr>
        <w:spacing w:after="160" w:line="240" w:lineRule="auto"/>
        <w:ind w:firstLine="709"/>
        <w:rPr>
          <w:rFonts w:eastAsia="Aptos" w:cs="Times New Roman"/>
          <w:kern w:val="2"/>
          <w:szCs w:val="24"/>
          <w14:ligatures w14:val="standardContextual"/>
        </w:rPr>
      </w:pPr>
      <w:r>
        <w:rPr>
          <w:rFonts w:eastAsia="Aptos" w:cs="Times New Roman"/>
          <w:kern w:val="2"/>
          <w:szCs w:val="24"/>
          <w14:ligatures w14:val="standardContextual"/>
        </w:rPr>
        <w:t>V</w:t>
      </w:r>
      <w:r w:rsidRPr="00351B01">
        <w:rPr>
          <w:rFonts w:eastAsia="Aptos" w:cs="Times New Roman"/>
          <w:kern w:val="2"/>
          <w:szCs w:val="24"/>
          <w14:ligatures w14:val="standardContextual"/>
        </w:rPr>
        <w:t>ispārējās valdības sektora ekspozīcija attiecībā uz publiskā sektora kapitālsabiedrībām ir svārstīga laikā, bet svārstību koridors ir noteiktās robežās, un nenorāda uz būtisku riska pieaugumu</w:t>
      </w:r>
      <w:r w:rsidR="009F2B23">
        <w:rPr>
          <w:rFonts w:eastAsia="Aptos" w:cs="Times New Roman"/>
          <w:kern w:val="2"/>
          <w:szCs w:val="24"/>
          <w14:ligatures w14:val="standardContextual"/>
        </w:rPr>
        <w:t xml:space="preserve"> un nav pamata uzskatīt, ka tas pieaugtu arī vidējā termiņā.</w:t>
      </w:r>
    </w:p>
    <w:p w14:paraId="45FADD5C" w14:textId="77777777" w:rsidR="00351B01" w:rsidRPr="005243E9" w:rsidRDefault="00351B01" w:rsidP="006357B3">
      <w:pPr>
        <w:spacing w:after="160" w:line="240" w:lineRule="auto"/>
        <w:ind w:firstLine="709"/>
        <w:jc w:val="center"/>
        <w:rPr>
          <w:rFonts w:eastAsia="Aptos" w:cs="Times New Roman"/>
          <w:b/>
          <w:i/>
          <w:iCs/>
          <w:kern w:val="2"/>
          <w:szCs w:val="24"/>
          <w14:ligatures w14:val="standardContextual"/>
        </w:rPr>
      </w:pPr>
      <w:r w:rsidRPr="005243E9">
        <w:rPr>
          <w:rFonts w:eastAsia="Aptos" w:cs="Times New Roman"/>
          <w:b/>
          <w:i/>
          <w:iCs/>
          <w:noProof/>
          <w:kern w:val="2"/>
          <w:szCs w:val="24"/>
          <w14:ligatures w14:val="standardContextual"/>
        </w:rPr>
        <w:drawing>
          <wp:inline distT="0" distB="0" distL="0" distR="0" wp14:anchorId="3AE37A15" wp14:editId="65E9BA0F">
            <wp:extent cx="4970032" cy="2605177"/>
            <wp:effectExtent l="0" t="0" r="2540" b="5080"/>
            <wp:docPr id="499059154" name="Picture 5" descr="A graph with blue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59154" name="Picture 5" descr="A graph with blue and red lines&#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88013" cy="2614602"/>
                    </a:xfrm>
                    <a:prstGeom prst="rect">
                      <a:avLst/>
                    </a:prstGeom>
                    <a:noFill/>
                    <a:ln>
                      <a:noFill/>
                    </a:ln>
                  </pic:spPr>
                </pic:pic>
              </a:graphicData>
            </a:graphic>
          </wp:inline>
        </w:drawing>
      </w:r>
    </w:p>
    <w:p w14:paraId="440AE285" w14:textId="49A79EDE" w:rsidR="00351B01" w:rsidRPr="005243E9" w:rsidRDefault="00091136" w:rsidP="006357B3">
      <w:pPr>
        <w:spacing w:after="160" w:line="240" w:lineRule="auto"/>
        <w:ind w:firstLine="709"/>
        <w:jc w:val="center"/>
        <w:rPr>
          <w:rFonts w:eastAsia="Aptos" w:cs="Times New Roman"/>
          <w:b/>
          <w:bCs/>
          <w:i/>
          <w:iCs/>
          <w:kern w:val="2"/>
          <w:szCs w:val="24"/>
          <w14:ligatures w14:val="standardContextual"/>
        </w:rPr>
      </w:pPr>
      <w:r>
        <w:rPr>
          <w:rFonts w:eastAsia="Aptos" w:cs="Times New Roman"/>
          <w:b/>
          <w:bCs/>
          <w:i/>
          <w:iCs/>
          <w:kern w:val="2"/>
          <w:szCs w:val="24"/>
          <w14:ligatures w14:val="standardContextual"/>
        </w:rPr>
        <w:t>10</w:t>
      </w:r>
      <w:r w:rsidR="00351B01" w:rsidRPr="005243E9">
        <w:rPr>
          <w:rFonts w:eastAsia="Aptos" w:cs="Times New Roman"/>
          <w:b/>
          <w:bCs/>
          <w:i/>
          <w:iCs/>
          <w:kern w:val="2"/>
          <w:szCs w:val="24"/>
          <w14:ligatures w14:val="standardContextual"/>
        </w:rPr>
        <w:t>.2.</w:t>
      </w:r>
      <w:r w:rsidR="00A4204D" w:rsidRPr="005243E9">
        <w:rPr>
          <w:rFonts w:eastAsia="Aptos" w:cs="Times New Roman"/>
          <w:b/>
          <w:bCs/>
          <w:i/>
          <w:iCs/>
          <w:kern w:val="2"/>
          <w:szCs w:val="24"/>
          <w14:ligatures w14:val="standardContextual"/>
        </w:rPr>
        <w:t xml:space="preserve"> </w:t>
      </w:r>
      <w:r w:rsidR="00351B01" w:rsidRPr="005243E9">
        <w:rPr>
          <w:rFonts w:eastAsia="Aptos" w:cs="Times New Roman"/>
          <w:b/>
          <w:bCs/>
          <w:i/>
          <w:iCs/>
          <w:kern w:val="2"/>
          <w:szCs w:val="24"/>
          <w14:ligatures w14:val="standardContextual"/>
        </w:rPr>
        <w:t xml:space="preserve">att. Vispārējās valdības kontrolēto publisko kapitālsabiedrību (ārpus S.13) kopējais saistību apmērs 2022. gadā, % no IKP. Avots: </w:t>
      </w:r>
      <w:proofErr w:type="spellStart"/>
      <w:r w:rsidR="00351B01" w:rsidRPr="005243E9">
        <w:rPr>
          <w:rFonts w:eastAsia="Aptos" w:cs="Times New Roman"/>
          <w:b/>
          <w:bCs/>
          <w:i/>
          <w:iCs/>
          <w:kern w:val="2"/>
          <w:szCs w:val="24"/>
          <w14:ligatures w14:val="standardContextual"/>
        </w:rPr>
        <w:t>Eurostat</w:t>
      </w:r>
      <w:proofErr w:type="spellEnd"/>
    </w:p>
    <w:p w14:paraId="1E5482B4" w14:textId="4D7589A1" w:rsidR="00A4204D" w:rsidRDefault="00351B01" w:rsidP="006357B3">
      <w:pPr>
        <w:spacing w:after="0" w:line="240" w:lineRule="auto"/>
        <w:ind w:firstLine="709"/>
        <w:rPr>
          <w:rFonts w:eastAsia="Aptos" w:cs="Times New Roman"/>
          <w:kern w:val="2"/>
          <w:szCs w:val="24"/>
          <w14:ligatures w14:val="standardContextual"/>
        </w:rPr>
      </w:pPr>
      <w:r w:rsidRPr="00351B01">
        <w:rPr>
          <w:rFonts w:eastAsia="Aptos" w:cs="Times New Roman"/>
          <w:kern w:val="2"/>
          <w:szCs w:val="24"/>
          <w14:ligatures w14:val="standardContextual"/>
        </w:rPr>
        <w:t xml:space="preserve">Starpvalstu salīdzinājumam tiek izmantoti </w:t>
      </w:r>
      <w:proofErr w:type="spellStart"/>
      <w:r w:rsidRPr="00351B01">
        <w:rPr>
          <w:rFonts w:eastAsia="Aptos" w:cs="Times New Roman"/>
          <w:i/>
          <w:kern w:val="2"/>
          <w:szCs w:val="24"/>
          <w14:ligatures w14:val="standardContextual"/>
        </w:rPr>
        <w:t>Eurostat</w:t>
      </w:r>
      <w:proofErr w:type="spellEnd"/>
      <w:r w:rsidRPr="00351B01">
        <w:rPr>
          <w:rFonts w:eastAsia="Aptos" w:cs="Times New Roman"/>
          <w:kern w:val="2"/>
          <w:szCs w:val="24"/>
          <w14:ligatures w14:val="standardContextual"/>
        </w:rPr>
        <w:t xml:space="preserve"> dati par vispārējās valdības kontrolēto publisko kapitālsabiedrību (ārpus S.13) kopējo saistību apmēru, kas varētu pat precīzāk atspoguļot potenciālo ietekmes lielumu tādiem gadījumiem, kad valdībai būtu jāpārņem kapitālsabiedrību uzņemto saistību izpilde. Kā redzams </w:t>
      </w:r>
      <w:r w:rsidR="00091136">
        <w:rPr>
          <w:rFonts w:eastAsia="Aptos" w:cs="Times New Roman"/>
          <w:kern w:val="2"/>
          <w:szCs w:val="24"/>
          <w14:ligatures w14:val="standardContextual"/>
        </w:rPr>
        <w:t>10</w:t>
      </w:r>
      <w:r w:rsidR="009F2B23">
        <w:rPr>
          <w:rFonts w:eastAsia="Aptos" w:cs="Times New Roman"/>
          <w:kern w:val="2"/>
          <w:szCs w:val="24"/>
          <w14:ligatures w14:val="standardContextual"/>
        </w:rPr>
        <w:t>.2.</w:t>
      </w:r>
      <w:r w:rsidRPr="00351B01">
        <w:rPr>
          <w:rFonts w:eastAsia="Aptos" w:cs="Times New Roman"/>
          <w:kern w:val="2"/>
          <w:szCs w:val="24"/>
          <w14:ligatures w14:val="standardContextual"/>
        </w:rPr>
        <w:t xml:space="preserve"> attēlā, Latvija, mērot minēto kapitālsabiedrību saistību apmēru, atrodas zem ES dalībvalstu mediānas (</w:t>
      </w:r>
      <w:r w:rsidR="00091136">
        <w:rPr>
          <w:rFonts w:eastAsia="Aptos" w:cs="Times New Roman"/>
          <w:kern w:val="2"/>
          <w:szCs w:val="24"/>
          <w14:ligatures w14:val="standardContextual"/>
        </w:rPr>
        <w:t>10</w:t>
      </w:r>
      <w:r w:rsidR="009F2B23">
        <w:rPr>
          <w:rFonts w:eastAsia="Aptos" w:cs="Times New Roman"/>
          <w:kern w:val="2"/>
          <w:szCs w:val="24"/>
          <w14:ligatures w14:val="standardContextual"/>
        </w:rPr>
        <w:t>.2.</w:t>
      </w:r>
      <w:r w:rsidRPr="00351B01">
        <w:rPr>
          <w:rFonts w:eastAsia="Aptos" w:cs="Times New Roman"/>
          <w:kern w:val="2"/>
          <w:szCs w:val="24"/>
          <w14:ligatures w14:val="standardContextual"/>
        </w:rPr>
        <w:t xml:space="preserve"> attēlā pelēkā krāsā iekrāsota kolonna, kas </w:t>
      </w:r>
      <w:r w:rsidRPr="00351B01">
        <w:rPr>
          <w:rFonts w:eastAsia="Aptos" w:cs="Times New Roman"/>
          <w:kern w:val="2"/>
          <w:szCs w:val="24"/>
          <w14:ligatures w14:val="standardContextual"/>
        </w:rPr>
        <w:lastRenderedPageBreak/>
        <w:t>atbilst Slovēnijas rādītājam) un vidējā rādītāja (</w:t>
      </w:r>
      <w:r w:rsidR="00091136">
        <w:rPr>
          <w:rFonts w:eastAsia="Aptos" w:cs="Times New Roman"/>
          <w:kern w:val="2"/>
          <w:szCs w:val="24"/>
          <w14:ligatures w14:val="standardContextual"/>
        </w:rPr>
        <w:t>10</w:t>
      </w:r>
      <w:r w:rsidR="009F2B23">
        <w:rPr>
          <w:rFonts w:eastAsia="Aptos" w:cs="Times New Roman"/>
          <w:kern w:val="2"/>
          <w:szCs w:val="24"/>
          <w14:ligatures w14:val="standardContextual"/>
        </w:rPr>
        <w:t>.2.</w:t>
      </w:r>
      <w:r w:rsidRPr="00351B01">
        <w:rPr>
          <w:rFonts w:eastAsia="Aptos" w:cs="Times New Roman"/>
          <w:kern w:val="2"/>
          <w:szCs w:val="24"/>
          <w14:ligatures w14:val="standardContextual"/>
        </w:rPr>
        <w:t xml:space="preserve"> attēlā atspoguļotā sarkanā līnija), vienlaicīgi jāatzīmē, ka šis rādītājs Latvijai ir bijis salīdzinoši stabils ilgstošā laika periodā, svārstoties pie 20% no IKP atzīmes, kā redzams </w:t>
      </w:r>
      <w:r w:rsidR="00091136">
        <w:rPr>
          <w:rFonts w:eastAsia="Aptos" w:cs="Times New Roman"/>
          <w:kern w:val="2"/>
          <w:szCs w:val="24"/>
          <w14:ligatures w14:val="standardContextual"/>
        </w:rPr>
        <w:t>10</w:t>
      </w:r>
      <w:r w:rsidR="009F2B23">
        <w:rPr>
          <w:rFonts w:eastAsia="Aptos" w:cs="Times New Roman"/>
          <w:kern w:val="2"/>
          <w:szCs w:val="24"/>
          <w14:ligatures w14:val="standardContextual"/>
        </w:rPr>
        <w:t>.3.</w:t>
      </w:r>
      <w:r w:rsidRPr="00351B01">
        <w:rPr>
          <w:rFonts w:eastAsia="Aptos" w:cs="Times New Roman"/>
          <w:kern w:val="2"/>
          <w:szCs w:val="24"/>
          <w14:ligatures w14:val="standardContextual"/>
        </w:rPr>
        <w:t xml:space="preserve"> attēlā. Rādītāja vērtības samazinājums 2021. un 2022. gadā ir skaidrojams ar IKP ievērojamu pieaugumu.</w:t>
      </w:r>
    </w:p>
    <w:p w14:paraId="6570769F" w14:textId="7D83DA29" w:rsidR="00351B01" w:rsidRPr="00A4204D" w:rsidRDefault="00351B01" w:rsidP="006357B3">
      <w:pPr>
        <w:spacing w:after="0" w:line="240" w:lineRule="auto"/>
        <w:ind w:firstLine="709"/>
        <w:jc w:val="center"/>
        <w:rPr>
          <w:rFonts w:eastAsia="Aptos" w:cs="Times New Roman"/>
          <w:kern w:val="2"/>
          <w:szCs w:val="24"/>
          <w14:ligatures w14:val="standardContextual"/>
        </w:rPr>
      </w:pPr>
      <w:r w:rsidRPr="00351B01">
        <w:rPr>
          <w:rFonts w:eastAsia="Aptos" w:cs="Times New Roman"/>
          <w:kern w:val="2"/>
          <w:szCs w:val="24"/>
          <w14:ligatures w14:val="standardContextual"/>
        </w:rPr>
        <w:br/>
      </w:r>
      <w:r w:rsidRPr="00351B01">
        <w:rPr>
          <w:rFonts w:eastAsia="Aptos" w:cs="Times New Roman"/>
          <w:noProof/>
          <w:kern w:val="2"/>
          <w:szCs w:val="24"/>
          <w14:ligatures w14:val="standardContextual"/>
        </w:rPr>
        <w:drawing>
          <wp:inline distT="0" distB="0" distL="0" distR="0" wp14:anchorId="036F7A87" wp14:editId="0F9C711D">
            <wp:extent cx="4578986" cy="2553238"/>
            <wp:effectExtent l="0" t="0" r="0" b="0"/>
            <wp:docPr id="1497920761" name="Picture 5" descr="A graph with blue and 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20761" name="Picture 5" descr="A graph with blue and red bars&#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578986" cy="2553238"/>
                    </a:xfrm>
                    <a:prstGeom prst="rect">
                      <a:avLst/>
                    </a:prstGeom>
                  </pic:spPr>
                </pic:pic>
              </a:graphicData>
            </a:graphic>
          </wp:inline>
        </w:drawing>
      </w:r>
      <w:r w:rsidRPr="00351B01">
        <w:rPr>
          <w:rFonts w:eastAsia="Aptos" w:cs="Times New Roman"/>
          <w:kern w:val="2"/>
          <w:szCs w:val="24"/>
          <w14:ligatures w14:val="standardContextual"/>
        </w:rPr>
        <w:br/>
      </w:r>
      <w:r w:rsidR="00091136">
        <w:rPr>
          <w:rFonts w:eastAsia="Aptos" w:cs="Times New Roman"/>
          <w:b/>
          <w:bCs/>
          <w:i/>
          <w:iCs/>
          <w:kern w:val="2"/>
          <w:szCs w:val="24"/>
          <w14:ligatures w14:val="standardContextual"/>
        </w:rPr>
        <w:t>10</w:t>
      </w:r>
      <w:r w:rsidR="009F2B23" w:rsidRPr="005243E9">
        <w:rPr>
          <w:rFonts w:eastAsia="Aptos" w:cs="Times New Roman"/>
          <w:b/>
          <w:bCs/>
          <w:i/>
          <w:iCs/>
          <w:kern w:val="2"/>
          <w:szCs w:val="24"/>
          <w14:ligatures w14:val="standardContextual"/>
        </w:rPr>
        <w:t>.3</w:t>
      </w:r>
      <w:r w:rsidRPr="005243E9">
        <w:rPr>
          <w:rFonts w:eastAsia="Aptos" w:cs="Times New Roman"/>
          <w:b/>
          <w:bCs/>
          <w:i/>
          <w:iCs/>
          <w:kern w:val="2"/>
          <w:szCs w:val="24"/>
          <w14:ligatures w14:val="standardContextual"/>
        </w:rPr>
        <w:t>.</w:t>
      </w:r>
      <w:r w:rsidR="00A4204D" w:rsidRPr="005243E9">
        <w:rPr>
          <w:rFonts w:eastAsia="Aptos" w:cs="Times New Roman"/>
          <w:b/>
          <w:bCs/>
          <w:i/>
          <w:iCs/>
          <w:kern w:val="2"/>
          <w:szCs w:val="24"/>
          <w14:ligatures w14:val="standardContextual"/>
        </w:rPr>
        <w:t xml:space="preserve"> </w:t>
      </w:r>
      <w:r w:rsidRPr="005243E9">
        <w:rPr>
          <w:rFonts w:eastAsia="Aptos" w:cs="Times New Roman"/>
          <w:b/>
          <w:bCs/>
          <w:i/>
          <w:iCs/>
          <w:kern w:val="2"/>
          <w:szCs w:val="24"/>
          <w14:ligatures w14:val="standardContextual"/>
        </w:rPr>
        <w:t xml:space="preserve">att. Vispārējās valdības kontrolēto publisko kapitālsabiedrību (ārpus S.13) kopējais saistību apmērs no 2013. līdz 2022. gadam, % no IKP. Avots: </w:t>
      </w:r>
      <w:proofErr w:type="spellStart"/>
      <w:r w:rsidRPr="005243E9">
        <w:rPr>
          <w:rFonts w:eastAsia="Aptos" w:cs="Times New Roman"/>
          <w:b/>
          <w:bCs/>
          <w:i/>
          <w:iCs/>
          <w:kern w:val="2"/>
          <w:szCs w:val="24"/>
          <w14:ligatures w14:val="standardContextual"/>
        </w:rPr>
        <w:t>Eurostat</w:t>
      </w:r>
      <w:proofErr w:type="spellEnd"/>
    </w:p>
    <w:p w14:paraId="2683A84D" w14:textId="77777777" w:rsidR="00351B01" w:rsidRPr="00351B01" w:rsidRDefault="00351B01" w:rsidP="006357B3">
      <w:pPr>
        <w:spacing w:after="160" w:line="240" w:lineRule="auto"/>
        <w:ind w:firstLine="709"/>
        <w:rPr>
          <w:rFonts w:eastAsia="Aptos" w:cs="Times New Roman"/>
          <w:kern w:val="2"/>
          <w:szCs w:val="24"/>
          <w14:ligatures w14:val="standardContextual"/>
        </w:rPr>
      </w:pPr>
    </w:p>
    <w:p w14:paraId="23DC5316" w14:textId="7F3475AA" w:rsidR="00351B01" w:rsidRPr="00351B01" w:rsidRDefault="00351B01" w:rsidP="006357B3">
      <w:pPr>
        <w:spacing w:after="160" w:line="240" w:lineRule="auto"/>
        <w:ind w:firstLine="0"/>
        <w:jc w:val="center"/>
        <w:rPr>
          <w:rFonts w:eastAsia="Aptos" w:cs="Times New Roman"/>
          <w:b/>
          <w:bCs/>
          <w:kern w:val="2"/>
          <w:szCs w:val="24"/>
          <w14:ligatures w14:val="standardContextual"/>
        </w:rPr>
      </w:pPr>
      <w:bookmarkStart w:id="63" w:name="_Toc173768728"/>
      <w:r w:rsidRPr="00351B01">
        <w:rPr>
          <w:rFonts w:eastAsia="Aptos" w:cs="Times New Roman"/>
          <w:b/>
          <w:bCs/>
          <w:kern w:val="2"/>
          <w:szCs w:val="24"/>
          <w14:ligatures w14:val="standardContextual"/>
        </w:rPr>
        <w:t>Vispārējās valdības sektora galvojumi</w:t>
      </w:r>
      <w:bookmarkEnd w:id="63"/>
    </w:p>
    <w:p w14:paraId="566C46E9" w14:textId="77777777" w:rsidR="00351B01" w:rsidRPr="00351B01" w:rsidRDefault="00351B01" w:rsidP="006357B3">
      <w:pPr>
        <w:spacing w:after="160" w:line="240" w:lineRule="auto"/>
        <w:ind w:firstLine="709"/>
        <w:rPr>
          <w:rFonts w:eastAsia="Aptos" w:cs="Times New Roman"/>
          <w:kern w:val="2"/>
          <w:szCs w:val="24"/>
          <w14:ligatures w14:val="standardContextual"/>
        </w:rPr>
      </w:pPr>
      <w:r w:rsidRPr="00351B01">
        <w:rPr>
          <w:rFonts w:eastAsia="Aptos" w:cs="Times New Roman"/>
          <w:kern w:val="2"/>
          <w:szCs w:val="24"/>
          <w14:ligatures w14:val="standardContextual"/>
        </w:rPr>
        <w:t>Vēl viena valsts sniegtā atbalsta forma publiskajām un privātajām komercsabiedrībām krīžu seku mazināšanai gan Latvijā, gan Eiropā un pasaulē, ir atbalsts ar finanšu instrumentiem t.sk. vispārējās valdības sektora galvojumiem.</w:t>
      </w:r>
    </w:p>
    <w:p w14:paraId="6D5363BD" w14:textId="2FE96069" w:rsidR="00351B01" w:rsidRPr="00351B01" w:rsidRDefault="00351B01" w:rsidP="005454DA">
      <w:pPr>
        <w:spacing w:after="240" w:line="240" w:lineRule="auto"/>
        <w:ind w:firstLine="709"/>
        <w:rPr>
          <w:rFonts w:eastAsia="Aptos" w:cs="Times New Roman"/>
          <w:kern w:val="2"/>
          <w:szCs w:val="24"/>
          <w14:ligatures w14:val="standardContextual"/>
        </w:rPr>
      </w:pPr>
      <w:r w:rsidRPr="00351B01">
        <w:rPr>
          <w:rFonts w:eastAsia="Aptos" w:cs="Times New Roman"/>
          <w:kern w:val="2"/>
          <w:szCs w:val="24"/>
          <w14:ligatures w14:val="standardContextual"/>
        </w:rPr>
        <w:t xml:space="preserve">Ietekme uz publiskajām finansēm šajā gadījumā </w:t>
      </w:r>
      <w:r w:rsidR="009F79C4">
        <w:rPr>
          <w:rFonts w:eastAsia="Aptos" w:cs="Times New Roman"/>
          <w:kern w:val="2"/>
          <w:szCs w:val="24"/>
          <w14:ligatures w14:val="standardContextual"/>
        </w:rPr>
        <w:t xml:space="preserve">var </w:t>
      </w:r>
      <w:r w:rsidRPr="00351B01">
        <w:rPr>
          <w:rFonts w:eastAsia="Aptos" w:cs="Times New Roman"/>
          <w:kern w:val="2"/>
          <w:szCs w:val="24"/>
          <w14:ligatures w14:val="standardContextual"/>
        </w:rPr>
        <w:t>iestā</w:t>
      </w:r>
      <w:r w:rsidR="009F79C4">
        <w:rPr>
          <w:rFonts w:eastAsia="Aptos" w:cs="Times New Roman"/>
          <w:kern w:val="2"/>
          <w:szCs w:val="24"/>
          <w14:ligatures w14:val="standardContextual"/>
        </w:rPr>
        <w:t>ties</w:t>
      </w:r>
      <w:r w:rsidRPr="00351B01">
        <w:rPr>
          <w:rFonts w:eastAsia="Aptos" w:cs="Times New Roman"/>
          <w:kern w:val="2"/>
          <w:szCs w:val="24"/>
          <w14:ligatures w14:val="standardContextual"/>
        </w:rPr>
        <w:t xml:space="preserve">, ja galvojuma saņēmējs nav spējīgs segt savas kredītsaistības un vispārējās valdības sektoram ir tās jāpārņem. Papildu risks var rasties arī gadījumā, ja sākotnēji novērtētie zaudējumi no galvojumu sniegšanas, kas uzskaitīti kā vispārējās valdības sektora izdevumi, realizējas lielākā apmērā. </w:t>
      </w:r>
    </w:p>
    <w:p w14:paraId="33264571" w14:textId="77777777" w:rsidR="00351B01" w:rsidRPr="00351B01" w:rsidRDefault="00351B01" w:rsidP="006357B3">
      <w:pPr>
        <w:spacing w:after="160" w:line="240" w:lineRule="auto"/>
        <w:ind w:firstLine="709"/>
        <w:jc w:val="center"/>
        <w:rPr>
          <w:rFonts w:eastAsia="Aptos" w:cs="Times New Roman"/>
          <w:kern w:val="2"/>
          <w:szCs w:val="24"/>
          <w14:ligatures w14:val="standardContextual"/>
        </w:rPr>
      </w:pPr>
      <w:r w:rsidRPr="00351B01">
        <w:rPr>
          <w:rFonts w:eastAsia="Aptos" w:cs="Times New Roman"/>
          <w:noProof/>
          <w:kern w:val="2"/>
          <w:szCs w:val="24"/>
          <w14:ligatures w14:val="standardContextual"/>
        </w:rPr>
        <w:drawing>
          <wp:inline distT="0" distB="0" distL="0" distR="0" wp14:anchorId="602EF289" wp14:editId="041B6AEF">
            <wp:extent cx="4726305" cy="2341983"/>
            <wp:effectExtent l="0" t="0" r="17145" b="1270"/>
            <wp:docPr id="463498925" name="Chart 1">
              <a:extLst xmlns:a="http://schemas.openxmlformats.org/drawingml/2006/main">
                <a:ext uri="{FF2B5EF4-FFF2-40B4-BE49-F238E27FC236}">
                  <a16:creationId xmlns:a16="http://schemas.microsoft.com/office/drawing/2014/main" id="{E81623C4-6770-5757-4F68-0DE9332DE9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E42DC96" w14:textId="41E6FB11" w:rsidR="00351B01" w:rsidRPr="00351B01" w:rsidRDefault="00091136" w:rsidP="006357B3">
      <w:pPr>
        <w:spacing w:after="160" w:line="240" w:lineRule="auto"/>
        <w:ind w:firstLine="709"/>
        <w:jc w:val="center"/>
        <w:rPr>
          <w:rFonts w:eastAsia="Aptos" w:cs="Times New Roman"/>
          <w:kern w:val="2"/>
          <w:szCs w:val="24"/>
          <w14:ligatures w14:val="standardContextual"/>
        </w:rPr>
      </w:pPr>
      <w:r>
        <w:rPr>
          <w:rFonts w:eastAsia="Aptos" w:cs="Times New Roman"/>
          <w:b/>
          <w:bCs/>
          <w:i/>
          <w:iCs/>
          <w:kern w:val="2"/>
          <w:szCs w:val="24"/>
          <w14:ligatures w14:val="standardContextual"/>
        </w:rPr>
        <w:t>10</w:t>
      </w:r>
      <w:r w:rsidR="009F79C4" w:rsidRPr="005243E9">
        <w:rPr>
          <w:rFonts w:eastAsia="Aptos" w:cs="Times New Roman"/>
          <w:b/>
          <w:bCs/>
          <w:i/>
          <w:iCs/>
          <w:kern w:val="2"/>
          <w:szCs w:val="24"/>
          <w14:ligatures w14:val="standardContextual"/>
        </w:rPr>
        <w:t>.4</w:t>
      </w:r>
      <w:r w:rsidR="00351B01" w:rsidRPr="005243E9">
        <w:rPr>
          <w:rFonts w:eastAsia="Aptos" w:cs="Times New Roman"/>
          <w:b/>
          <w:bCs/>
          <w:i/>
          <w:iCs/>
          <w:kern w:val="2"/>
          <w:szCs w:val="24"/>
          <w14:ligatures w14:val="standardContextual"/>
        </w:rPr>
        <w:t>.</w:t>
      </w:r>
      <w:r w:rsidR="00A4204D" w:rsidRPr="005243E9">
        <w:rPr>
          <w:rFonts w:eastAsia="Aptos" w:cs="Times New Roman"/>
          <w:b/>
          <w:bCs/>
          <w:i/>
          <w:iCs/>
          <w:kern w:val="2"/>
          <w:szCs w:val="24"/>
          <w14:ligatures w14:val="standardContextual"/>
        </w:rPr>
        <w:t xml:space="preserve"> </w:t>
      </w:r>
      <w:r w:rsidR="00351B01" w:rsidRPr="005243E9">
        <w:rPr>
          <w:rFonts w:eastAsia="Aptos" w:cs="Times New Roman"/>
          <w:b/>
          <w:bCs/>
          <w:i/>
          <w:iCs/>
          <w:kern w:val="2"/>
          <w:szCs w:val="24"/>
          <w14:ligatures w14:val="standardContextual"/>
        </w:rPr>
        <w:t>att.</w:t>
      </w:r>
      <w:r w:rsidR="00351B01" w:rsidRPr="005243E9">
        <w:rPr>
          <w:rFonts w:eastAsia="Aptos" w:cs="Times New Roman"/>
          <w:i/>
          <w:iCs/>
          <w:kern w:val="2"/>
          <w:szCs w:val="24"/>
          <w14:ligatures w14:val="standardContextual"/>
        </w:rPr>
        <w:t xml:space="preserve"> </w:t>
      </w:r>
      <w:r w:rsidR="00351B01" w:rsidRPr="005243E9">
        <w:rPr>
          <w:rFonts w:eastAsia="Aptos" w:cs="Times New Roman"/>
          <w:b/>
          <w:bCs/>
          <w:i/>
          <w:iCs/>
          <w:kern w:val="2"/>
          <w:szCs w:val="24"/>
          <w14:ligatures w14:val="standardContextual"/>
        </w:rPr>
        <w:t>Vispārējās valdības sektora galvojumu apmērs 2022. gadā, % no IKP</w:t>
      </w:r>
      <w:r w:rsidR="00351B01" w:rsidRPr="005243E9">
        <w:rPr>
          <w:rFonts w:eastAsia="Aptos" w:cs="Times New Roman"/>
          <w:i/>
          <w:iCs/>
          <w:kern w:val="2"/>
          <w:szCs w:val="24"/>
          <w14:ligatures w14:val="standardContextual"/>
        </w:rPr>
        <w:br/>
      </w:r>
      <w:r w:rsidR="00351B01" w:rsidRPr="005243E9">
        <w:rPr>
          <w:rFonts w:eastAsia="Aptos" w:cs="Times New Roman"/>
          <w:kern w:val="2"/>
          <w:sz w:val="22"/>
          <w14:ligatures w14:val="standardContextual"/>
        </w:rPr>
        <w:t xml:space="preserve"> (</w:t>
      </w:r>
      <w:r w:rsidR="00351B01" w:rsidRPr="005243E9">
        <w:rPr>
          <w:rFonts w:eastAsia="Aptos" w:cs="Times New Roman"/>
          <w:i/>
          <w:iCs/>
          <w:kern w:val="2"/>
          <w:sz w:val="22"/>
          <w14:ligatures w14:val="standardContextual"/>
        </w:rPr>
        <w:t>sniegti ārpus vispārējās valdības sektora klasificētām institūcijām, un neiekļauj tādus, kas jau ir atzīti vispārējās valdības parādā atbilstoši EKS metodoloģijai</w:t>
      </w:r>
      <w:r w:rsidR="00351B01" w:rsidRPr="005243E9">
        <w:rPr>
          <w:rFonts w:eastAsia="Aptos" w:cs="Times New Roman"/>
          <w:kern w:val="2"/>
          <w:sz w:val="22"/>
          <w14:ligatures w14:val="standardContextual"/>
        </w:rPr>
        <w:t xml:space="preserve">). Avots: </w:t>
      </w:r>
      <w:proofErr w:type="spellStart"/>
      <w:r w:rsidR="00351B01" w:rsidRPr="005243E9">
        <w:rPr>
          <w:rFonts w:eastAsia="Aptos" w:cs="Times New Roman"/>
          <w:i/>
          <w:iCs/>
          <w:kern w:val="2"/>
          <w:sz w:val="22"/>
          <w14:ligatures w14:val="standardContextual"/>
        </w:rPr>
        <w:t>Eurostat</w:t>
      </w:r>
      <w:proofErr w:type="spellEnd"/>
    </w:p>
    <w:p w14:paraId="255CE45B" w14:textId="490C6794" w:rsidR="00351B01" w:rsidRPr="00351B01" w:rsidRDefault="00351B01" w:rsidP="005761AE">
      <w:pPr>
        <w:spacing w:after="240" w:line="240" w:lineRule="auto"/>
        <w:ind w:firstLine="709"/>
        <w:rPr>
          <w:rFonts w:eastAsia="Aptos" w:cs="Times New Roman"/>
          <w:kern w:val="2"/>
          <w:szCs w:val="24"/>
          <w14:ligatures w14:val="standardContextual"/>
        </w:rPr>
      </w:pPr>
      <w:r w:rsidRPr="00351B01">
        <w:rPr>
          <w:rFonts w:eastAsia="Aptos" w:cs="Times New Roman"/>
          <w:kern w:val="2"/>
          <w:szCs w:val="24"/>
          <w14:ligatures w14:val="standardContextual"/>
        </w:rPr>
        <w:t>Vispārējās valdības sektora galvojumu vērtība 2022.</w:t>
      </w:r>
      <w:r w:rsidRPr="00351B01">
        <w:rPr>
          <w:rFonts w:eastAsia="Aptos" w:cs="Times New Roman"/>
          <w:b/>
          <w:bCs/>
          <w:kern w:val="2"/>
          <w:szCs w:val="24"/>
          <w14:ligatures w14:val="standardContextual"/>
        </w:rPr>
        <w:t xml:space="preserve"> </w:t>
      </w:r>
      <w:r w:rsidRPr="00351B01">
        <w:rPr>
          <w:rFonts w:eastAsia="Aptos" w:cs="Times New Roman"/>
          <w:kern w:val="2"/>
          <w:szCs w:val="24"/>
          <w14:ligatures w14:val="standardContextual"/>
        </w:rPr>
        <w:t xml:space="preserve">gadā, kas izteikta % no IKP ES dalībvalstu griezumā, ir atspoguļota </w:t>
      </w:r>
      <w:r w:rsidR="00091136">
        <w:rPr>
          <w:rFonts w:eastAsia="Aptos" w:cs="Times New Roman"/>
          <w:kern w:val="2"/>
          <w:szCs w:val="24"/>
          <w14:ligatures w14:val="standardContextual"/>
        </w:rPr>
        <w:t>10</w:t>
      </w:r>
      <w:r w:rsidR="009F79C4">
        <w:rPr>
          <w:rFonts w:eastAsia="Aptos" w:cs="Times New Roman"/>
          <w:kern w:val="2"/>
          <w:szCs w:val="24"/>
          <w14:ligatures w14:val="standardContextual"/>
        </w:rPr>
        <w:t>.4.</w:t>
      </w:r>
      <w:r w:rsidRPr="00351B01">
        <w:rPr>
          <w:rFonts w:eastAsia="Aptos" w:cs="Times New Roman"/>
          <w:kern w:val="2"/>
          <w:szCs w:val="24"/>
          <w14:ligatures w14:val="standardContextual"/>
        </w:rPr>
        <w:t xml:space="preserve"> attēlā. No </w:t>
      </w:r>
      <w:proofErr w:type="spellStart"/>
      <w:r w:rsidRPr="00351B01">
        <w:rPr>
          <w:rFonts w:eastAsia="Aptos" w:cs="Times New Roman"/>
          <w:i/>
          <w:iCs/>
          <w:kern w:val="2"/>
          <w:szCs w:val="24"/>
          <w14:ligatures w14:val="standardContextual"/>
        </w:rPr>
        <w:t>Eurostat</w:t>
      </w:r>
      <w:proofErr w:type="spellEnd"/>
      <w:r w:rsidRPr="00351B01">
        <w:rPr>
          <w:rFonts w:eastAsia="Aptos" w:cs="Times New Roman"/>
          <w:kern w:val="2"/>
          <w:szCs w:val="24"/>
          <w14:ligatures w14:val="standardContextual"/>
        </w:rPr>
        <w:t xml:space="preserve"> apkopotajiem datiem var </w:t>
      </w:r>
      <w:r w:rsidRPr="00351B01">
        <w:rPr>
          <w:rFonts w:eastAsia="Aptos" w:cs="Times New Roman"/>
          <w:kern w:val="2"/>
          <w:szCs w:val="24"/>
          <w14:ligatures w14:val="standardContextual"/>
        </w:rPr>
        <w:lastRenderedPageBreak/>
        <w:t xml:space="preserve">viennozīmīgi secināt, ka ES dalībvalstu vidū Latvijas vispārējās valdības sektora izsniegto galvojumu apmērs ir zems (neskatoties uz Covid–19 ietekmes mazināšanai sniegto atbalstu) un šāda tendence ir novērota ilgstošā laika periodā, kā redzams </w:t>
      </w:r>
      <w:r w:rsidR="00091136">
        <w:rPr>
          <w:rFonts w:eastAsia="Aptos" w:cs="Times New Roman"/>
          <w:kern w:val="2"/>
          <w:szCs w:val="24"/>
          <w14:ligatures w14:val="standardContextual"/>
        </w:rPr>
        <w:t>10</w:t>
      </w:r>
      <w:r w:rsidR="009F79C4">
        <w:rPr>
          <w:rFonts w:eastAsia="Aptos" w:cs="Times New Roman"/>
          <w:kern w:val="2"/>
          <w:szCs w:val="24"/>
          <w14:ligatures w14:val="standardContextual"/>
        </w:rPr>
        <w:t>.5.</w:t>
      </w:r>
      <w:r w:rsidRPr="00351B01">
        <w:rPr>
          <w:rFonts w:eastAsia="Aptos" w:cs="Times New Roman"/>
          <w:kern w:val="2"/>
          <w:szCs w:val="24"/>
          <w14:ligatures w14:val="standardContextual"/>
        </w:rPr>
        <w:t xml:space="preserve"> attēlā.</w:t>
      </w:r>
    </w:p>
    <w:p w14:paraId="649C85B6" w14:textId="67CD463C" w:rsidR="00351B01" w:rsidRPr="005761AE" w:rsidRDefault="00351B01" w:rsidP="005761AE">
      <w:pPr>
        <w:spacing w:after="160" w:line="240" w:lineRule="auto"/>
        <w:ind w:firstLine="709"/>
        <w:jc w:val="center"/>
        <w:rPr>
          <w:rFonts w:eastAsia="Aptos" w:cs="Times New Roman"/>
          <w:kern w:val="2"/>
          <w:szCs w:val="24"/>
          <w14:ligatures w14:val="standardContextual"/>
        </w:rPr>
      </w:pPr>
      <w:r w:rsidRPr="00351B01">
        <w:rPr>
          <w:rFonts w:eastAsia="Aptos" w:cs="Times New Roman"/>
          <w:noProof/>
          <w:kern w:val="2"/>
          <w:szCs w:val="24"/>
          <w14:ligatures w14:val="standardContextual"/>
        </w:rPr>
        <w:drawing>
          <wp:inline distT="0" distB="0" distL="0" distR="0" wp14:anchorId="2AE1FB4A" wp14:editId="6FE6957C">
            <wp:extent cx="4577737" cy="2360428"/>
            <wp:effectExtent l="0" t="0" r="0" b="1905"/>
            <wp:docPr id="450245730" name="Picture 4" descr="A graph of a number of y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45730" name="Picture 4" descr="A graph of a number of years&#10;&#10;Description automatically generated with medium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93520" cy="2368566"/>
                    </a:xfrm>
                    <a:prstGeom prst="rect">
                      <a:avLst/>
                    </a:prstGeom>
                    <a:noFill/>
                    <a:ln>
                      <a:noFill/>
                    </a:ln>
                  </pic:spPr>
                </pic:pic>
              </a:graphicData>
            </a:graphic>
          </wp:inline>
        </w:drawing>
      </w:r>
    </w:p>
    <w:p w14:paraId="63C29538" w14:textId="6A14755C" w:rsidR="00351B01" w:rsidRPr="00351B01" w:rsidRDefault="00091136" w:rsidP="006357B3">
      <w:pPr>
        <w:spacing w:after="160" w:line="240" w:lineRule="auto"/>
        <w:ind w:firstLine="709"/>
        <w:jc w:val="center"/>
        <w:rPr>
          <w:rFonts w:eastAsia="Aptos" w:cs="Times New Roman"/>
          <w:kern w:val="2"/>
          <w:szCs w:val="24"/>
          <w14:ligatures w14:val="standardContextual"/>
        </w:rPr>
      </w:pPr>
      <w:r>
        <w:rPr>
          <w:rFonts w:eastAsia="Aptos" w:cs="Times New Roman"/>
          <w:b/>
          <w:bCs/>
          <w:i/>
          <w:iCs/>
          <w:kern w:val="2"/>
          <w:szCs w:val="24"/>
          <w14:ligatures w14:val="standardContextual"/>
        </w:rPr>
        <w:t>10</w:t>
      </w:r>
      <w:r w:rsidR="009F79C4" w:rsidRPr="005243E9">
        <w:rPr>
          <w:rFonts w:eastAsia="Aptos" w:cs="Times New Roman"/>
          <w:b/>
          <w:bCs/>
          <w:i/>
          <w:iCs/>
          <w:kern w:val="2"/>
          <w:szCs w:val="24"/>
          <w14:ligatures w14:val="standardContextual"/>
        </w:rPr>
        <w:t>.5</w:t>
      </w:r>
      <w:r w:rsidR="00351B01" w:rsidRPr="005243E9">
        <w:rPr>
          <w:rFonts w:eastAsia="Aptos" w:cs="Times New Roman"/>
          <w:b/>
          <w:bCs/>
          <w:i/>
          <w:iCs/>
          <w:kern w:val="2"/>
          <w:szCs w:val="24"/>
          <w14:ligatures w14:val="standardContextual"/>
        </w:rPr>
        <w:t>.</w:t>
      </w:r>
      <w:r w:rsidR="00A4204D" w:rsidRPr="005243E9">
        <w:rPr>
          <w:rFonts w:eastAsia="Aptos" w:cs="Times New Roman"/>
          <w:b/>
          <w:bCs/>
          <w:i/>
          <w:iCs/>
          <w:kern w:val="2"/>
          <w:szCs w:val="24"/>
          <w14:ligatures w14:val="standardContextual"/>
        </w:rPr>
        <w:t xml:space="preserve"> </w:t>
      </w:r>
      <w:r w:rsidR="00351B01" w:rsidRPr="005243E9">
        <w:rPr>
          <w:rFonts w:eastAsia="Aptos" w:cs="Times New Roman"/>
          <w:b/>
          <w:bCs/>
          <w:i/>
          <w:iCs/>
          <w:kern w:val="2"/>
          <w:szCs w:val="24"/>
          <w14:ligatures w14:val="standardContextual"/>
        </w:rPr>
        <w:t>att. Vispārējās valdības sektora galvojumu apmērs no 2013. līdz 2022. gadam, % no IKP</w:t>
      </w:r>
      <w:r w:rsidR="00351B01" w:rsidRPr="00351B01">
        <w:rPr>
          <w:rFonts w:eastAsia="Aptos" w:cs="Times New Roman"/>
          <w:b/>
          <w:bCs/>
          <w:kern w:val="2"/>
          <w:szCs w:val="24"/>
          <w14:ligatures w14:val="standardContextual"/>
        </w:rPr>
        <w:br/>
      </w:r>
      <w:r w:rsidR="00351B01" w:rsidRPr="005243E9">
        <w:rPr>
          <w:rFonts w:eastAsia="Aptos" w:cs="Times New Roman"/>
          <w:kern w:val="2"/>
          <w:sz w:val="22"/>
          <w14:ligatures w14:val="standardContextual"/>
        </w:rPr>
        <w:t xml:space="preserve"> (</w:t>
      </w:r>
      <w:r w:rsidR="00351B01" w:rsidRPr="005243E9">
        <w:rPr>
          <w:rFonts w:eastAsia="Aptos" w:cs="Times New Roman"/>
          <w:i/>
          <w:iCs/>
          <w:kern w:val="2"/>
          <w:sz w:val="22"/>
          <w14:ligatures w14:val="standardContextual"/>
        </w:rPr>
        <w:t>sniegti ārpus vispārējās valdības sektora klasificētām institūcijām, un neiekļauj tādus, kas jau ir atzīti vispārējās valdības parādā atbilstoši EKS metodoloģijai</w:t>
      </w:r>
      <w:r w:rsidR="00351B01" w:rsidRPr="005243E9">
        <w:rPr>
          <w:rFonts w:eastAsia="Aptos" w:cs="Times New Roman"/>
          <w:kern w:val="2"/>
          <w:sz w:val="22"/>
          <w14:ligatures w14:val="standardContextual"/>
        </w:rPr>
        <w:t xml:space="preserve">). Avots: </w:t>
      </w:r>
      <w:proofErr w:type="spellStart"/>
      <w:r w:rsidR="00351B01" w:rsidRPr="005243E9">
        <w:rPr>
          <w:rFonts w:eastAsia="Aptos" w:cs="Times New Roman"/>
          <w:i/>
          <w:iCs/>
          <w:kern w:val="2"/>
          <w:sz w:val="22"/>
          <w14:ligatures w14:val="standardContextual"/>
        </w:rPr>
        <w:t>Eurostat</w:t>
      </w:r>
      <w:proofErr w:type="spellEnd"/>
    </w:p>
    <w:p w14:paraId="22ED0310" w14:textId="3A427B6C" w:rsidR="0001020F" w:rsidRPr="002869EC" w:rsidRDefault="0001020F" w:rsidP="006357B3">
      <w:pPr>
        <w:spacing w:after="160" w:line="240" w:lineRule="auto"/>
        <w:ind w:firstLine="0"/>
        <w:rPr>
          <w:rFonts w:eastAsia="Aptos" w:cs="Times New Roman"/>
          <w:kern w:val="2"/>
          <w:szCs w:val="24"/>
          <w14:ligatures w14:val="standardContextual"/>
        </w:rPr>
      </w:pPr>
    </w:p>
    <w:p w14:paraId="52140DC1" w14:textId="7D0EAE40" w:rsidR="00B83DC8" w:rsidRDefault="00B83DC8" w:rsidP="006357B3">
      <w:pPr>
        <w:spacing w:after="160" w:line="240"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pPr>
    </w:p>
    <w:p w14:paraId="27015E25" w14:textId="77777777" w:rsidR="00EE41CA" w:rsidRDefault="00EE41CA" w:rsidP="006357B3">
      <w:pPr>
        <w:spacing w:after="160" w:line="240"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pPr>
    </w:p>
    <w:p w14:paraId="12004E2E" w14:textId="0CB4D817" w:rsidR="00EE41CA" w:rsidRPr="00EE41CA" w:rsidRDefault="00EE41CA" w:rsidP="00EE41CA">
      <w:pPr>
        <w:spacing w:after="0" w:line="240" w:lineRule="auto"/>
        <w:ind w:right="-1" w:firstLine="0"/>
        <w:jc w:val="left"/>
        <w:rPr>
          <w:rFonts w:eastAsia="Calibri" w:cs="Times New Roman"/>
          <w:szCs w:val="24"/>
          <w:lang w:eastAsia="x-none"/>
        </w:rPr>
      </w:pPr>
      <w:r w:rsidRPr="00EE41CA">
        <w:rPr>
          <w:rFonts w:eastAsia="Calibri" w:cs="Times New Roman"/>
          <w:szCs w:val="24"/>
          <w:lang w:val="x-none" w:eastAsia="x-none"/>
        </w:rPr>
        <w:t>Finanšu ministrs</w:t>
      </w:r>
      <w:r w:rsidRPr="00EE41CA">
        <w:rPr>
          <w:rFonts w:eastAsia="Calibri" w:cs="Times New Roman"/>
          <w:szCs w:val="24"/>
          <w:lang w:val="x-none" w:eastAsia="x-none"/>
        </w:rPr>
        <w:tab/>
      </w:r>
      <w:r w:rsidRPr="00EE41CA">
        <w:rPr>
          <w:rFonts w:eastAsia="Calibri" w:cs="Times New Roman"/>
          <w:szCs w:val="24"/>
          <w:lang w:val="x-none" w:eastAsia="x-none"/>
        </w:rPr>
        <w:tab/>
      </w:r>
      <w:r w:rsidRPr="00EE41CA">
        <w:rPr>
          <w:rFonts w:eastAsia="Calibri" w:cs="Times New Roman"/>
          <w:szCs w:val="24"/>
          <w:lang w:val="x-none" w:eastAsia="x-none"/>
        </w:rPr>
        <w:tab/>
      </w:r>
      <w:r w:rsidRPr="00EE41CA">
        <w:rPr>
          <w:rFonts w:eastAsia="Calibri" w:cs="Times New Roman"/>
          <w:szCs w:val="24"/>
          <w:lang w:val="x-none" w:eastAsia="x-none"/>
        </w:rPr>
        <w:tab/>
      </w:r>
      <w:r w:rsidRPr="00EE41CA">
        <w:rPr>
          <w:rFonts w:eastAsia="Calibri" w:cs="Times New Roman"/>
          <w:szCs w:val="24"/>
          <w:lang w:val="x-none" w:eastAsia="x-none"/>
        </w:rPr>
        <w:tab/>
      </w:r>
      <w:r w:rsidRPr="00EE41CA">
        <w:rPr>
          <w:rFonts w:eastAsia="Calibri" w:cs="Times New Roman"/>
          <w:szCs w:val="24"/>
          <w:lang w:val="x-none" w:eastAsia="x-none"/>
        </w:rPr>
        <w:tab/>
      </w:r>
      <w:r w:rsidRPr="00EE41CA">
        <w:rPr>
          <w:rFonts w:eastAsia="Calibri" w:cs="Times New Roman"/>
          <w:szCs w:val="24"/>
          <w:lang w:val="x-none" w:eastAsia="x-none"/>
        </w:rPr>
        <w:tab/>
      </w:r>
      <w:r w:rsidRPr="00EE41CA">
        <w:rPr>
          <w:rFonts w:eastAsia="Calibri" w:cs="Times New Roman"/>
          <w:szCs w:val="24"/>
          <w:lang w:val="x-none" w:eastAsia="x-none"/>
        </w:rPr>
        <w:tab/>
      </w:r>
      <w:r w:rsidRPr="00EE41CA">
        <w:rPr>
          <w:rFonts w:eastAsia="Calibri" w:cs="Times New Roman"/>
          <w:szCs w:val="24"/>
          <w:lang w:eastAsia="x-none"/>
        </w:rPr>
        <w:t xml:space="preserve"> </w:t>
      </w:r>
      <w:r>
        <w:rPr>
          <w:rFonts w:eastAsia="Calibri" w:cs="Times New Roman"/>
          <w:szCs w:val="24"/>
          <w:lang w:eastAsia="x-none"/>
        </w:rPr>
        <w:t xml:space="preserve">     </w:t>
      </w:r>
      <w:r w:rsidRPr="00EE41CA">
        <w:rPr>
          <w:rFonts w:eastAsia="Calibri" w:cs="Times New Roman"/>
          <w:szCs w:val="24"/>
          <w:lang w:eastAsia="x-none"/>
        </w:rPr>
        <w:t>A</w:t>
      </w:r>
      <w:r w:rsidRPr="00EE41CA">
        <w:rPr>
          <w:rFonts w:eastAsia="Calibri" w:cs="Times New Roman"/>
          <w:szCs w:val="24"/>
          <w:lang w:val="x-none" w:eastAsia="x-none"/>
        </w:rPr>
        <w:t>.</w:t>
      </w:r>
      <w:r w:rsidRPr="00EE41CA">
        <w:rPr>
          <w:rFonts w:eastAsia="Calibri" w:cs="Times New Roman"/>
          <w:szCs w:val="24"/>
          <w:lang w:eastAsia="x-none"/>
        </w:rPr>
        <w:t>Ašeradens</w:t>
      </w:r>
    </w:p>
    <w:p w14:paraId="30C3FD8C" w14:textId="77777777" w:rsidR="00EE41CA" w:rsidRPr="00EE41CA" w:rsidRDefault="00EE41CA" w:rsidP="00EE41CA">
      <w:pPr>
        <w:spacing w:after="60"/>
        <w:ind w:firstLine="0"/>
        <w:rPr>
          <w:rFonts w:eastAsia="Times New Roman" w:cs="Times New Roman"/>
          <w:szCs w:val="24"/>
          <w:highlight w:val="lightGray"/>
        </w:rPr>
      </w:pPr>
    </w:p>
    <w:p w14:paraId="69E2BE98" w14:textId="77777777" w:rsidR="00EE41CA" w:rsidRPr="00EE41CA" w:rsidRDefault="00EE41CA" w:rsidP="00EE41CA">
      <w:pPr>
        <w:spacing w:after="60"/>
        <w:ind w:firstLine="0"/>
        <w:rPr>
          <w:rFonts w:eastAsia="Times New Roman" w:cs="Times New Roman"/>
          <w:szCs w:val="20"/>
          <w:highlight w:val="lightGray"/>
        </w:rPr>
      </w:pPr>
    </w:p>
    <w:p w14:paraId="3AB6CC26" w14:textId="77777777" w:rsidR="00EE41CA" w:rsidRPr="00EE41CA" w:rsidRDefault="00EE41CA" w:rsidP="00EE41CA">
      <w:pPr>
        <w:spacing w:after="60"/>
        <w:ind w:firstLine="0"/>
        <w:rPr>
          <w:rFonts w:eastAsia="Times New Roman" w:cs="Times New Roman"/>
          <w:szCs w:val="20"/>
          <w:highlight w:val="lightGray"/>
        </w:rPr>
      </w:pPr>
    </w:p>
    <w:p w14:paraId="11C29C1C" w14:textId="77777777" w:rsidR="00EE41CA" w:rsidRPr="00EE41CA" w:rsidRDefault="00EE41CA" w:rsidP="00EE41CA">
      <w:pPr>
        <w:spacing w:after="60"/>
        <w:ind w:firstLine="0"/>
        <w:rPr>
          <w:rFonts w:eastAsia="Times New Roman" w:cs="Times New Roman"/>
          <w:szCs w:val="20"/>
          <w:highlight w:val="lightGray"/>
        </w:rPr>
      </w:pPr>
    </w:p>
    <w:p w14:paraId="71EB8A87" w14:textId="5EFB141C" w:rsidR="00EE41CA" w:rsidRPr="00EE41CA" w:rsidRDefault="00EE41CA" w:rsidP="00EE41CA">
      <w:pPr>
        <w:spacing w:after="0" w:line="240" w:lineRule="auto"/>
        <w:ind w:firstLine="0"/>
        <w:rPr>
          <w:rFonts w:eastAsia="Times New Roman" w:cs="Times New Roman"/>
          <w:sz w:val="20"/>
          <w:szCs w:val="20"/>
          <w:highlight w:val="lightGray"/>
        </w:rPr>
      </w:pPr>
    </w:p>
    <w:p w14:paraId="742E4B42" w14:textId="7ECC376B" w:rsidR="00EE41CA" w:rsidRPr="00EE41CA" w:rsidRDefault="00EE41CA" w:rsidP="00EE41CA">
      <w:pPr>
        <w:spacing w:line="240" w:lineRule="auto"/>
        <w:ind w:firstLine="0"/>
        <w:rPr>
          <w:rFonts w:eastAsia="Times New Roman" w:cs="Times New Roman"/>
          <w:sz w:val="20"/>
          <w:szCs w:val="16"/>
          <w:highlight w:val="lightGray"/>
        </w:rPr>
      </w:pPr>
    </w:p>
    <w:p w14:paraId="2F0A2AAC" w14:textId="27D13448" w:rsidR="00EE41CA" w:rsidRPr="00EE41CA" w:rsidRDefault="00EE41CA" w:rsidP="00EE41CA">
      <w:pPr>
        <w:spacing w:after="0" w:line="240" w:lineRule="auto"/>
        <w:ind w:firstLine="0"/>
        <w:rPr>
          <w:rFonts w:eastAsia="Times New Roman" w:cs="Times New Roman"/>
          <w:sz w:val="16"/>
          <w:szCs w:val="16"/>
        </w:rPr>
      </w:pPr>
      <w:r w:rsidRPr="00EE41CA">
        <w:rPr>
          <w:rFonts w:eastAsia="Times New Roman" w:cs="Times New Roman"/>
          <w:sz w:val="16"/>
          <w:szCs w:val="16"/>
        </w:rPr>
        <w:t>Krauze-Tola, 25681938</w:t>
      </w:r>
    </w:p>
    <w:p w14:paraId="3413E087" w14:textId="77777777" w:rsidR="00EE41CA" w:rsidRPr="00EE41CA" w:rsidRDefault="008446DE" w:rsidP="00EE41CA">
      <w:pPr>
        <w:spacing w:after="0" w:line="240" w:lineRule="auto"/>
        <w:ind w:firstLine="0"/>
        <w:rPr>
          <w:rFonts w:eastAsia="Times New Roman" w:cs="Times New Roman"/>
          <w:sz w:val="16"/>
          <w:szCs w:val="16"/>
        </w:rPr>
      </w:pPr>
      <w:hyperlink r:id="rId31" w:history="1">
        <w:r w:rsidR="00EE41CA" w:rsidRPr="00EE41CA">
          <w:rPr>
            <w:rFonts w:eastAsia="Times New Roman" w:cs="Times New Roman"/>
            <w:sz w:val="16"/>
            <w:szCs w:val="16"/>
            <w:u w:val="single"/>
          </w:rPr>
          <w:t>klinta.krauze@fm.gov.lv</w:t>
        </w:r>
      </w:hyperlink>
    </w:p>
    <w:p w14:paraId="4792DA4B" w14:textId="7B7710CF" w:rsidR="005761AE" w:rsidRDefault="00EE41CA" w:rsidP="00EE41CA">
      <w:pPr>
        <w:tabs>
          <w:tab w:val="left" w:pos="6181"/>
        </w:tabs>
        <w:spacing w:after="160" w:line="259" w:lineRule="auto"/>
        <w:ind w:firstLine="0"/>
        <w:jc w:val="left"/>
        <w:rPr>
          <w:rFonts w:eastAsia="Times New Roman" w:cs="Times New Roman"/>
          <w:b/>
          <w:bCs/>
          <w:smallCaps/>
          <w:color w:val="000000"/>
          <w:sz w:val="32"/>
          <w:szCs w:val="32"/>
          <w:lang w:eastAsia="lv-LV"/>
          <w14:textOutline w14:w="9525" w14:cap="rnd" w14:cmpd="sng" w14:algn="ctr">
            <w14:noFill/>
            <w14:prstDash w14:val="solid"/>
            <w14:bevel/>
          </w14:textOutline>
        </w:rPr>
      </w:pPr>
      <w:r w:rsidRPr="00AA65A7">
        <w:rPr>
          <w:rFonts w:eastAsia="Times New Roman" w:cs="Times New Roman"/>
          <w:b/>
          <w:noProof/>
          <w:szCs w:val="20"/>
        </w:rPr>
        <w:drawing>
          <wp:anchor distT="0" distB="0" distL="114300" distR="114300" simplePos="0" relativeHeight="251675648" behindDoc="1" locked="0" layoutInCell="1" allowOverlap="1" wp14:anchorId="7605FE80" wp14:editId="730BC99E">
            <wp:simplePos x="0" y="0"/>
            <wp:positionH relativeFrom="page">
              <wp:align>left</wp:align>
            </wp:positionH>
            <wp:positionV relativeFrom="page">
              <wp:align>bottom</wp:align>
            </wp:positionV>
            <wp:extent cx="2499995" cy="1057275"/>
            <wp:effectExtent l="0" t="0" r="0" b="9525"/>
            <wp:wrapNone/>
            <wp:docPr id="1279712317" name="Picture 3" descr="A blue and gold wavy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12317" name="Picture 3" descr="A blue and gold wavy design&#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l="29722" b="70278"/>
                    <a:stretch/>
                  </pic:blipFill>
                  <pic:spPr bwMode="auto">
                    <a:xfrm flipH="1" flipV="1">
                      <a:off x="0" y="0"/>
                      <a:ext cx="2499995"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cs="Times New Roman"/>
          <w:b/>
          <w:bCs/>
          <w:smallCaps/>
          <w:color w:val="000000"/>
          <w:sz w:val="32"/>
          <w:szCs w:val="32"/>
          <w:lang w:eastAsia="lv-LV"/>
          <w14:textOutline w14:w="9525" w14:cap="rnd" w14:cmpd="sng" w14:algn="ctr">
            <w14:noFill/>
            <w14:prstDash w14:val="solid"/>
            <w14:bevel/>
          </w14:textOutline>
        </w:rPr>
        <w:tab/>
      </w:r>
    </w:p>
    <w:sectPr w:rsidR="005761AE" w:rsidSect="00FF0733">
      <w:pgSz w:w="11906" w:h="16838" w:code="9"/>
      <w:pgMar w:top="1134" w:right="1134" w:bottom="1134" w:left="1418" w:header="0" w:footer="14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1CF6D" w14:textId="77777777" w:rsidR="001540FA" w:rsidRDefault="001540FA" w:rsidP="00BF4753">
      <w:r>
        <w:separator/>
      </w:r>
    </w:p>
  </w:endnote>
  <w:endnote w:type="continuationSeparator" w:id="0">
    <w:p w14:paraId="412B28CF" w14:textId="77777777" w:rsidR="001540FA" w:rsidRDefault="001540FA" w:rsidP="00BF4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EUAlbertina">
    <w:altName w:val="EU Albertina"/>
    <w:panose1 w:val="00000000000000000000"/>
    <w:charset w:val="00"/>
    <w:family w:val="roman"/>
    <w:notTrueType/>
    <w:pitch w:val="default"/>
    <w:sig w:usb0="00000007" w:usb1="00000000" w:usb2="00000000" w:usb3="00000000" w:csb0="00000003" w:csb1="00000000"/>
  </w:font>
  <w:font w:name="Segoe UI">
    <w:altName w:val="Calibr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627441"/>
      <w:docPartObj>
        <w:docPartGallery w:val="Page Numbers (Bottom of Page)"/>
        <w:docPartUnique/>
      </w:docPartObj>
    </w:sdtPr>
    <w:sdtEndPr>
      <w:rPr>
        <w:noProof/>
        <w:szCs w:val="20"/>
      </w:rPr>
    </w:sdtEndPr>
    <w:sdtContent>
      <w:p w14:paraId="5543B820" w14:textId="061F0792" w:rsidR="00013CAB" w:rsidRPr="00013CAB" w:rsidRDefault="00013CAB" w:rsidP="00013CAB">
        <w:pPr>
          <w:pStyle w:val="Footer"/>
          <w:jc w:val="right"/>
          <w:rPr>
            <w:szCs w:val="20"/>
          </w:rPr>
        </w:pPr>
        <w:r w:rsidRPr="00013CAB">
          <w:rPr>
            <w:szCs w:val="20"/>
          </w:rPr>
          <w:fldChar w:fldCharType="begin"/>
        </w:r>
        <w:r w:rsidRPr="00013CAB">
          <w:rPr>
            <w:szCs w:val="20"/>
          </w:rPr>
          <w:instrText xml:space="preserve"> PAGE   \* MERGEFORMAT </w:instrText>
        </w:r>
        <w:r w:rsidRPr="00013CAB">
          <w:rPr>
            <w:szCs w:val="20"/>
          </w:rPr>
          <w:fldChar w:fldCharType="separate"/>
        </w:r>
        <w:r w:rsidRPr="00013CAB">
          <w:rPr>
            <w:noProof/>
            <w:szCs w:val="20"/>
          </w:rPr>
          <w:t>2</w:t>
        </w:r>
        <w:r w:rsidRPr="00013CAB">
          <w:rPr>
            <w:noProof/>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4345924"/>
      <w:docPartObj>
        <w:docPartGallery w:val="Page Numbers (Bottom of Page)"/>
        <w:docPartUnique/>
      </w:docPartObj>
    </w:sdtPr>
    <w:sdtEndPr>
      <w:rPr>
        <w:noProof/>
      </w:rPr>
    </w:sdtEndPr>
    <w:sdtContent>
      <w:p w14:paraId="5845DA00" w14:textId="363C06C5" w:rsidR="005C4527" w:rsidRDefault="005C45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B4B081" w14:textId="202F8AF8" w:rsidR="008D2915" w:rsidRPr="005C4527" w:rsidRDefault="008D2915" w:rsidP="005C4527">
    <w:pPr>
      <w:pStyle w:val="Footer"/>
      <w:spacing w:before="120"/>
      <w:ind w:firstLine="0"/>
      <w:rPr>
        <w:rFonts w:cs="Times New Roman"/>
        <w:noProof/>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1533962"/>
      <w:docPartObj>
        <w:docPartGallery w:val="Page Numbers (Bottom of Page)"/>
        <w:docPartUnique/>
      </w:docPartObj>
    </w:sdtPr>
    <w:sdtEndPr>
      <w:rPr>
        <w:noProof/>
      </w:rPr>
    </w:sdtEndPr>
    <w:sdtContent>
      <w:p w14:paraId="24964FB8" w14:textId="77777777" w:rsidR="00BF055E" w:rsidRDefault="00BF055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7D0DDA" w14:textId="77777777" w:rsidR="00BF055E" w:rsidRPr="005C4527" w:rsidRDefault="00BF055E" w:rsidP="005C4527">
    <w:pPr>
      <w:pStyle w:val="Footer"/>
      <w:spacing w:before="120"/>
      <w:ind w:firstLine="0"/>
      <w:rPr>
        <w:rFonts w:cs="Times New Roman"/>
        <w:noProo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178473" w14:textId="77777777" w:rsidR="001540FA" w:rsidRDefault="001540FA" w:rsidP="00BF4753">
      <w:r>
        <w:separator/>
      </w:r>
    </w:p>
  </w:footnote>
  <w:footnote w:type="continuationSeparator" w:id="0">
    <w:p w14:paraId="15F740A4" w14:textId="77777777" w:rsidR="001540FA" w:rsidRDefault="001540FA" w:rsidP="00BF4753">
      <w:r>
        <w:continuationSeparator/>
      </w:r>
    </w:p>
  </w:footnote>
  <w:footnote w:id="1">
    <w:p w14:paraId="2A0FB4EC" w14:textId="0E9E0DFB" w:rsidR="00D70281" w:rsidRDefault="00D70281" w:rsidP="00BB3235">
      <w:pPr>
        <w:pStyle w:val="FootnoteText"/>
        <w:spacing w:after="0" w:line="240" w:lineRule="auto"/>
        <w:ind w:left="0" w:firstLine="0"/>
      </w:pPr>
      <w:r>
        <w:rPr>
          <w:rStyle w:val="FootnoteReference"/>
        </w:rPr>
        <w:footnoteRef/>
      </w:r>
      <w:r>
        <w:t xml:space="preserve"> Šajā kontekstā ar nemainīgu politiku saprot fiskālās prognozes, ņemot vērā visus līdz 2025. gada budžeta</w:t>
      </w:r>
      <w:r w:rsidR="00DB4599">
        <w:t xml:space="preserve"> </w:t>
      </w:r>
      <w:r>
        <w:t>sagatavošanas uzsākšanai pieņemtos lēmumus, bet neietverot nevienu potenciāli jaunu lēmumu neatkarīgi no varbūtības, ka tas nākotnē varētu tikt pieņemts. Nemainīga politika šajā nozīmē atšķiras no nemainīgas politikas ES metodoloģijas izpratnē</w:t>
      </w:r>
      <w:r w:rsidR="00B42F99">
        <w:t xml:space="preserve">, </w:t>
      </w:r>
      <w:r>
        <w:t>par kuru minēts ievada sākumā.</w:t>
      </w:r>
    </w:p>
  </w:footnote>
  <w:footnote w:id="2">
    <w:p w14:paraId="0F5994A7" w14:textId="77777777" w:rsidR="001E0F9A" w:rsidRPr="00FC3DA6" w:rsidRDefault="001E0F9A" w:rsidP="00FC3DA6">
      <w:pPr>
        <w:pStyle w:val="FootnoteText"/>
        <w:spacing w:after="0" w:line="240" w:lineRule="auto"/>
        <w:ind w:left="0" w:firstLine="0"/>
      </w:pPr>
      <w:r w:rsidRPr="00FC3DA6">
        <w:rPr>
          <w:rStyle w:val="FootnoteReference"/>
          <w:rFonts w:ascii="Times New Roman" w:hAnsi="Times New Roman"/>
        </w:rPr>
        <w:footnoteRef/>
      </w:r>
      <w:r w:rsidRPr="00FC3DA6">
        <w:t xml:space="preserve"> </w:t>
      </w:r>
      <w:r w:rsidRPr="00FC3DA6">
        <w:rPr>
          <w:spacing w:val="9"/>
        </w:rPr>
        <w:t xml:space="preserve">Vispārējās valdības budžeta deficīta un parāda notifikācija atbilstoši regulas (EK) Nr. 479/2009 prasībām tiek iesniegta </w:t>
      </w:r>
      <w:r w:rsidRPr="000F5DA8">
        <w:rPr>
          <w:i/>
          <w:iCs/>
          <w:noProof/>
          <w:spacing w:val="9"/>
        </w:rPr>
        <w:t>Eurostat</w:t>
      </w:r>
      <w:r w:rsidRPr="00FC3DA6">
        <w:rPr>
          <w:spacing w:val="9"/>
        </w:rPr>
        <w:t xml:space="preserve"> divas reizes gadā – līdz 1. aprīlim un 1. oktobrim. Trīs nedēļu laikā no iepriekš minētājiem </w:t>
      </w:r>
      <w:r w:rsidRPr="00FC3DA6">
        <w:rPr>
          <w:noProof/>
          <w:spacing w:val="9"/>
        </w:rPr>
        <w:t xml:space="preserve">termiņiem </w:t>
      </w:r>
      <w:r w:rsidRPr="00FC3DA6">
        <w:rPr>
          <w:i/>
          <w:iCs/>
          <w:noProof/>
          <w:spacing w:val="9"/>
        </w:rPr>
        <w:t>Eurostat</w:t>
      </w:r>
      <w:r w:rsidRPr="00FC3DA6">
        <w:rPr>
          <w:noProof/>
          <w:spacing w:val="9"/>
        </w:rPr>
        <w:t xml:space="preserve"> ir pienākum</w:t>
      </w:r>
      <w:r w:rsidRPr="00FC3DA6">
        <w:rPr>
          <w:spacing w:val="9"/>
        </w:rPr>
        <w:t>s publicēt notifikācijas rezultātus.</w:t>
      </w:r>
    </w:p>
  </w:footnote>
  <w:footnote w:id="3">
    <w:p w14:paraId="59F192C1" w14:textId="594B244F" w:rsidR="004B6B0E" w:rsidRPr="009A4020" w:rsidRDefault="004B6B0E" w:rsidP="00BB3235">
      <w:pPr>
        <w:pStyle w:val="FootnoteText"/>
        <w:spacing w:after="0" w:line="240" w:lineRule="auto"/>
      </w:pPr>
      <w:r w:rsidRPr="009A4020">
        <w:rPr>
          <w:rStyle w:val="FootnoteReference"/>
          <w:rFonts w:ascii="Times New Roman" w:hAnsi="Times New Roman"/>
        </w:rPr>
        <w:footnoteRef/>
      </w:r>
      <w:r w:rsidRPr="009A4020">
        <w:t xml:space="preserve"> </w:t>
      </w:r>
      <w:r w:rsidR="002E7C6D">
        <w:t>M</w:t>
      </w:r>
      <w:r w:rsidRPr="009A4020">
        <w:t xml:space="preserve">akroekonomikās prognozes aktualizētas 2024. jūnijā, fiskālās prognozes – 2024. gada </w:t>
      </w:r>
      <w:r w:rsidR="009A4020">
        <w:t>oktobrī</w:t>
      </w:r>
    </w:p>
  </w:footnote>
  <w:footnote w:id="4">
    <w:p w14:paraId="5B540571" w14:textId="6B66C974" w:rsidR="00725633" w:rsidRDefault="00725633" w:rsidP="00725633">
      <w:pPr>
        <w:pStyle w:val="FootnoteText"/>
        <w:spacing w:after="0" w:line="240" w:lineRule="auto"/>
        <w:ind w:left="0" w:firstLine="0"/>
      </w:pPr>
      <w:r w:rsidRPr="00725633">
        <w:rPr>
          <w:rStyle w:val="FootnoteReference"/>
          <w:rFonts w:ascii="Times New Roman" w:hAnsi="Times New Roman"/>
          <w:color w:val="auto"/>
        </w:rPr>
        <w:footnoteRef/>
      </w:r>
      <w:r w:rsidRPr="00725633">
        <w:rPr>
          <w:color w:val="auto"/>
        </w:rPr>
        <w:t xml:space="preserve"> Informatīvais ziņojums “Par valsts budžeta ieņēmumu un nodokļu politikas pārskatīšanu 2025. - 2027.gadā”, pieejams: </w:t>
      </w:r>
      <w:hyperlink r:id="rId1" w:history="1">
        <w:r w:rsidRPr="00725633">
          <w:rPr>
            <w:rStyle w:val="Hyperlink"/>
            <w:color w:val="auto"/>
          </w:rPr>
          <w:t>https://tapportals.mk.gov.lv/legal_acts/efd239f3-9bcd-4b5c-ae73-60750ace3d9d#</w:t>
        </w:r>
      </w:hyperlink>
      <w:r w:rsidRPr="00725633">
        <w:rPr>
          <w:color w:val="auto"/>
        </w:rPr>
        <w:t xml:space="preserve"> </w:t>
      </w:r>
    </w:p>
  </w:footnote>
  <w:footnote w:id="5">
    <w:p w14:paraId="39FC7034" w14:textId="214E0827" w:rsidR="000F1475" w:rsidRPr="00D16FDC" w:rsidRDefault="000F1475" w:rsidP="00BB3235">
      <w:pPr>
        <w:pStyle w:val="FootnoteText"/>
        <w:spacing w:after="0" w:line="240" w:lineRule="auto"/>
        <w:ind w:left="0" w:firstLine="0"/>
        <w:rPr>
          <w:color w:val="auto"/>
        </w:rPr>
      </w:pPr>
      <w:r w:rsidRPr="0012487F">
        <w:rPr>
          <w:rStyle w:val="FootnoteReference"/>
          <w:rFonts w:ascii="Times New Roman" w:hAnsi="Times New Roman"/>
        </w:rPr>
        <w:footnoteRef/>
      </w:r>
      <w:r w:rsidRPr="00780CE0">
        <w:t xml:space="preserve"> </w:t>
      </w:r>
      <w:r w:rsidRPr="00D16FDC">
        <w:rPr>
          <w:color w:val="auto"/>
        </w:rPr>
        <w:t xml:space="preserve">Informatīvais ziņojums “Par valsts budžeta ieņēmumu un nodokļu politikas pārskatīšanu 2025. - 2027.gadā”, pieejams: </w:t>
      </w:r>
      <w:hyperlink r:id="rId2" w:history="1">
        <w:r w:rsidR="00D16FDC" w:rsidRPr="00D16FDC">
          <w:rPr>
            <w:rStyle w:val="Hyperlink"/>
            <w:color w:val="auto"/>
          </w:rPr>
          <w:t>https://tapportals.mk.gov.lv/legal_acts/efd239f3-9bcd-4b5c-ae73-60750ace3d9d#</w:t>
        </w:r>
      </w:hyperlink>
      <w:r w:rsidR="00D16FDC" w:rsidRPr="00D16FDC">
        <w:rPr>
          <w:color w:val="auto"/>
        </w:rPr>
        <w:t xml:space="preserve"> </w:t>
      </w:r>
    </w:p>
  </w:footnote>
  <w:footnote w:id="6">
    <w:p w14:paraId="79976934" w14:textId="3C9D38E0" w:rsidR="00780CE0" w:rsidRDefault="00780CE0" w:rsidP="00BB3235">
      <w:pPr>
        <w:pStyle w:val="FootnoteText"/>
        <w:spacing w:after="0" w:line="240" w:lineRule="auto"/>
        <w:ind w:left="0" w:firstLine="0"/>
      </w:pPr>
      <w:r w:rsidRPr="00D16FDC">
        <w:rPr>
          <w:rStyle w:val="FootnoteReference"/>
          <w:rFonts w:ascii="Times New Roman" w:hAnsi="Times New Roman"/>
          <w:color w:val="auto"/>
        </w:rPr>
        <w:footnoteRef/>
      </w:r>
      <w:r w:rsidRPr="00D16FDC">
        <w:rPr>
          <w:color w:val="auto"/>
        </w:rPr>
        <w:t xml:space="preserve"> Informatīvais ziņojums “Par valsts budžeta likumprojektā iekļaujamiem prioritārajiem pasākumiem 2025., 2026., 2027. un 2028. gadam”, pieejams: </w:t>
      </w:r>
      <w:hyperlink r:id="rId3" w:history="1">
        <w:r w:rsidR="00D16FDC" w:rsidRPr="00D16FDC">
          <w:rPr>
            <w:rStyle w:val="Hyperlink"/>
            <w:color w:val="auto"/>
          </w:rPr>
          <w:t>https://tapportals.mk.gov.lv/legal_acts/4b64813a-3464-47ab-b910-33b059e7f284</w:t>
        </w:r>
      </w:hyperlink>
      <w:r w:rsidR="00D16FDC" w:rsidRPr="00D16FDC">
        <w:rPr>
          <w:color w:val="auto"/>
        </w:rPr>
        <w:t xml:space="preserve"> </w:t>
      </w:r>
    </w:p>
  </w:footnote>
  <w:footnote w:id="7">
    <w:p w14:paraId="2576713F" w14:textId="56B866C5" w:rsidR="008159DC" w:rsidRPr="008159DC" w:rsidRDefault="008159DC" w:rsidP="000E2626">
      <w:pPr>
        <w:pStyle w:val="FootnoteText"/>
        <w:spacing w:after="0" w:line="240" w:lineRule="auto"/>
        <w:ind w:left="0" w:firstLine="0"/>
      </w:pPr>
      <w:r w:rsidRPr="0012487F">
        <w:rPr>
          <w:rStyle w:val="FootnoteReference"/>
          <w:rFonts w:ascii="Times New Roman" w:hAnsi="Times New Roman"/>
        </w:rPr>
        <w:footnoteRef/>
      </w:r>
      <w:r w:rsidRPr="008159DC">
        <w:t xml:space="preserve"> Parāda ilgtspējas </w:t>
      </w:r>
      <w:r w:rsidRPr="000E2626">
        <w:rPr>
          <w:color w:val="auto"/>
        </w:rPr>
        <w:t xml:space="preserve">ziņojums 2023, pieejams: </w:t>
      </w:r>
      <w:hyperlink r:id="rId4" w:history="1">
        <w:r w:rsidR="000E2626" w:rsidRPr="000E2626">
          <w:rPr>
            <w:rStyle w:val="Hyperlink"/>
            <w:color w:val="auto"/>
          </w:rPr>
          <w:t>https://economy-finance.ec.europa.eu/publications/debt-sustainability-monitor-2023_en?prefLang=lv</w:t>
        </w:r>
      </w:hyperlink>
      <w:r w:rsidR="000E2626" w:rsidRPr="000E2626">
        <w:rPr>
          <w:color w:val="auto"/>
        </w:rPr>
        <w:t xml:space="preserve"> </w:t>
      </w:r>
    </w:p>
  </w:footnote>
  <w:footnote w:id="8">
    <w:p w14:paraId="03C12A5D" w14:textId="77777777" w:rsidR="008159DC" w:rsidRDefault="008159DC" w:rsidP="000E2626">
      <w:pPr>
        <w:pStyle w:val="FootnoteText"/>
        <w:spacing w:after="0" w:line="240" w:lineRule="auto"/>
        <w:ind w:left="0" w:firstLine="0"/>
      </w:pPr>
      <w:r w:rsidRPr="0012487F">
        <w:rPr>
          <w:rStyle w:val="FootnoteReference"/>
          <w:rFonts w:ascii="Times New Roman" w:hAnsi="Times New Roman"/>
        </w:rPr>
        <w:footnoteRef/>
      </w:r>
      <w:r w:rsidRPr="008159DC">
        <w:t xml:space="preserve"> Valsts parāda sniega bumbas efekts veidojas, ja pastāv starpība starp efektīvo procentu likmi un ekonomikas izaugsmes tempu, t.i., ja efektīvā procentu likme ir augstāka (zemāka) kā ekonomikas izaugsmes temps, tad pie nemainīgas primārās budžeta bilances, valsts parāds automātiski pieaug (samazinās).</w:t>
      </w:r>
    </w:p>
  </w:footnote>
  <w:footnote w:id="9">
    <w:p w14:paraId="7D38246A" w14:textId="422E3587" w:rsidR="00082BC8" w:rsidRPr="002223AF" w:rsidRDefault="00082BC8" w:rsidP="00BB3235">
      <w:pPr>
        <w:pStyle w:val="FootnoteText"/>
        <w:spacing w:after="0" w:line="240" w:lineRule="auto"/>
        <w:ind w:left="0" w:firstLine="0"/>
      </w:pPr>
      <w:r w:rsidRPr="0012487F">
        <w:rPr>
          <w:rStyle w:val="FootnoteReference"/>
          <w:rFonts w:ascii="Times New Roman" w:hAnsi="Times New Roman"/>
        </w:rPr>
        <w:footnoteRef/>
      </w:r>
      <w:r w:rsidRPr="002223AF">
        <w:t xml:space="preserve"> Fiskālās disciplīnas likuma 16. pants, Ministru kabineta 2014.</w:t>
      </w:r>
      <w:r w:rsidR="00091136">
        <w:t xml:space="preserve"> </w:t>
      </w:r>
      <w:r w:rsidRPr="002223AF">
        <w:t>gada 29.</w:t>
      </w:r>
      <w:r w:rsidR="00091136">
        <w:t xml:space="preserve"> </w:t>
      </w:r>
      <w:r w:rsidRPr="002223AF">
        <w:t>aprīļa noteikumi Nr.</w:t>
      </w:r>
      <w:r w:rsidR="00091136">
        <w:t xml:space="preserve"> </w:t>
      </w:r>
      <w:r w:rsidRPr="002223AF">
        <w:t>229</w:t>
      </w:r>
      <w:r w:rsidRPr="002223AF">
        <w:br/>
        <w:t>Noteikumi par fiskālo risku vispārējo vadību un par fiskālā nodrošinājuma rezerves apjoma noteikšanas metodoloģiju</w:t>
      </w:r>
      <w:r w:rsidR="00091136">
        <w:t xml:space="preserve">. </w:t>
      </w:r>
    </w:p>
    <w:p w14:paraId="530EA7E2" w14:textId="6DD9E03B" w:rsidR="00082BC8" w:rsidRPr="00082BC8" w:rsidRDefault="00082BC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37397"/>
    <w:multiLevelType w:val="hybridMultilevel"/>
    <w:tmpl w:val="7250EFDC"/>
    <w:lvl w:ilvl="0" w:tplc="913C2A6A">
      <w:start w:val="1"/>
      <w:numFmt w:val="decimal"/>
      <w:lvlText w:val="%1."/>
      <w:lvlJc w:val="left"/>
      <w:pPr>
        <w:ind w:left="1020" w:hanging="360"/>
      </w:pPr>
    </w:lvl>
    <w:lvl w:ilvl="1" w:tplc="8F46E4D6">
      <w:start w:val="1"/>
      <w:numFmt w:val="decimal"/>
      <w:lvlText w:val="%2."/>
      <w:lvlJc w:val="left"/>
      <w:pPr>
        <w:ind w:left="1020" w:hanging="360"/>
      </w:pPr>
    </w:lvl>
    <w:lvl w:ilvl="2" w:tplc="6106A586">
      <w:start w:val="1"/>
      <w:numFmt w:val="decimal"/>
      <w:lvlText w:val="%3."/>
      <w:lvlJc w:val="left"/>
      <w:pPr>
        <w:ind w:left="1020" w:hanging="360"/>
      </w:pPr>
    </w:lvl>
    <w:lvl w:ilvl="3" w:tplc="B54E1222">
      <w:start w:val="1"/>
      <w:numFmt w:val="decimal"/>
      <w:lvlText w:val="%4."/>
      <w:lvlJc w:val="left"/>
      <w:pPr>
        <w:ind w:left="1020" w:hanging="360"/>
      </w:pPr>
    </w:lvl>
    <w:lvl w:ilvl="4" w:tplc="FD5071BE">
      <w:start w:val="1"/>
      <w:numFmt w:val="decimal"/>
      <w:lvlText w:val="%5."/>
      <w:lvlJc w:val="left"/>
      <w:pPr>
        <w:ind w:left="1020" w:hanging="360"/>
      </w:pPr>
    </w:lvl>
    <w:lvl w:ilvl="5" w:tplc="2124D4A0">
      <w:start w:val="1"/>
      <w:numFmt w:val="decimal"/>
      <w:lvlText w:val="%6."/>
      <w:lvlJc w:val="left"/>
      <w:pPr>
        <w:ind w:left="1020" w:hanging="360"/>
      </w:pPr>
    </w:lvl>
    <w:lvl w:ilvl="6" w:tplc="B18CC274">
      <w:start w:val="1"/>
      <w:numFmt w:val="decimal"/>
      <w:lvlText w:val="%7."/>
      <w:lvlJc w:val="left"/>
      <w:pPr>
        <w:ind w:left="1020" w:hanging="360"/>
      </w:pPr>
    </w:lvl>
    <w:lvl w:ilvl="7" w:tplc="8F60CEDE">
      <w:start w:val="1"/>
      <w:numFmt w:val="decimal"/>
      <w:lvlText w:val="%8."/>
      <w:lvlJc w:val="left"/>
      <w:pPr>
        <w:ind w:left="1020" w:hanging="360"/>
      </w:pPr>
    </w:lvl>
    <w:lvl w:ilvl="8" w:tplc="91469F02">
      <w:start w:val="1"/>
      <w:numFmt w:val="decimal"/>
      <w:lvlText w:val="%9."/>
      <w:lvlJc w:val="left"/>
      <w:pPr>
        <w:ind w:left="1020" w:hanging="360"/>
      </w:pPr>
    </w:lvl>
  </w:abstractNum>
  <w:abstractNum w:abstractNumId="1" w15:restartNumberingAfterBreak="0">
    <w:nsid w:val="0B81078F"/>
    <w:multiLevelType w:val="multilevel"/>
    <w:tmpl w:val="738AF6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105CA9"/>
    <w:multiLevelType w:val="hybridMultilevel"/>
    <w:tmpl w:val="D89EE4A2"/>
    <w:lvl w:ilvl="0" w:tplc="BD841C0E">
      <w:start w:val="1"/>
      <w:numFmt w:val="decimal"/>
      <w:pStyle w:val="ParagraphNumbering"/>
      <w:lvlText w:val="%1.     "/>
      <w:lvlJc w:val="left"/>
      <w:pPr>
        <w:tabs>
          <w:tab w:val="num" w:pos="720"/>
        </w:tabs>
        <w:ind w:left="0" w:firstLine="0"/>
      </w:pPr>
      <w:rPr>
        <w:rFonts w:hint="default"/>
        <w:b/>
        <w:strike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82775B"/>
    <w:multiLevelType w:val="multilevel"/>
    <w:tmpl w:val="CB8EAC52"/>
    <w:lvl w:ilvl="0">
      <w:start w:val="1"/>
      <w:numFmt w:val="decimal"/>
      <w:lvlText w:val="%1."/>
      <w:lvlJc w:val="left"/>
      <w:pPr>
        <w:ind w:left="360" w:hanging="360"/>
      </w:pPr>
      <w:rPr>
        <w:rFonts w:ascii="Times New Roman" w:hAnsi="Times New Roman" w:hint="default"/>
        <w:b/>
        <w:i w:val="0"/>
        <w:sz w:val="36"/>
      </w:rPr>
    </w:lvl>
    <w:lvl w:ilvl="1">
      <w:start w:val="1"/>
      <w:numFmt w:val="decimal"/>
      <w:pStyle w:val="Heading2"/>
      <w:lvlText w:val="%1.%2"/>
      <w:lvlJc w:val="left"/>
      <w:pPr>
        <w:ind w:left="576" w:hanging="576"/>
      </w:pPr>
      <w:rPr>
        <w:rFonts w:ascii="Times New Roman" w:hAnsi="Times New Roman" w:hint="default"/>
        <w:b/>
        <w:i w:val="0"/>
        <w:sz w:val="32"/>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2075543E"/>
    <w:multiLevelType w:val="hybridMultilevel"/>
    <w:tmpl w:val="D42415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50A3B51"/>
    <w:multiLevelType w:val="multilevel"/>
    <w:tmpl w:val="D5968B8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A472AAA"/>
    <w:multiLevelType w:val="multilevel"/>
    <w:tmpl w:val="042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7D4018"/>
    <w:multiLevelType w:val="hybridMultilevel"/>
    <w:tmpl w:val="7792BD4E"/>
    <w:lvl w:ilvl="0" w:tplc="E5186618">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13E3899"/>
    <w:multiLevelType w:val="hybridMultilevel"/>
    <w:tmpl w:val="E58CBD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1FF21D2"/>
    <w:multiLevelType w:val="multilevel"/>
    <w:tmpl w:val="B8701A24"/>
    <w:lvl w:ilvl="0">
      <w:start w:val="2"/>
      <w:numFmt w:val="decimal"/>
      <w:lvlText w:val="%1."/>
      <w:lvlJc w:val="left"/>
      <w:pPr>
        <w:ind w:left="360" w:hanging="360"/>
      </w:pPr>
      <w:rPr>
        <w:rFonts w:hint="default"/>
        <w:b/>
      </w:rPr>
    </w:lvl>
    <w:lvl w:ilvl="1">
      <w:start w:val="1"/>
      <w:numFmt w:val="decimal"/>
      <w:lvlText w:val="%1.%2."/>
      <w:lvlJc w:val="left"/>
      <w:pPr>
        <w:ind w:left="1352"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0" w15:restartNumberingAfterBreak="0">
    <w:nsid w:val="5EEC57F3"/>
    <w:multiLevelType w:val="hybridMultilevel"/>
    <w:tmpl w:val="A6627F30"/>
    <w:lvl w:ilvl="0" w:tplc="BDA8590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39404045">
    <w:abstractNumId w:val="3"/>
  </w:num>
  <w:num w:numId="2" w16cid:durableId="1370379300">
    <w:abstractNumId w:val="2"/>
  </w:num>
  <w:num w:numId="3" w16cid:durableId="806892896">
    <w:abstractNumId w:val="6"/>
  </w:num>
  <w:num w:numId="4" w16cid:durableId="1122264123">
    <w:abstractNumId w:val="8"/>
  </w:num>
  <w:num w:numId="5" w16cid:durableId="1778256622">
    <w:abstractNumId w:val="10"/>
  </w:num>
  <w:num w:numId="6" w16cid:durableId="1204833486">
    <w:abstractNumId w:val="0"/>
  </w:num>
  <w:num w:numId="7" w16cid:durableId="1498614358">
    <w:abstractNumId w:val="7"/>
  </w:num>
  <w:num w:numId="8" w16cid:durableId="1659579489">
    <w:abstractNumId w:val="5"/>
  </w:num>
  <w:num w:numId="9" w16cid:durableId="1872646615">
    <w:abstractNumId w:val="9"/>
  </w:num>
  <w:num w:numId="10" w16cid:durableId="1463187650">
    <w:abstractNumId w:val="1"/>
  </w:num>
  <w:num w:numId="11" w16cid:durableId="175574171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753"/>
    <w:rsid w:val="00001558"/>
    <w:rsid w:val="00002184"/>
    <w:rsid w:val="00003803"/>
    <w:rsid w:val="0000387E"/>
    <w:rsid w:val="00006291"/>
    <w:rsid w:val="00006ABB"/>
    <w:rsid w:val="00007564"/>
    <w:rsid w:val="0001020F"/>
    <w:rsid w:val="00010616"/>
    <w:rsid w:val="00013CAB"/>
    <w:rsid w:val="00015891"/>
    <w:rsid w:val="00015908"/>
    <w:rsid w:val="00016A90"/>
    <w:rsid w:val="00020C1F"/>
    <w:rsid w:val="00021D47"/>
    <w:rsid w:val="00022B0F"/>
    <w:rsid w:val="000253B6"/>
    <w:rsid w:val="00025929"/>
    <w:rsid w:val="00025A60"/>
    <w:rsid w:val="000270F6"/>
    <w:rsid w:val="0003105A"/>
    <w:rsid w:val="00033CEC"/>
    <w:rsid w:val="000342FD"/>
    <w:rsid w:val="00035C31"/>
    <w:rsid w:val="00035FC2"/>
    <w:rsid w:val="000417D6"/>
    <w:rsid w:val="0004201E"/>
    <w:rsid w:val="00042609"/>
    <w:rsid w:val="00042C12"/>
    <w:rsid w:val="0004390C"/>
    <w:rsid w:val="000448ED"/>
    <w:rsid w:val="00046472"/>
    <w:rsid w:val="00050EA0"/>
    <w:rsid w:val="0005631E"/>
    <w:rsid w:val="00060450"/>
    <w:rsid w:val="000611BE"/>
    <w:rsid w:val="0006158C"/>
    <w:rsid w:val="000638A5"/>
    <w:rsid w:val="00063DC6"/>
    <w:rsid w:val="0006640C"/>
    <w:rsid w:val="00066B44"/>
    <w:rsid w:val="000732F2"/>
    <w:rsid w:val="0007464B"/>
    <w:rsid w:val="00074880"/>
    <w:rsid w:val="00077E4D"/>
    <w:rsid w:val="000800F9"/>
    <w:rsid w:val="000823E2"/>
    <w:rsid w:val="00082BC8"/>
    <w:rsid w:val="00083397"/>
    <w:rsid w:val="0008559F"/>
    <w:rsid w:val="00085AFE"/>
    <w:rsid w:val="0008652D"/>
    <w:rsid w:val="0008674A"/>
    <w:rsid w:val="00087737"/>
    <w:rsid w:val="00091136"/>
    <w:rsid w:val="0009119F"/>
    <w:rsid w:val="0009286A"/>
    <w:rsid w:val="00094578"/>
    <w:rsid w:val="00094B2F"/>
    <w:rsid w:val="00095C52"/>
    <w:rsid w:val="00096780"/>
    <w:rsid w:val="00097BDE"/>
    <w:rsid w:val="000A0132"/>
    <w:rsid w:val="000A24E5"/>
    <w:rsid w:val="000A3CB8"/>
    <w:rsid w:val="000A5468"/>
    <w:rsid w:val="000A696B"/>
    <w:rsid w:val="000A76BC"/>
    <w:rsid w:val="000A77CD"/>
    <w:rsid w:val="000B10A3"/>
    <w:rsid w:val="000B267B"/>
    <w:rsid w:val="000B77CF"/>
    <w:rsid w:val="000C1ABB"/>
    <w:rsid w:val="000C1AC0"/>
    <w:rsid w:val="000C45B5"/>
    <w:rsid w:val="000C472C"/>
    <w:rsid w:val="000C57CF"/>
    <w:rsid w:val="000C5CF0"/>
    <w:rsid w:val="000C760E"/>
    <w:rsid w:val="000D2388"/>
    <w:rsid w:val="000D61BB"/>
    <w:rsid w:val="000D713B"/>
    <w:rsid w:val="000E1368"/>
    <w:rsid w:val="000E2626"/>
    <w:rsid w:val="000E5CAF"/>
    <w:rsid w:val="000E6E94"/>
    <w:rsid w:val="000F0C01"/>
    <w:rsid w:val="000F10B6"/>
    <w:rsid w:val="000F1475"/>
    <w:rsid w:val="000F1F2E"/>
    <w:rsid w:val="000F2728"/>
    <w:rsid w:val="000F4135"/>
    <w:rsid w:val="000F4627"/>
    <w:rsid w:val="000F59BB"/>
    <w:rsid w:val="000F5AFF"/>
    <w:rsid w:val="000F5DA8"/>
    <w:rsid w:val="000F624D"/>
    <w:rsid w:val="00103F0E"/>
    <w:rsid w:val="00105BF6"/>
    <w:rsid w:val="00107D47"/>
    <w:rsid w:val="001138C5"/>
    <w:rsid w:val="00114304"/>
    <w:rsid w:val="001147FB"/>
    <w:rsid w:val="00117AE7"/>
    <w:rsid w:val="00120A91"/>
    <w:rsid w:val="001210E2"/>
    <w:rsid w:val="001220DF"/>
    <w:rsid w:val="0012487F"/>
    <w:rsid w:val="00126B8A"/>
    <w:rsid w:val="0013133A"/>
    <w:rsid w:val="001329C7"/>
    <w:rsid w:val="00136AA5"/>
    <w:rsid w:val="00141CE7"/>
    <w:rsid w:val="001420B0"/>
    <w:rsid w:val="0015118C"/>
    <w:rsid w:val="001531CE"/>
    <w:rsid w:val="001540FA"/>
    <w:rsid w:val="00162345"/>
    <w:rsid w:val="00163B62"/>
    <w:rsid w:val="00166ED9"/>
    <w:rsid w:val="00167099"/>
    <w:rsid w:val="00167AC7"/>
    <w:rsid w:val="0017025D"/>
    <w:rsid w:val="001702F4"/>
    <w:rsid w:val="00173AB6"/>
    <w:rsid w:val="00175781"/>
    <w:rsid w:val="0017585D"/>
    <w:rsid w:val="001758E8"/>
    <w:rsid w:val="00184EDB"/>
    <w:rsid w:val="00185CAA"/>
    <w:rsid w:val="00185D9B"/>
    <w:rsid w:val="001867E7"/>
    <w:rsid w:val="00186C20"/>
    <w:rsid w:val="00191D1D"/>
    <w:rsid w:val="001941A7"/>
    <w:rsid w:val="001A5CDB"/>
    <w:rsid w:val="001B17C5"/>
    <w:rsid w:val="001B1AA2"/>
    <w:rsid w:val="001B7A97"/>
    <w:rsid w:val="001C1BD5"/>
    <w:rsid w:val="001C25F7"/>
    <w:rsid w:val="001C345E"/>
    <w:rsid w:val="001C45A3"/>
    <w:rsid w:val="001C5C16"/>
    <w:rsid w:val="001C61AB"/>
    <w:rsid w:val="001C7DCF"/>
    <w:rsid w:val="001C7EF9"/>
    <w:rsid w:val="001D0F88"/>
    <w:rsid w:val="001D1B17"/>
    <w:rsid w:val="001D4D60"/>
    <w:rsid w:val="001E0D58"/>
    <w:rsid w:val="001E0F9A"/>
    <w:rsid w:val="001E2F98"/>
    <w:rsid w:val="001E4F0F"/>
    <w:rsid w:val="001E5BEF"/>
    <w:rsid w:val="001E75E4"/>
    <w:rsid w:val="001E7F1D"/>
    <w:rsid w:val="001F0B99"/>
    <w:rsid w:val="001F2547"/>
    <w:rsid w:val="001F3FBF"/>
    <w:rsid w:val="001F760A"/>
    <w:rsid w:val="001F7C90"/>
    <w:rsid w:val="00200214"/>
    <w:rsid w:val="00200D0C"/>
    <w:rsid w:val="00202025"/>
    <w:rsid w:val="00202325"/>
    <w:rsid w:val="00203FD8"/>
    <w:rsid w:val="00205B43"/>
    <w:rsid w:val="00206480"/>
    <w:rsid w:val="0020721B"/>
    <w:rsid w:val="00207552"/>
    <w:rsid w:val="00207CB2"/>
    <w:rsid w:val="002201EA"/>
    <w:rsid w:val="002223AF"/>
    <w:rsid w:val="002226D9"/>
    <w:rsid w:val="00222970"/>
    <w:rsid w:val="00234244"/>
    <w:rsid w:val="00234A32"/>
    <w:rsid w:val="00235228"/>
    <w:rsid w:val="00236A82"/>
    <w:rsid w:val="00237E97"/>
    <w:rsid w:val="002407E6"/>
    <w:rsid w:val="00241A87"/>
    <w:rsid w:val="002429F4"/>
    <w:rsid w:val="0024479C"/>
    <w:rsid w:val="00244DA0"/>
    <w:rsid w:val="00247690"/>
    <w:rsid w:val="00253A73"/>
    <w:rsid w:val="00254296"/>
    <w:rsid w:val="00256364"/>
    <w:rsid w:val="00257CFF"/>
    <w:rsid w:val="002635AB"/>
    <w:rsid w:val="00263709"/>
    <w:rsid w:val="00264301"/>
    <w:rsid w:val="002643CB"/>
    <w:rsid w:val="002655CD"/>
    <w:rsid w:val="0026647B"/>
    <w:rsid w:val="002677AA"/>
    <w:rsid w:val="0027190A"/>
    <w:rsid w:val="0027246B"/>
    <w:rsid w:val="002768B3"/>
    <w:rsid w:val="00281A8B"/>
    <w:rsid w:val="00281D96"/>
    <w:rsid w:val="00282B08"/>
    <w:rsid w:val="002834E9"/>
    <w:rsid w:val="002869EC"/>
    <w:rsid w:val="00291DD8"/>
    <w:rsid w:val="00293000"/>
    <w:rsid w:val="0029545C"/>
    <w:rsid w:val="00296A12"/>
    <w:rsid w:val="002A24ED"/>
    <w:rsid w:val="002A71C2"/>
    <w:rsid w:val="002B160A"/>
    <w:rsid w:val="002B6259"/>
    <w:rsid w:val="002B6464"/>
    <w:rsid w:val="002C1574"/>
    <w:rsid w:val="002C3840"/>
    <w:rsid w:val="002D295E"/>
    <w:rsid w:val="002D3D5F"/>
    <w:rsid w:val="002D443D"/>
    <w:rsid w:val="002D5309"/>
    <w:rsid w:val="002D69E6"/>
    <w:rsid w:val="002D7CA8"/>
    <w:rsid w:val="002E0152"/>
    <w:rsid w:val="002E7C6D"/>
    <w:rsid w:val="002F0A29"/>
    <w:rsid w:val="002F1103"/>
    <w:rsid w:val="002F3464"/>
    <w:rsid w:val="002F35A5"/>
    <w:rsid w:val="00303429"/>
    <w:rsid w:val="003063D3"/>
    <w:rsid w:val="00307776"/>
    <w:rsid w:val="0031227F"/>
    <w:rsid w:val="003123DB"/>
    <w:rsid w:val="00315152"/>
    <w:rsid w:val="00316094"/>
    <w:rsid w:val="00317AF9"/>
    <w:rsid w:val="00322651"/>
    <w:rsid w:val="003241A9"/>
    <w:rsid w:val="003249D1"/>
    <w:rsid w:val="00326BFD"/>
    <w:rsid w:val="00331879"/>
    <w:rsid w:val="003336F1"/>
    <w:rsid w:val="0034054B"/>
    <w:rsid w:val="00340EC6"/>
    <w:rsid w:val="00341CDB"/>
    <w:rsid w:val="003435B5"/>
    <w:rsid w:val="00346F1D"/>
    <w:rsid w:val="00351B01"/>
    <w:rsid w:val="00355D25"/>
    <w:rsid w:val="00356EA3"/>
    <w:rsid w:val="003573A6"/>
    <w:rsid w:val="0036037E"/>
    <w:rsid w:val="003603B9"/>
    <w:rsid w:val="00360DA1"/>
    <w:rsid w:val="003614FE"/>
    <w:rsid w:val="00361EA6"/>
    <w:rsid w:val="00364C12"/>
    <w:rsid w:val="00365213"/>
    <w:rsid w:val="00366879"/>
    <w:rsid w:val="00371EB6"/>
    <w:rsid w:val="00375884"/>
    <w:rsid w:val="00380A6A"/>
    <w:rsid w:val="00381C62"/>
    <w:rsid w:val="00386343"/>
    <w:rsid w:val="00392FC7"/>
    <w:rsid w:val="003A128E"/>
    <w:rsid w:val="003A29EA"/>
    <w:rsid w:val="003A3051"/>
    <w:rsid w:val="003A3865"/>
    <w:rsid w:val="003A5220"/>
    <w:rsid w:val="003A6830"/>
    <w:rsid w:val="003A7948"/>
    <w:rsid w:val="003B1542"/>
    <w:rsid w:val="003B23F5"/>
    <w:rsid w:val="003B2F54"/>
    <w:rsid w:val="003B53FF"/>
    <w:rsid w:val="003B6D04"/>
    <w:rsid w:val="003C067B"/>
    <w:rsid w:val="003C0831"/>
    <w:rsid w:val="003C1736"/>
    <w:rsid w:val="003C2262"/>
    <w:rsid w:val="003C63E8"/>
    <w:rsid w:val="003D3AF7"/>
    <w:rsid w:val="003D5553"/>
    <w:rsid w:val="003D773D"/>
    <w:rsid w:val="003E1551"/>
    <w:rsid w:val="003E1A40"/>
    <w:rsid w:val="003E5E38"/>
    <w:rsid w:val="003E7948"/>
    <w:rsid w:val="003E7B6A"/>
    <w:rsid w:val="003F0D15"/>
    <w:rsid w:val="003F1C79"/>
    <w:rsid w:val="003F481B"/>
    <w:rsid w:val="003F5352"/>
    <w:rsid w:val="003F681B"/>
    <w:rsid w:val="003F7970"/>
    <w:rsid w:val="004016DD"/>
    <w:rsid w:val="0040680D"/>
    <w:rsid w:val="00407459"/>
    <w:rsid w:val="004129E9"/>
    <w:rsid w:val="00412C4D"/>
    <w:rsid w:val="004206E7"/>
    <w:rsid w:val="00424332"/>
    <w:rsid w:val="00424AD5"/>
    <w:rsid w:val="00424BCF"/>
    <w:rsid w:val="00427004"/>
    <w:rsid w:val="004272C3"/>
    <w:rsid w:val="004301A7"/>
    <w:rsid w:val="004349F7"/>
    <w:rsid w:val="00437D0F"/>
    <w:rsid w:val="00440061"/>
    <w:rsid w:val="004412B7"/>
    <w:rsid w:val="00441DDD"/>
    <w:rsid w:val="004472E0"/>
    <w:rsid w:val="004516B3"/>
    <w:rsid w:val="004542DA"/>
    <w:rsid w:val="004576B5"/>
    <w:rsid w:val="00457BB0"/>
    <w:rsid w:val="00457EA4"/>
    <w:rsid w:val="004619D1"/>
    <w:rsid w:val="004620B8"/>
    <w:rsid w:val="004621A2"/>
    <w:rsid w:val="004624A8"/>
    <w:rsid w:val="00465CAE"/>
    <w:rsid w:val="00467634"/>
    <w:rsid w:val="00471221"/>
    <w:rsid w:val="00472E84"/>
    <w:rsid w:val="004730CA"/>
    <w:rsid w:val="004732E7"/>
    <w:rsid w:val="00474239"/>
    <w:rsid w:val="004747D9"/>
    <w:rsid w:val="00474A33"/>
    <w:rsid w:val="00476C44"/>
    <w:rsid w:val="00480003"/>
    <w:rsid w:val="004811B6"/>
    <w:rsid w:val="00482B52"/>
    <w:rsid w:val="00485F04"/>
    <w:rsid w:val="004902D1"/>
    <w:rsid w:val="00491F32"/>
    <w:rsid w:val="00493C86"/>
    <w:rsid w:val="004943FC"/>
    <w:rsid w:val="004965BC"/>
    <w:rsid w:val="004A2F0B"/>
    <w:rsid w:val="004A3242"/>
    <w:rsid w:val="004A34F0"/>
    <w:rsid w:val="004A37C8"/>
    <w:rsid w:val="004A4EC7"/>
    <w:rsid w:val="004A64EB"/>
    <w:rsid w:val="004A6B6D"/>
    <w:rsid w:val="004A70EB"/>
    <w:rsid w:val="004B0606"/>
    <w:rsid w:val="004B1454"/>
    <w:rsid w:val="004B1E93"/>
    <w:rsid w:val="004B2DA2"/>
    <w:rsid w:val="004B653A"/>
    <w:rsid w:val="004B6B0E"/>
    <w:rsid w:val="004C4F89"/>
    <w:rsid w:val="004C6088"/>
    <w:rsid w:val="004C73A1"/>
    <w:rsid w:val="004D0587"/>
    <w:rsid w:val="004D1421"/>
    <w:rsid w:val="004D1C26"/>
    <w:rsid w:val="004D1DFA"/>
    <w:rsid w:val="004D2C4E"/>
    <w:rsid w:val="004D4A78"/>
    <w:rsid w:val="004D72FA"/>
    <w:rsid w:val="004E02FD"/>
    <w:rsid w:val="004E1403"/>
    <w:rsid w:val="004E1AAD"/>
    <w:rsid w:val="004E21A0"/>
    <w:rsid w:val="004E3F97"/>
    <w:rsid w:val="004E6378"/>
    <w:rsid w:val="004F034A"/>
    <w:rsid w:val="004F2014"/>
    <w:rsid w:val="004F39C0"/>
    <w:rsid w:val="004F5914"/>
    <w:rsid w:val="004F5A19"/>
    <w:rsid w:val="004F71F4"/>
    <w:rsid w:val="005000B7"/>
    <w:rsid w:val="00503066"/>
    <w:rsid w:val="005058FF"/>
    <w:rsid w:val="0050594C"/>
    <w:rsid w:val="0050734E"/>
    <w:rsid w:val="00507A64"/>
    <w:rsid w:val="00507D8A"/>
    <w:rsid w:val="005108FF"/>
    <w:rsid w:val="00511E0E"/>
    <w:rsid w:val="00513CD4"/>
    <w:rsid w:val="005158E6"/>
    <w:rsid w:val="00517641"/>
    <w:rsid w:val="0051766D"/>
    <w:rsid w:val="00521052"/>
    <w:rsid w:val="00522933"/>
    <w:rsid w:val="005243E9"/>
    <w:rsid w:val="00527A6A"/>
    <w:rsid w:val="00530F1E"/>
    <w:rsid w:val="00533314"/>
    <w:rsid w:val="005346E4"/>
    <w:rsid w:val="00534B42"/>
    <w:rsid w:val="00535F80"/>
    <w:rsid w:val="00536FED"/>
    <w:rsid w:val="00540973"/>
    <w:rsid w:val="00541E7C"/>
    <w:rsid w:val="005422A8"/>
    <w:rsid w:val="005439A4"/>
    <w:rsid w:val="005450D4"/>
    <w:rsid w:val="005454DA"/>
    <w:rsid w:val="00545734"/>
    <w:rsid w:val="00545931"/>
    <w:rsid w:val="00550450"/>
    <w:rsid w:val="00551502"/>
    <w:rsid w:val="005517C6"/>
    <w:rsid w:val="0055392E"/>
    <w:rsid w:val="00553F09"/>
    <w:rsid w:val="0055403A"/>
    <w:rsid w:val="005629E0"/>
    <w:rsid w:val="005631FE"/>
    <w:rsid w:val="0056349F"/>
    <w:rsid w:val="00564D69"/>
    <w:rsid w:val="00565072"/>
    <w:rsid w:val="00565B9A"/>
    <w:rsid w:val="00566221"/>
    <w:rsid w:val="00566407"/>
    <w:rsid w:val="00570862"/>
    <w:rsid w:val="00570AE5"/>
    <w:rsid w:val="00571AB4"/>
    <w:rsid w:val="00572F7D"/>
    <w:rsid w:val="00574CBC"/>
    <w:rsid w:val="00575359"/>
    <w:rsid w:val="005755A6"/>
    <w:rsid w:val="00575E47"/>
    <w:rsid w:val="005761AE"/>
    <w:rsid w:val="00576B51"/>
    <w:rsid w:val="005779B7"/>
    <w:rsid w:val="00577A92"/>
    <w:rsid w:val="00581441"/>
    <w:rsid w:val="00581E0E"/>
    <w:rsid w:val="00583361"/>
    <w:rsid w:val="0058460A"/>
    <w:rsid w:val="0058560C"/>
    <w:rsid w:val="00586190"/>
    <w:rsid w:val="00592793"/>
    <w:rsid w:val="00592B42"/>
    <w:rsid w:val="0059326F"/>
    <w:rsid w:val="00594BC3"/>
    <w:rsid w:val="00596762"/>
    <w:rsid w:val="00597398"/>
    <w:rsid w:val="005A368F"/>
    <w:rsid w:val="005A3934"/>
    <w:rsid w:val="005A4153"/>
    <w:rsid w:val="005A4348"/>
    <w:rsid w:val="005A58AF"/>
    <w:rsid w:val="005A608F"/>
    <w:rsid w:val="005B1608"/>
    <w:rsid w:val="005B1798"/>
    <w:rsid w:val="005B1B99"/>
    <w:rsid w:val="005B1CC4"/>
    <w:rsid w:val="005B6B24"/>
    <w:rsid w:val="005C2688"/>
    <w:rsid w:val="005C2A56"/>
    <w:rsid w:val="005C399E"/>
    <w:rsid w:val="005C4527"/>
    <w:rsid w:val="005C5E37"/>
    <w:rsid w:val="005C6684"/>
    <w:rsid w:val="005C7D58"/>
    <w:rsid w:val="005D34A9"/>
    <w:rsid w:val="005D3841"/>
    <w:rsid w:val="005D4014"/>
    <w:rsid w:val="005D5D4D"/>
    <w:rsid w:val="005D6E64"/>
    <w:rsid w:val="005D7624"/>
    <w:rsid w:val="005E2388"/>
    <w:rsid w:val="005E4D7D"/>
    <w:rsid w:val="005E515F"/>
    <w:rsid w:val="005E6F19"/>
    <w:rsid w:val="005F4D71"/>
    <w:rsid w:val="005F4EF2"/>
    <w:rsid w:val="005F7113"/>
    <w:rsid w:val="006027B9"/>
    <w:rsid w:val="00603997"/>
    <w:rsid w:val="00604ED8"/>
    <w:rsid w:val="00605C5D"/>
    <w:rsid w:val="00607477"/>
    <w:rsid w:val="006220C4"/>
    <w:rsid w:val="00623625"/>
    <w:rsid w:val="00623EA9"/>
    <w:rsid w:val="0062512B"/>
    <w:rsid w:val="00625CA7"/>
    <w:rsid w:val="006269A5"/>
    <w:rsid w:val="00626C80"/>
    <w:rsid w:val="00630809"/>
    <w:rsid w:val="0063190D"/>
    <w:rsid w:val="006357B3"/>
    <w:rsid w:val="00636020"/>
    <w:rsid w:val="006373AD"/>
    <w:rsid w:val="006414E6"/>
    <w:rsid w:val="006416A8"/>
    <w:rsid w:val="006419B6"/>
    <w:rsid w:val="006424F8"/>
    <w:rsid w:val="00643825"/>
    <w:rsid w:val="00646856"/>
    <w:rsid w:val="00651234"/>
    <w:rsid w:val="00652C06"/>
    <w:rsid w:val="006551AE"/>
    <w:rsid w:val="00655978"/>
    <w:rsid w:val="00660ED9"/>
    <w:rsid w:val="006628B5"/>
    <w:rsid w:val="00667518"/>
    <w:rsid w:val="00667944"/>
    <w:rsid w:val="0067134B"/>
    <w:rsid w:val="00671881"/>
    <w:rsid w:val="00671F74"/>
    <w:rsid w:val="00675746"/>
    <w:rsid w:val="00677AEF"/>
    <w:rsid w:val="006811D7"/>
    <w:rsid w:val="00684187"/>
    <w:rsid w:val="006856C6"/>
    <w:rsid w:val="006866D8"/>
    <w:rsid w:val="00686B6D"/>
    <w:rsid w:val="00686E21"/>
    <w:rsid w:val="0069120C"/>
    <w:rsid w:val="006923DF"/>
    <w:rsid w:val="00692447"/>
    <w:rsid w:val="00692526"/>
    <w:rsid w:val="006966B5"/>
    <w:rsid w:val="006A08AB"/>
    <w:rsid w:val="006A1FC0"/>
    <w:rsid w:val="006A634A"/>
    <w:rsid w:val="006B03B7"/>
    <w:rsid w:val="006B06ED"/>
    <w:rsid w:val="006B070D"/>
    <w:rsid w:val="006B09C4"/>
    <w:rsid w:val="006B0DF1"/>
    <w:rsid w:val="006B289B"/>
    <w:rsid w:val="006B6CA3"/>
    <w:rsid w:val="006B76CC"/>
    <w:rsid w:val="006C176C"/>
    <w:rsid w:val="006C7049"/>
    <w:rsid w:val="006D0991"/>
    <w:rsid w:val="006D0B71"/>
    <w:rsid w:val="006D1DA9"/>
    <w:rsid w:val="006D1E4C"/>
    <w:rsid w:val="006D2EB7"/>
    <w:rsid w:val="006D2F22"/>
    <w:rsid w:val="006D3117"/>
    <w:rsid w:val="006D5014"/>
    <w:rsid w:val="006D5A60"/>
    <w:rsid w:val="006D66C1"/>
    <w:rsid w:val="006D6DB8"/>
    <w:rsid w:val="006D74B3"/>
    <w:rsid w:val="006E3B77"/>
    <w:rsid w:val="006E3DCC"/>
    <w:rsid w:val="006E648A"/>
    <w:rsid w:val="006E6490"/>
    <w:rsid w:val="006F0FED"/>
    <w:rsid w:val="006F3EEF"/>
    <w:rsid w:val="006F4AFA"/>
    <w:rsid w:val="006F64B0"/>
    <w:rsid w:val="00702199"/>
    <w:rsid w:val="00702E15"/>
    <w:rsid w:val="007047D1"/>
    <w:rsid w:val="00711925"/>
    <w:rsid w:val="0071249F"/>
    <w:rsid w:val="00714AAE"/>
    <w:rsid w:val="00714B7A"/>
    <w:rsid w:val="0071579E"/>
    <w:rsid w:val="00715EF7"/>
    <w:rsid w:val="007214E5"/>
    <w:rsid w:val="00723FE1"/>
    <w:rsid w:val="00724B22"/>
    <w:rsid w:val="00725633"/>
    <w:rsid w:val="00726CEF"/>
    <w:rsid w:val="007306F1"/>
    <w:rsid w:val="00735170"/>
    <w:rsid w:val="0073677C"/>
    <w:rsid w:val="007370C0"/>
    <w:rsid w:val="00742A0D"/>
    <w:rsid w:val="00742ABF"/>
    <w:rsid w:val="007436A0"/>
    <w:rsid w:val="00743CE6"/>
    <w:rsid w:val="00744189"/>
    <w:rsid w:val="00744A00"/>
    <w:rsid w:val="007470ED"/>
    <w:rsid w:val="007517E4"/>
    <w:rsid w:val="00754039"/>
    <w:rsid w:val="00764E0D"/>
    <w:rsid w:val="0076551C"/>
    <w:rsid w:val="0077428B"/>
    <w:rsid w:val="00776679"/>
    <w:rsid w:val="007800AE"/>
    <w:rsid w:val="00780CE0"/>
    <w:rsid w:val="00780F46"/>
    <w:rsid w:val="0078217A"/>
    <w:rsid w:val="0078694D"/>
    <w:rsid w:val="00786AC7"/>
    <w:rsid w:val="00787972"/>
    <w:rsid w:val="00787EFE"/>
    <w:rsid w:val="0079453A"/>
    <w:rsid w:val="00794987"/>
    <w:rsid w:val="007959DD"/>
    <w:rsid w:val="00796B1A"/>
    <w:rsid w:val="00797A54"/>
    <w:rsid w:val="007A12F7"/>
    <w:rsid w:val="007A167D"/>
    <w:rsid w:val="007A3AE7"/>
    <w:rsid w:val="007A4145"/>
    <w:rsid w:val="007A5664"/>
    <w:rsid w:val="007A688B"/>
    <w:rsid w:val="007A7D3C"/>
    <w:rsid w:val="007C09A4"/>
    <w:rsid w:val="007C1EEE"/>
    <w:rsid w:val="007C2E8F"/>
    <w:rsid w:val="007C3F07"/>
    <w:rsid w:val="007C62F2"/>
    <w:rsid w:val="007C75DF"/>
    <w:rsid w:val="007D47AF"/>
    <w:rsid w:val="007E52EA"/>
    <w:rsid w:val="007E575E"/>
    <w:rsid w:val="007E7F21"/>
    <w:rsid w:val="007F0688"/>
    <w:rsid w:val="008004E5"/>
    <w:rsid w:val="00800C51"/>
    <w:rsid w:val="008038AE"/>
    <w:rsid w:val="00803BAD"/>
    <w:rsid w:val="00803C11"/>
    <w:rsid w:val="00805D3C"/>
    <w:rsid w:val="008062C7"/>
    <w:rsid w:val="00806C11"/>
    <w:rsid w:val="00810FC4"/>
    <w:rsid w:val="008159DC"/>
    <w:rsid w:val="00815D9B"/>
    <w:rsid w:val="00816E03"/>
    <w:rsid w:val="00820BAD"/>
    <w:rsid w:val="00821EEE"/>
    <w:rsid w:val="008224E3"/>
    <w:rsid w:val="00822805"/>
    <w:rsid w:val="00825369"/>
    <w:rsid w:val="00825959"/>
    <w:rsid w:val="0082798D"/>
    <w:rsid w:val="00827F4C"/>
    <w:rsid w:val="00830455"/>
    <w:rsid w:val="008313E0"/>
    <w:rsid w:val="0083156D"/>
    <w:rsid w:val="00831D31"/>
    <w:rsid w:val="00834D4F"/>
    <w:rsid w:val="00836A7D"/>
    <w:rsid w:val="00837783"/>
    <w:rsid w:val="008403D0"/>
    <w:rsid w:val="00840AED"/>
    <w:rsid w:val="008424C8"/>
    <w:rsid w:val="008428C1"/>
    <w:rsid w:val="008432A8"/>
    <w:rsid w:val="008446DE"/>
    <w:rsid w:val="00845A08"/>
    <w:rsid w:val="00850A0B"/>
    <w:rsid w:val="00860938"/>
    <w:rsid w:val="00862FCD"/>
    <w:rsid w:val="00863C0A"/>
    <w:rsid w:val="008667BF"/>
    <w:rsid w:val="00866ADC"/>
    <w:rsid w:val="00866E29"/>
    <w:rsid w:val="008716D3"/>
    <w:rsid w:val="0087383B"/>
    <w:rsid w:val="00874664"/>
    <w:rsid w:val="00881520"/>
    <w:rsid w:val="00882A44"/>
    <w:rsid w:val="00882C2C"/>
    <w:rsid w:val="0088470D"/>
    <w:rsid w:val="00884CF9"/>
    <w:rsid w:val="00892AB2"/>
    <w:rsid w:val="00893C9C"/>
    <w:rsid w:val="008953AA"/>
    <w:rsid w:val="00897B38"/>
    <w:rsid w:val="008A29F6"/>
    <w:rsid w:val="008A3BF8"/>
    <w:rsid w:val="008A75FC"/>
    <w:rsid w:val="008A7D6A"/>
    <w:rsid w:val="008B04C3"/>
    <w:rsid w:val="008B0C5E"/>
    <w:rsid w:val="008B4878"/>
    <w:rsid w:val="008C2C03"/>
    <w:rsid w:val="008C3969"/>
    <w:rsid w:val="008C56DF"/>
    <w:rsid w:val="008C58EA"/>
    <w:rsid w:val="008C6DC2"/>
    <w:rsid w:val="008D10A8"/>
    <w:rsid w:val="008D2915"/>
    <w:rsid w:val="008D2A4C"/>
    <w:rsid w:val="008D2F57"/>
    <w:rsid w:val="008D5244"/>
    <w:rsid w:val="008D6303"/>
    <w:rsid w:val="008D71B6"/>
    <w:rsid w:val="008D737E"/>
    <w:rsid w:val="008D7AE2"/>
    <w:rsid w:val="008E3B75"/>
    <w:rsid w:val="008E3CA0"/>
    <w:rsid w:val="008E4C98"/>
    <w:rsid w:val="008E63A3"/>
    <w:rsid w:val="008E6623"/>
    <w:rsid w:val="008E7920"/>
    <w:rsid w:val="008F087E"/>
    <w:rsid w:val="008F26CA"/>
    <w:rsid w:val="008F5497"/>
    <w:rsid w:val="008F598C"/>
    <w:rsid w:val="008F63E5"/>
    <w:rsid w:val="008F6973"/>
    <w:rsid w:val="009029BB"/>
    <w:rsid w:val="009041A4"/>
    <w:rsid w:val="0091078B"/>
    <w:rsid w:val="00910F58"/>
    <w:rsid w:val="0091610B"/>
    <w:rsid w:val="009167B3"/>
    <w:rsid w:val="00917FC8"/>
    <w:rsid w:val="00922C03"/>
    <w:rsid w:val="00926732"/>
    <w:rsid w:val="00926EED"/>
    <w:rsid w:val="009306C1"/>
    <w:rsid w:val="00931421"/>
    <w:rsid w:val="009367D5"/>
    <w:rsid w:val="0093790B"/>
    <w:rsid w:val="00941609"/>
    <w:rsid w:val="00945318"/>
    <w:rsid w:val="00947A37"/>
    <w:rsid w:val="009543A9"/>
    <w:rsid w:val="00955124"/>
    <w:rsid w:val="009604C2"/>
    <w:rsid w:val="009608A3"/>
    <w:rsid w:val="009618E6"/>
    <w:rsid w:val="009627CA"/>
    <w:rsid w:val="00963777"/>
    <w:rsid w:val="00963B1F"/>
    <w:rsid w:val="00965F2A"/>
    <w:rsid w:val="00967929"/>
    <w:rsid w:val="009715D9"/>
    <w:rsid w:val="00975B5B"/>
    <w:rsid w:val="00977AE9"/>
    <w:rsid w:val="00982B0C"/>
    <w:rsid w:val="00982D35"/>
    <w:rsid w:val="00992F16"/>
    <w:rsid w:val="00996355"/>
    <w:rsid w:val="009A04C3"/>
    <w:rsid w:val="009A2DF2"/>
    <w:rsid w:val="009A4020"/>
    <w:rsid w:val="009A4CC3"/>
    <w:rsid w:val="009A6598"/>
    <w:rsid w:val="009A7932"/>
    <w:rsid w:val="009A7B0F"/>
    <w:rsid w:val="009B1486"/>
    <w:rsid w:val="009B1BDE"/>
    <w:rsid w:val="009B369E"/>
    <w:rsid w:val="009B79CF"/>
    <w:rsid w:val="009C041C"/>
    <w:rsid w:val="009C0433"/>
    <w:rsid w:val="009C2220"/>
    <w:rsid w:val="009C2B75"/>
    <w:rsid w:val="009C6E7B"/>
    <w:rsid w:val="009C76A5"/>
    <w:rsid w:val="009D02BC"/>
    <w:rsid w:val="009D1C3E"/>
    <w:rsid w:val="009D2CAE"/>
    <w:rsid w:val="009D2DE9"/>
    <w:rsid w:val="009D34AC"/>
    <w:rsid w:val="009D59E2"/>
    <w:rsid w:val="009E16FF"/>
    <w:rsid w:val="009E42B1"/>
    <w:rsid w:val="009E5173"/>
    <w:rsid w:val="009E5FDE"/>
    <w:rsid w:val="009F2B23"/>
    <w:rsid w:val="009F38DE"/>
    <w:rsid w:val="009F5780"/>
    <w:rsid w:val="009F63CB"/>
    <w:rsid w:val="009F79C4"/>
    <w:rsid w:val="00A01024"/>
    <w:rsid w:val="00A012D2"/>
    <w:rsid w:val="00A03A8E"/>
    <w:rsid w:val="00A07F53"/>
    <w:rsid w:val="00A107D8"/>
    <w:rsid w:val="00A120D9"/>
    <w:rsid w:val="00A13086"/>
    <w:rsid w:val="00A139B4"/>
    <w:rsid w:val="00A14D71"/>
    <w:rsid w:val="00A16AAB"/>
    <w:rsid w:val="00A25649"/>
    <w:rsid w:val="00A279AB"/>
    <w:rsid w:val="00A27A3F"/>
    <w:rsid w:val="00A32841"/>
    <w:rsid w:val="00A34CE3"/>
    <w:rsid w:val="00A37005"/>
    <w:rsid w:val="00A37D1E"/>
    <w:rsid w:val="00A403F9"/>
    <w:rsid w:val="00A4204D"/>
    <w:rsid w:val="00A43B1A"/>
    <w:rsid w:val="00A44509"/>
    <w:rsid w:val="00A456F8"/>
    <w:rsid w:val="00A46998"/>
    <w:rsid w:val="00A471A1"/>
    <w:rsid w:val="00A50770"/>
    <w:rsid w:val="00A51A61"/>
    <w:rsid w:val="00A531CC"/>
    <w:rsid w:val="00A53FF1"/>
    <w:rsid w:val="00A542CD"/>
    <w:rsid w:val="00A54420"/>
    <w:rsid w:val="00A6148C"/>
    <w:rsid w:val="00A615DD"/>
    <w:rsid w:val="00A629E7"/>
    <w:rsid w:val="00A644B3"/>
    <w:rsid w:val="00A67B64"/>
    <w:rsid w:val="00A70F57"/>
    <w:rsid w:val="00A70F73"/>
    <w:rsid w:val="00A715A3"/>
    <w:rsid w:val="00A72128"/>
    <w:rsid w:val="00A72EB1"/>
    <w:rsid w:val="00A72EB3"/>
    <w:rsid w:val="00A735D7"/>
    <w:rsid w:val="00A74BF0"/>
    <w:rsid w:val="00A751E0"/>
    <w:rsid w:val="00A76DC0"/>
    <w:rsid w:val="00A77F9C"/>
    <w:rsid w:val="00A8107B"/>
    <w:rsid w:val="00A84048"/>
    <w:rsid w:val="00A8405C"/>
    <w:rsid w:val="00A85071"/>
    <w:rsid w:val="00A90860"/>
    <w:rsid w:val="00A95A45"/>
    <w:rsid w:val="00A9754E"/>
    <w:rsid w:val="00A97B66"/>
    <w:rsid w:val="00AA2632"/>
    <w:rsid w:val="00AA2636"/>
    <w:rsid w:val="00AA407C"/>
    <w:rsid w:val="00AA4192"/>
    <w:rsid w:val="00AA433B"/>
    <w:rsid w:val="00AA6054"/>
    <w:rsid w:val="00AA65A7"/>
    <w:rsid w:val="00AA7B66"/>
    <w:rsid w:val="00AB19CC"/>
    <w:rsid w:val="00AB1ADE"/>
    <w:rsid w:val="00AB6D6C"/>
    <w:rsid w:val="00AC0D9A"/>
    <w:rsid w:val="00AC4F33"/>
    <w:rsid w:val="00AD1255"/>
    <w:rsid w:val="00AD1286"/>
    <w:rsid w:val="00AD2871"/>
    <w:rsid w:val="00AD2F57"/>
    <w:rsid w:val="00AD4D1F"/>
    <w:rsid w:val="00AD6DEF"/>
    <w:rsid w:val="00AE26E5"/>
    <w:rsid w:val="00AE2C3A"/>
    <w:rsid w:val="00AF151C"/>
    <w:rsid w:val="00AF239B"/>
    <w:rsid w:val="00AF3B4E"/>
    <w:rsid w:val="00AF5559"/>
    <w:rsid w:val="00B014C1"/>
    <w:rsid w:val="00B02B25"/>
    <w:rsid w:val="00B03F19"/>
    <w:rsid w:val="00B0799A"/>
    <w:rsid w:val="00B10361"/>
    <w:rsid w:val="00B14A71"/>
    <w:rsid w:val="00B158F8"/>
    <w:rsid w:val="00B176B2"/>
    <w:rsid w:val="00B17933"/>
    <w:rsid w:val="00B209C7"/>
    <w:rsid w:val="00B2533B"/>
    <w:rsid w:val="00B26796"/>
    <w:rsid w:val="00B32F04"/>
    <w:rsid w:val="00B33505"/>
    <w:rsid w:val="00B4106A"/>
    <w:rsid w:val="00B42F99"/>
    <w:rsid w:val="00B458C9"/>
    <w:rsid w:val="00B45FD8"/>
    <w:rsid w:val="00B46E50"/>
    <w:rsid w:val="00B51F1B"/>
    <w:rsid w:val="00B53995"/>
    <w:rsid w:val="00B54051"/>
    <w:rsid w:val="00B55561"/>
    <w:rsid w:val="00B558EE"/>
    <w:rsid w:val="00B5630F"/>
    <w:rsid w:val="00B56AAF"/>
    <w:rsid w:val="00B56AD5"/>
    <w:rsid w:val="00B57418"/>
    <w:rsid w:val="00B6285A"/>
    <w:rsid w:val="00B6438E"/>
    <w:rsid w:val="00B655E3"/>
    <w:rsid w:val="00B6580D"/>
    <w:rsid w:val="00B73D10"/>
    <w:rsid w:val="00B73E0A"/>
    <w:rsid w:val="00B73F8E"/>
    <w:rsid w:val="00B7680F"/>
    <w:rsid w:val="00B83DC8"/>
    <w:rsid w:val="00B84344"/>
    <w:rsid w:val="00B858A4"/>
    <w:rsid w:val="00B90E2F"/>
    <w:rsid w:val="00B93BE1"/>
    <w:rsid w:val="00B9441E"/>
    <w:rsid w:val="00B958F5"/>
    <w:rsid w:val="00B97F4D"/>
    <w:rsid w:val="00BA0066"/>
    <w:rsid w:val="00BA02F0"/>
    <w:rsid w:val="00BA03D2"/>
    <w:rsid w:val="00BA0D91"/>
    <w:rsid w:val="00BA387D"/>
    <w:rsid w:val="00BA50E9"/>
    <w:rsid w:val="00BA6BA3"/>
    <w:rsid w:val="00BA6D93"/>
    <w:rsid w:val="00BA73EA"/>
    <w:rsid w:val="00BA7AE1"/>
    <w:rsid w:val="00BB2E8B"/>
    <w:rsid w:val="00BB31A6"/>
    <w:rsid w:val="00BB3235"/>
    <w:rsid w:val="00BB3BCE"/>
    <w:rsid w:val="00BB526F"/>
    <w:rsid w:val="00BB63F1"/>
    <w:rsid w:val="00BC0A7E"/>
    <w:rsid w:val="00BC40EB"/>
    <w:rsid w:val="00BC417B"/>
    <w:rsid w:val="00BC462A"/>
    <w:rsid w:val="00BC5C25"/>
    <w:rsid w:val="00BD1B8F"/>
    <w:rsid w:val="00BD4FD3"/>
    <w:rsid w:val="00BE054A"/>
    <w:rsid w:val="00BE30A6"/>
    <w:rsid w:val="00BE4AFF"/>
    <w:rsid w:val="00BE78C2"/>
    <w:rsid w:val="00BF055E"/>
    <w:rsid w:val="00BF1335"/>
    <w:rsid w:val="00BF3A4C"/>
    <w:rsid w:val="00BF40CF"/>
    <w:rsid w:val="00BF4753"/>
    <w:rsid w:val="00BF53B6"/>
    <w:rsid w:val="00BF7E9D"/>
    <w:rsid w:val="00C0034E"/>
    <w:rsid w:val="00C0107E"/>
    <w:rsid w:val="00C04DB4"/>
    <w:rsid w:val="00C04F62"/>
    <w:rsid w:val="00C065A1"/>
    <w:rsid w:val="00C107F7"/>
    <w:rsid w:val="00C1161E"/>
    <w:rsid w:val="00C128B2"/>
    <w:rsid w:val="00C139CE"/>
    <w:rsid w:val="00C13AFE"/>
    <w:rsid w:val="00C149C0"/>
    <w:rsid w:val="00C14BC0"/>
    <w:rsid w:val="00C1707D"/>
    <w:rsid w:val="00C20142"/>
    <w:rsid w:val="00C226AF"/>
    <w:rsid w:val="00C27B88"/>
    <w:rsid w:val="00C31B05"/>
    <w:rsid w:val="00C32A02"/>
    <w:rsid w:val="00C33FA0"/>
    <w:rsid w:val="00C3414B"/>
    <w:rsid w:val="00C40989"/>
    <w:rsid w:val="00C44474"/>
    <w:rsid w:val="00C45227"/>
    <w:rsid w:val="00C466C5"/>
    <w:rsid w:val="00C53079"/>
    <w:rsid w:val="00C5407E"/>
    <w:rsid w:val="00C549BA"/>
    <w:rsid w:val="00C54B78"/>
    <w:rsid w:val="00C55EFC"/>
    <w:rsid w:val="00C57955"/>
    <w:rsid w:val="00C65D42"/>
    <w:rsid w:val="00C660BE"/>
    <w:rsid w:val="00C73211"/>
    <w:rsid w:val="00C73578"/>
    <w:rsid w:val="00C8305B"/>
    <w:rsid w:val="00C83800"/>
    <w:rsid w:val="00C8504B"/>
    <w:rsid w:val="00C85959"/>
    <w:rsid w:val="00C859A8"/>
    <w:rsid w:val="00C86FB7"/>
    <w:rsid w:val="00C87B75"/>
    <w:rsid w:val="00C87E20"/>
    <w:rsid w:val="00C90505"/>
    <w:rsid w:val="00C95B68"/>
    <w:rsid w:val="00C9790F"/>
    <w:rsid w:val="00C97BFE"/>
    <w:rsid w:val="00CA268E"/>
    <w:rsid w:val="00CA29A9"/>
    <w:rsid w:val="00CA2CB6"/>
    <w:rsid w:val="00CA2DB9"/>
    <w:rsid w:val="00CA3D16"/>
    <w:rsid w:val="00CB1BC9"/>
    <w:rsid w:val="00CB1C78"/>
    <w:rsid w:val="00CB4DD6"/>
    <w:rsid w:val="00CB514E"/>
    <w:rsid w:val="00CB5BCE"/>
    <w:rsid w:val="00CB729A"/>
    <w:rsid w:val="00CC2E39"/>
    <w:rsid w:val="00CC4328"/>
    <w:rsid w:val="00CC612D"/>
    <w:rsid w:val="00CC740D"/>
    <w:rsid w:val="00CD1E47"/>
    <w:rsid w:val="00CD2512"/>
    <w:rsid w:val="00CD32B9"/>
    <w:rsid w:val="00CD4BD5"/>
    <w:rsid w:val="00CD5632"/>
    <w:rsid w:val="00CE262D"/>
    <w:rsid w:val="00CE2961"/>
    <w:rsid w:val="00CE456E"/>
    <w:rsid w:val="00CE7515"/>
    <w:rsid w:val="00CF0879"/>
    <w:rsid w:val="00CF091D"/>
    <w:rsid w:val="00CF3A74"/>
    <w:rsid w:val="00CF5CA4"/>
    <w:rsid w:val="00CF68A1"/>
    <w:rsid w:val="00CF68C5"/>
    <w:rsid w:val="00CF68FC"/>
    <w:rsid w:val="00CF6C5C"/>
    <w:rsid w:val="00CF6F2B"/>
    <w:rsid w:val="00D0194F"/>
    <w:rsid w:val="00D021CD"/>
    <w:rsid w:val="00D05252"/>
    <w:rsid w:val="00D05EC7"/>
    <w:rsid w:val="00D078D1"/>
    <w:rsid w:val="00D10A16"/>
    <w:rsid w:val="00D120A8"/>
    <w:rsid w:val="00D13986"/>
    <w:rsid w:val="00D16FDC"/>
    <w:rsid w:val="00D17884"/>
    <w:rsid w:val="00D200BC"/>
    <w:rsid w:val="00D2033E"/>
    <w:rsid w:val="00D21E1F"/>
    <w:rsid w:val="00D22811"/>
    <w:rsid w:val="00D2489A"/>
    <w:rsid w:val="00D248D4"/>
    <w:rsid w:val="00D248FA"/>
    <w:rsid w:val="00D25367"/>
    <w:rsid w:val="00D271FA"/>
    <w:rsid w:val="00D313B0"/>
    <w:rsid w:val="00D31DED"/>
    <w:rsid w:val="00D331DF"/>
    <w:rsid w:val="00D34EF2"/>
    <w:rsid w:val="00D51BFB"/>
    <w:rsid w:val="00D54795"/>
    <w:rsid w:val="00D54A07"/>
    <w:rsid w:val="00D560FE"/>
    <w:rsid w:val="00D657B6"/>
    <w:rsid w:val="00D66B10"/>
    <w:rsid w:val="00D70281"/>
    <w:rsid w:val="00D702C6"/>
    <w:rsid w:val="00D73538"/>
    <w:rsid w:val="00D73D4E"/>
    <w:rsid w:val="00D763CF"/>
    <w:rsid w:val="00D766E4"/>
    <w:rsid w:val="00D800D3"/>
    <w:rsid w:val="00D82722"/>
    <w:rsid w:val="00D83A68"/>
    <w:rsid w:val="00D83F3C"/>
    <w:rsid w:val="00D86177"/>
    <w:rsid w:val="00D87722"/>
    <w:rsid w:val="00D87F61"/>
    <w:rsid w:val="00D9013E"/>
    <w:rsid w:val="00D92BC0"/>
    <w:rsid w:val="00D93D4E"/>
    <w:rsid w:val="00D94630"/>
    <w:rsid w:val="00D960A6"/>
    <w:rsid w:val="00DA1E07"/>
    <w:rsid w:val="00DA2B61"/>
    <w:rsid w:val="00DA60DF"/>
    <w:rsid w:val="00DA6F68"/>
    <w:rsid w:val="00DA7EF4"/>
    <w:rsid w:val="00DB0C28"/>
    <w:rsid w:val="00DB17AD"/>
    <w:rsid w:val="00DB262C"/>
    <w:rsid w:val="00DB2E69"/>
    <w:rsid w:val="00DB2F16"/>
    <w:rsid w:val="00DB3217"/>
    <w:rsid w:val="00DB4599"/>
    <w:rsid w:val="00DB55E6"/>
    <w:rsid w:val="00DB568A"/>
    <w:rsid w:val="00DB5E98"/>
    <w:rsid w:val="00DC0FB1"/>
    <w:rsid w:val="00DD0703"/>
    <w:rsid w:val="00DD1368"/>
    <w:rsid w:val="00DD2E48"/>
    <w:rsid w:val="00DD30EB"/>
    <w:rsid w:val="00DD5FFD"/>
    <w:rsid w:val="00DD6632"/>
    <w:rsid w:val="00DE0D28"/>
    <w:rsid w:val="00DE43A9"/>
    <w:rsid w:val="00DE625E"/>
    <w:rsid w:val="00DE7264"/>
    <w:rsid w:val="00DF009D"/>
    <w:rsid w:val="00DF01F3"/>
    <w:rsid w:val="00DF348A"/>
    <w:rsid w:val="00DF7465"/>
    <w:rsid w:val="00DF7903"/>
    <w:rsid w:val="00DF7DFF"/>
    <w:rsid w:val="00E011A1"/>
    <w:rsid w:val="00E0440C"/>
    <w:rsid w:val="00E05440"/>
    <w:rsid w:val="00E07F57"/>
    <w:rsid w:val="00E10E25"/>
    <w:rsid w:val="00E133D7"/>
    <w:rsid w:val="00E140E5"/>
    <w:rsid w:val="00E17156"/>
    <w:rsid w:val="00E22797"/>
    <w:rsid w:val="00E23D0B"/>
    <w:rsid w:val="00E250C5"/>
    <w:rsid w:val="00E30662"/>
    <w:rsid w:val="00E3405D"/>
    <w:rsid w:val="00E366B1"/>
    <w:rsid w:val="00E37A2B"/>
    <w:rsid w:val="00E45B42"/>
    <w:rsid w:val="00E50C41"/>
    <w:rsid w:val="00E510C8"/>
    <w:rsid w:val="00E53B47"/>
    <w:rsid w:val="00E544E1"/>
    <w:rsid w:val="00E54B38"/>
    <w:rsid w:val="00E54E7B"/>
    <w:rsid w:val="00E613C4"/>
    <w:rsid w:val="00E6266D"/>
    <w:rsid w:val="00E655AB"/>
    <w:rsid w:val="00E70B4D"/>
    <w:rsid w:val="00E70C16"/>
    <w:rsid w:val="00E733CA"/>
    <w:rsid w:val="00E83853"/>
    <w:rsid w:val="00E8505B"/>
    <w:rsid w:val="00E9214C"/>
    <w:rsid w:val="00E93FE5"/>
    <w:rsid w:val="00E9430A"/>
    <w:rsid w:val="00E94854"/>
    <w:rsid w:val="00E9616D"/>
    <w:rsid w:val="00E9789D"/>
    <w:rsid w:val="00EA0990"/>
    <w:rsid w:val="00EA1782"/>
    <w:rsid w:val="00EA1D22"/>
    <w:rsid w:val="00EA1D6B"/>
    <w:rsid w:val="00EA36BF"/>
    <w:rsid w:val="00EA42C9"/>
    <w:rsid w:val="00EA45C8"/>
    <w:rsid w:val="00EA75C8"/>
    <w:rsid w:val="00EB02CA"/>
    <w:rsid w:val="00EB0FCC"/>
    <w:rsid w:val="00EB31F4"/>
    <w:rsid w:val="00EB340D"/>
    <w:rsid w:val="00EB585D"/>
    <w:rsid w:val="00EB59A3"/>
    <w:rsid w:val="00EB7321"/>
    <w:rsid w:val="00EB78E8"/>
    <w:rsid w:val="00EC0DFB"/>
    <w:rsid w:val="00EC1DDD"/>
    <w:rsid w:val="00EC23E4"/>
    <w:rsid w:val="00EC27F2"/>
    <w:rsid w:val="00ED1323"/>
    <w:rsid w:val="00ED3008"/>
    <w:rsid w:val="00ED46FF"/>
    <w:rsid w:val="00ED52DF"/>
    <w:rsid w:val="00ED695F"/>
    <w:rsid w:val="00EE3557"/>
    <w:rsid w:val="00EE41CA"/>
    <w:rsid w:val="00EE49EC"/>
    <w:rsid w:val="00EE7219"/>
    <w:rsid w:val="00EF047E"/>
    <w:rsid w:val="00EF1078"/>
    <w:rsid w:val="00EF14FD"/>
    <w:rsid w:val="00EF3C17"/>
    <w:rsid w:val="00EF6192"/>
    <w:rsid w:val="00EF7B99"/>
    <w:rsid w:val="00EF7BF5"/>
    <w:rsid w:val="00F00223"/>
    <w:rsid w:val="00F009B4"/>
    <w:rsid w:val="00F02510"/>
    <w:rsid w:val="00F03304"/>
    <w:rsid w:val="00F0535C"/>
    <w:rsid w:val="00F0594C"/>
    <w:rsid w:val="00F05DE0"/>
    <w:rsid w:val="00F1098D"/>
    <w:rsid w:val="00F11D29"/>
    <w:rsid w:val="00F12140"/>
    <w:rsid w:val="00F21E61"/>
    <w:rsid w:val="00F238CC"/>
    <w:rsid w:val="00F248B3"/>
    <w:rsid w:val="00F2699C"/>
    <w:rsid w:val="00F27F04"/>
    <w:rsid w:val="00F27F5F"/>
    <w:rsid w:val="00F30586"/>
    <w:rsid w:val="00F30D8C"/>
    <w:rsid w:val="00F34AE9"/>
    <w:rsid w:val="00F37371"/>
    <w:rsid w:val="00F405C5"/>
    <w:rsid w:val="00F442E4"/>
    <w:rsid w:val="00F4488A"/>
    <w:rsid w:val="00F45EBA"/>
    <w:rsid w:val="00F52171"/>
    <w:rsid w:val="00F522BB"/>
    <w:rsid w:val="00F5721E"/>
    <w:rsid w:val="00F57B5A"/>
    <w:rsid w:val="00F62244"/>
    <w:rsid w:val="00F622B6"/>
    <w:rsid w:val="00F65BEE"/>
    <w:rsid w:val="00F67DE5"/>
    <w:rsid w:val="00F72EED"/>
    <w:rsid w:val="00F74C6B"/>
    <w:rsid w:val="00F74D26"/>
    <w:rsid w:val="00F75FA1"/>
    <w:rsid w:val="00F76253"/>
    <w:rsid w:val="00F76A9C"/>
    <w:rsid w:val="00F82929"/>
    <w:rsid w:val="00F910A6"/>
    <w:rsid w:val="00F926B1"/>
    <w:rsid w:val="00F9587B"/>
    <w:rsid w:val="00F969BF"/>
    <w:rsid w:val="00F973D3"/>
    <w:rsid w:val="00F979EA"/>
    <w:rsid w:val="00FA14BF"/>
    <w:rsid w:val="00FA1573"/>
    <w:rsid w:val="00FA1949"/>
    <w:rsid w:val="00FA4D24"/>
    <w:rsid w:val="00FA77A0"/>
    <w:rsid w:val="00FB0734"/>
    <w:rsid w:val="00FB07C8"/>
    <w:rsid w:val="00FB0DAF"/>
    <w:rsid w:val="00FB1DB2"/>
    <w:rsid w:val="00FB3D6D"/>
    <w:rsid w:val="00FB42CF"/>
    <w:rsid w:val="00FB4F73"/>
    <w:rsid w:val="00FB606D"/>
    <w:rsid w:val="00FB673D"/>
    <w:rsid w:val="00FC127E"/>
    <w:rsid w:val="00FC370A"/>
    <w:rsid w:val="00FC3DA6"/>
    <w:rsid w:val="00FC586A"/>
    <w:rsid w:val="00FC5A11"/>
    <w:rsid w:val="00FC6D27"/>
    <w:rsid w:val="00FC7524"/>
    <w:rsid w:val="00FD0599"/>
    <w:rsid w:val="00FD08DA"/>
    <w:rsid w:val="00FD2DFE"/>
    <w:rsid w:val="00FD797B"/>
    <w:rsid w:val="00FD7E86"/>
    <w:rsid w:val="00FE1A01"/>
    <w:rsid w:val="00FE24E8"/>
    <w:rsid w:val="00FE60EB"/>
    <w:rsid w:val="00FF0733"/>
    <w:rsid w:val="00FF1B5A"/>
    <w:rsid w:val="00FF2041"/>
    <w:rsid w:val="00FF3BB2"/>
    <w:rsid w:val="00FF52FC"/>
    <w:rsid w:val="00FF6104"/>
    <w:rsid w:val="00FF6617"/>
    <w:rsid w:val="00FF6B19"/>
    <w:rsid w:val="00FF6B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043E1"/>
  <w15:chartTrackingRefBased/>
  <w15:docId w15:val="{03E8C352-D422-4CB1-A8DB-EA328DEF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221"/>
    <w:pPr>
      <w:spacing w:after="120" w:line="276" w:lineRule="auto"/>
      <w:ind w:firstLine="720"/>
      <w:jc w:val="both"/>
    </w:pPr>
    <w:rPr>
      <w:rFonts w:ascii="Times New Roman" w:eastAsiaTheme="minorEastAsia" w:hAnsi="Times New Roman"/>
      <w:sz w:val="24"/>
    </w:rPr>
  </w:style>
  <w:style w:type="paragraph" w:styleId="Heading1">
    <w:name w:val="heading 1"/>
    <w:basedOn w:val="Normal"/>
    <w:next w:val="Normal"/>
    <w:link w:val="Heading1Char"/>
    <w:uiPriority w:val="9"/>
    <w:qFormat/>
    <w:rsid w:val="00982D35"/>
    <w:pPr>
      <w:keepNext/>
      <w:keepLines/>
      <w:spacing w:before="360"/>
      <w:ind w:firstLine="0"/>
      <w:jc w:val="center"/>
      <w:outlineLvl w:val="0"/>
    </w:pPr>
    <w:rPr>
      <w:rFonts w:eastAsia="Times New Roman" w:cs="Times New Roman"/>
      <w:b/>
      <w:bCs/>
      <w:smallCaps/>
      <w:color w:val="000000"/>
      <w:sz w:val="36"/>
      <w:szCs w:val="36"/>
      <w:lang w:eastAsia="lv-LV"/>
      <w14:textOutline w14:w="9525" w14:cap="rnd" w14:cmpd="sng" w14:algn="ctr">
        <w14:noFill/>
        <w14:prstDash w14:val="solid"/>
        <w14:bevel/>
      </w14:textOutline>
    </w:rPr>
  </w:style>
  <w:style w:type="paragraph" w:styleId="Heading2">
    <w:name w:val="heading 2"/>
    <w:basedOn w:val="Normal"/>
    <w:next w:val="Normal"/>
    <w:link w:val="Heading2Char"/>
    <w:uiPriority w:val="9"/>
    <w:unhideWhenUsed/>
    <w:qFormat/>
    <w:rsid w:val="00BF4753"/>
    <w:pPr>
      <w:keepNext/>
      <w:keepLines/>
      <w:numPr>
        <w:ilvl w:val="1"/>
        <w:numId w:val="1"/>
      </w:numPr>
      <w:spacing w:before="360"/>
      <w:jc w:val="center"/>
      <w:outlineLvl w:val="1"/>
    </w:pPr>
    <w:rPr>
      <w:rFonts w:eastAsiaTheme="majorEastAsia" w:cstheme="majorBidi"/>
      <w:b/>
      <w:bCs/>
      <w:color w:val="000000" w:themeColor="text1"/>
      <w:sz w:val="32"/>
      <w:szCs w:val="28"/>
    </w:rPr>
  </w:style>
  <w:style w:type="paragraph" w:styleId="Heading3">
    <w:name w:val="heading 3"/>
    <w:basedOn w:val="Normal"/>
    <w:next w:val="Normal"/>
    <w:link w:val="Heading3Char"/>
    <w:uiPriority w:val="9"/>
    <w:unhideWhenUsed/>
    <w:qFormat/>
    <w:rsid w:val="00BF4753"/>
    <w:pPr>
      <w:keepNext/>
      <w:keepLines/>
      <w:numPr>
        <w:ilvl w:val="2"/>
        <w:numId w:val="1"/>
      </w:numPr>
      <w:spacing w:before="20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BF4753"/>
    <w:pPr>
      <w:keepNext/>
      <w:keepLines/>
      <w:numPr>
        <w:ilvl w:val="3"/>
        <w:numId w:val="1"/>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BF4753"/>
    <w:pPr>
      <w:keepNext/>
      <w:keepLines/>
      <w:numPr>
        <w:ilvl w:val="4"/>
        <w:numId w:val="1"/>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BF4753"/>
    <w:pPr>
      <w:keepNext/>
      <w:keepLines/>
      <w:numPr>
        <w:ilvl w:val="5"/>
        <w:numId w:val="1"/>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BF475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F475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F475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D35"/>
    <w:rPr>
      <w:rFonts w:ascii="Times New Roman" w:eastAsia="Times New Roman" w:hAnsi="Times New Roman" w:cs="Times New Roman"/>
      <w:b/>
      <w:bCs/>
      <w:smallCaps/>
      <w:color w:val="000000"/>
      <w:sz w:val="36"/>
      <w:szCs w:val="36"/>
      <w:lang w:eastAsia="lv-LV"/>
      <w14:textOutline w14:w="9525" w14:cap="rnd" w14:cmpd="sng" w14:algn="ctr">
        <w14:noFill/>
        <w14:prstDash w14:val="solid"/>
        <w14:bevel/>
      </w14:textOutline>
    </w:rPr>
  </w:style>
  <w:style w:type="character" w:customStyle="1" w:styleId="Heading2Char">
    <w:name w:val="Heading 2 Char"/>
    <w:basedOn w:val="DefaultParagraphFont"/>
    <w:link w:val="Heading2"/>
    <w:uiPriority w:val="9"/>
    <w:rsid w:val="00BF4753"/>
    <w:rPr>
      <w:rFonts w:ascii="Times New Roman" w:eastAsiaTheme="majorEastAsia" w:hAnsi="Times New Roman" w:cstheme="majorBidi"/>
      <w:b/>
      <w:bCs/>
      <w:color w:val="000000" w:themeColor="text1"/>
      <w:sz w:val="32"/>
      <w:szCs w:val="28"/>
    </w:rPr>
  </w:style>
  <w:style w:type="character" w:customStyle="1" w:styleId="Heading3Char">
    <w:name w:val="Heading 3 Char"/>
    <w:basedOn w:val="DefaultParagraphFont"/>
    <w:link w:val="Heading3"/>
    <w:uiPriority w:val="9"/>
    <w:rsid w:val="00BF4753"/>
    <w:rPr>
      <w:rFonts w:ascii="Times New Roman" w:eastAsiaTheme="majorEastAsia" w:hAnsi="Times New Roman" w:cstheme="majorBidi"/>
      <w:b/>
      <w:bCs/>
      <w:color w:val="000000" w:themeColor="text1"/>
      <w:sz w:val="24"/>
    </w:rPr>
  </w:style>
  <w:style w:type="character" w:customStyle="1" w:styleId="Heading4Char">
    <w:name w:val="Heading 4 Char"/>
    <w:basedOn w:val="DefaultParagraphFont"/>
    <w:link w:val="Heading4"/>
    <w:uiPriority w:val="9"/>
    <w:semiHidden/>
    <w:rsid w:val="00BF4753"/>
    <w:rPr>
      <w:rFonts w:asciiTheme="majorHAnsi" w:eastAsiaTheme="majorEastAsia" w:hAnsiTheme="majorHAnsi" w:cstheme="majorBidi"/>
      <w:b/>
      <w:bCs/>
      <w:i/>
      <w:iCs/>
      <w:color w:val="000000" w:themeColor="text1"/>
      <w:sz w:val="24"/>
    </w:rPr>
  </w:style>
  <w:style w:type="character" w:customStyle="1" w:styleId="Heading5Char">
    <w:name w:val="Heading 5 Char"/>
    <w:basedOn w:val="DefaultParagraphFont"/>
    <w:link w:val="Heading5"/>
    <w:uiPriority w:val="9"/>
    <w:semiHidden/>
    <w:rsid w:val="00BF4753"/>
    <w:rPr>
      <w:rFonts w:asciiTheme="majorHAnsi" w:eastAsiaTheme="majorEastAsia" w:hAnsiTheme="majorHAnsi" w:cstheme="majorBidi"/>
      <w:color w:val="323E4F" w:themeColor="text2" w:themeShade="BF"/>
      <w:sz w:val="24"/>
    </w:rPr>
  </w:style>
  <w:style w:type="character" w:customStyle="1" w:styleId="Heading6Char">
    <w:name w:val="Heading 6 Char"/>
    <w:basedOn w:val="DefaultParagraphFont"/>
    <w:link w:val="Heading6"/>
    <w:uiPriority w:val="9"/>
    <w:semiHidden/>
    <w:rsid w:val="00BF4753"/>
    <w:rPr>
      <w:rFonts w:asciiTheme="majorHAnsi" w:eastAsiaTheme="majorEastAsia" w:hAnsiTheme="majorHAnsi" w:cstheme="majorBidi"/>
      <w:i/>
      <w:iCs/>
      <w:color w:val="323E4F" w:themeColor="text2" w:themeShade="BF"/>
      <w:sz w:val="24"/>
    </w:rPr>
  </w:style>
  <w:style w:type="character" w:customStyle="1" w:styleId="Heading7Char">
    <w:name w:val="Heading 7 Char"/>
    <w:basedOn w:val="DefaultParagraphFont"/>
    <w:link w:val="Heading7"/>
    <w:uiPriority w:val="9"/>
    <w:semiHidden/>
    <w:rsid w:val="00BF4753"/>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BF475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F4753"/>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rsid w:val="00BF4753"/>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BF4753"/>
    <w:rPr>
      <w:rFonts w:ascii="Times New Roman" w:eastAsiaTheme="minorEastAsia" w:hAnsi="Times New Roman"/>
      <w:color w:val="000000" w:themeColor="text1"/>
      <w:sz w:val="28"/>
      <w:shd w:val="clear" w:color="auto" w:fill="F2F2F2" w:themeFill="background1" w:themeFillShade="F2"/>
    </w:rPr>
  </w:style>
  <w:style w:type="paragraph" w:styleId="Caption">
    <w:name w:val="caption"/>
    <w:basedOn w:val="Normal"/>
    <w:next w:val="Normal"/>
    <w:uiPriority w:val="35"/>
    <w:semiHidden/>
    <w:unhideWhenUsed/>
    <w:qFormat/>
    <w:rsid w:val="00BF4753"/>
    <w:pPr>
      <w:spacing w:after="200"/>
    </w:pPr>
    <w:rPr>
      <w:i/>
      <w:iCs/>
      <w:color w:val="44546A" w:themeColor="text2"/>
      <w:sz w:val="18"/>
      <w:szCs w:val="18"/>
    </w:rPr>
  </w:style>
  <w:style w:type="paragraph" w:styleId="Title">
    <w:name w:val="Title"/>
    <w:basedOn w:val="Normal"/>
    <w:next w:val="Normal"/>
    <w:link w:val="TitleChar"/>
    <w:uiPriority w:val="10"/>
    <w:qFormat/>
    <w:rsid w:val="00BF4753"/>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BF4753"/>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BF4753"/>
    <w:pPr>
      <w:numPr>
        <w:ilvl w:val="1"/>
      </w:numPr>
      <w:ind w:firstLine="720"/>
    </w:pPr>
    <w:rPr>
      <w:color w:val="5A5A5A" w:themeColor="text1" w:themeTint="A5"/>
      <w:spacing w:val="10"/>
    </w:rPr>
  </w:style>
  <w:style w:type="character" w:customStyle="1" w:styleId="SubtitleChar">
    <w:name w:val="Subtitle Char"/>
    <w:basedOn w:val="DefaultParagraphFont"/>
    <w:link w:val="Subtitle"/>
    <w:uiPriority w:val="11"/>
    <w:rsid w:val="00BF4753"/>
    <w:rPr>
      <w:rFonts w:ascii="Times New Roman" w:eastAsiaTheme="minorEastAsia" w:hAnsi="Times New Roman"/>
      <w:color w:val="5A5A5A" w:themeColor="text1" w:themeTint="A5"/>
      <w:spacing w:val="10"/>
      <w:sz w:val="28"/>
    </w:rPr>
  </w:style>
  <w:style w:type="character" w:styleId="Strong">
    <w:name w:val="Strong"/>
    <w:basedOn w:val="DefaultParagraphFont"/>
    <w:uiPriority w:val="22"/>
    <w:qFormat/>
    <w:rsid w:val="00BF4753"/>
    <w:rPr>
      <w:b/>
      <w:bCs/>
      <w:color w:val="000000" w:themeColor="text1"/>
    </w:rPr>
  </w:style>
  <w:style w:type="character" w:styleId="Emphasis">
    <w:name w:val="Emphasis"/>
    <w:basedOn w:val="DefaultParagraphFont"/>
    <w:uiPriority w:val="20"/>
    <w:qFormat/>
    <w:rsid w:val="00BF4753"/>
    <w:rPr>
      <w:i/>
      <w:iCs/>
      <w:color w:val="auto"/>
    </w:rPr>
  </w:style>
  <w:style w:type="paragraph" w:styleId="NoSpacing">
    <w:name w:val="No Spacing"/>
    <w:aliases w:val="Normal1,No Spacing1,Parastais"/>
    <w:link w:val="NoSpacingChar"/>
    <w:uiPriority w:val="1"/>
    <w:qFormat/>
    <w:rsid w:val="00BF4753"/>
    <w:pPr>
      <w:spacing w:after="0" w:line="240" w:lineRule="auto"/>
    </w:pPr>
    <w:rPr>
      <w:rFonts w:eastAsiaTheme="minorEastAsia"/>
    </w:rPr>
  </w:style>
  <w:style w:type="paragraph" w:styleId="Quote">
    <w:name w:val="Quote"/>
    <w:basedOn w:val="Normal"/>
    <w:next w:val="Normal"/>
    <w:link w:val="QuoteChar"/>
    <w:uiPriority w:val="29"/>
    <w:qFormat/>
    <w:rsid w:val="00BF4753"/>
    <w:pPr>
      <w:spacing w:before="160"/>
      <w:ind w:left="720" w:right="720"/>
    </w:pPr>
    <w:rPr>
      <w:i/>
      <w:iCs/>
      <w:color w:val="000000" w:themeColor="text1"/>
    </w:rPr>
  </w:style>
  <w:style w:type="character" w:customStyle="1" w:styleId="QuoteChar">
    <w:name w:val="Quote Char"/>
    <w:basedOn w:val="DefaultParagraphFont"/>
    <w:link w:val="Quote"/>
    <w:uiPriority w:val="29"/>
    <w:rsid w:val="00BF4753"/>
    <w:rPr>
      <w:rFonts w:ascii="Times New Roman" w:eastAsiaTheme="minorEastAsia" w:hAnsi="Times New Roman"/>
      <w:i/>
      <w:iCs/>
      <w:color w:val="000000" w:themeColor="text1"/>
      <w:sz w:val="28"/>
    </w:rPr>
  </w:style>
  <w:style w:type="character" w:styleId="SubtleEmphasis">
    <w:name w:val="Subtle Emphasis"/>
    <w:basedOn w:val="DefaultParagraphFont"/>
    <w:uiPriority w:val="19"/>
    <w:qFormat/>
    <w:rsid w:val="00BF4753"/>
    <w:rPr>
      <w:i/>
      <w:iCs/>
      <w:color w:val="404040" w:themeColor="text1" w:themeTint="BF"/>
    </w:rPr>
  </w:style>
  <w:style w:type="character" w:styleId="IntenseEmphasis">
    <w:name w:val="Intense Emphasis"/>
    <w:basedOn w:val="DefaultParagraphFont"/>
    <w:uiPriority w:val="21"/>
    <w:qFormat/>
    <w:rsid w:val="00BF4753"/>
    <w:rPr>
      <w:b/>
      <w:bCs/>
      <w:i/>
      <w:iCs/>
      <w:caps/>
    </w:rPr>
  </w:style>
  <w:style w:type="character" w:styleId="SubtleReference">
    <w:name w:val="Subtle Reference"/>
    <w:basedOn w:val="DefaultParagraphFont"/>
    <w:uiPriority w:val="31"/>
    <w:qFormat/>
    <w:rsid w:val="00BF475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F4753"/>
    <w:rPr>
      <w:b/>
      <w:bCs/>
      <w:smallCaps/>
      <w:u w:val="single"/>
    </w:rPr>
  </w:style>
  <w:style w:type="character" w:styleId="BookTitle">
    <w:name w:val="Book Title"/>
    <w:basedOn w:val="DefaultParagraphFont"/>
    <w:uiPriority w:val="33"/>
    <w:qFormat/>
    <w:rsid w:val="00BF4753"/>
    <w:rPr>
      <w:b w:val="0"/>
      <w:bCs w:val="0"/>
      <w:smallCaps/>
      <w:spacing w:val="5"/>
    </w:rPr>
  </w:style>
  <w:style w:type="paragraph" w:styleId="TOCHeading">
    <w:name w:val="TOC Heading"/>
    <w:basedOn w:val="Heading1"/>
    <w:next w:val="Normal"/>
    <w:uiPriority w:val="39"/>
    <w:unhideWhenUsed/>
    <w:qFormat/>
    <w:rsid w:val="00BF4753"/>
    <w:pPr>
      <w:outlineLvl w:val="9"/>
    </w:pPr>
  </w:style>
  <w:style w:type="character" w:customStyle="1" w:styleId="NoSpacingChar">
    <w:name w:val="No Spacing Char"/>
    <w:aliases w:val="Normal1 Char,No Spacing1 Char,Parastais Char"/>
    <w:basedOn w:val="DefaultParagraphFont"/>
    <w:link w:val="NoSpacing"/>
    <w:uiPriority w:val="1"/>
    <w:rsid w:val="00BF4753"/>
    <w:rPr>
      <w:rFonts w:eastAsiaTheme="minorEastAsia"/>
    </w:rPr>
  </w:style>
  <w:style w:type="paragraph" w:styleId="Header">
    <w:name w:val="header"/>
    <w:basedOn w:val="Normal"/>
    <w:link w:val="HeaderChar"/>
    <w:uiPriority w:val="99"/>
    <w:unhideWhenUsed/>
    <w:rsid w:val="00BF4753"/>
    <w:pPr>
      <w:tabs>
        <w:tab w:val="center" w:pos="4153"/>
        <w:tab w:val="right" w:pos="8306"/>
      </w:tabs>
    </w:pPr>
  </w:style>
  <w:style w:type="character" w:customStyle="1" w:styleId="HeaderChar">
    <w:name w:val="Header Char"/>
    <w:basedOn w:val="DefaultParagraphFont"/>
    <w:link w:val="Header"/>
    <w:uiPriority w:val="99"/>
    <w:rsid w:val="00BF4753"/>
    <w:rPr>
      <w:rFonts w:ascii="Times New Roman" w:eastAsiaTheme="minorEastAsia" w:hAnsi="Times New Roman"/>
      <w:sz w:val="28"/>
    </w:rPr>
  </w:style>
  <w:style w:type="paragraph" w:styleId="Footer">
    <w:name w:val="footer"/>
    <w:basedOn w:val="Normal"/>
    <w:link w:val="FooterChar"/>
    <w:uiPriority w:val="99"/>
    <w:unhideWhenUsed/>
    <w:rsid w:val="00BF4753"/>
    <w:pPr>
      <w:tabs>
        <w:tab w:val="center" w:pos="4153"/>
        <w:tab w:val="right" w:pos="8306"/>
      </w:tabs>
    </w:pPr>
  </w:style>
  <w:style w:type="character" w:customStyle="1" w:styleId="FooterChar">
    <w:name w:val="Footer Char"/>
    <w:basedOn w:val="DefaultParagraphFont"/>
    <w:link w:val="Footer"/>
    <w:uiPriority w:val="99"/>
    <w:rsid w:val="00BF4753"/>
    <w:rPr>
      <w:rFonts w:ascii="Times New Roman" w:eastAsiaTheme="minorEastAsia" w:hAnsi="Times New Roman"/>
      <w:sz w:val="28"/>
    </w:rPr>
  </w:style>
  <w:style w:type="paragraph" w:styleId="ListParagraph">
    <w:name w:val="List Paragraph"/>
    <w:aliases w:val="2,Akapit z listą BS,Numbered Para 1,Dot pt,List Paragraph Char Char Char,Indicator Text,List Paragraph1,Bullet 1,Bullet Points,MAIN CONTENT,IFCL - List Paragraph,List Paragraph12,OBC Bullet,F5 List Paragraph,Strip,Punkti ar numuriem"/>
    <w:basedOn w:val="Normal"/>
    <w:link w:val="ListParagraphChar"/>
    <w:uiPriority w:val="34"/>
    <w:qFormat/>
    <w:rsid w:val="00BF4753"/>
    <w:pPr>
      <w:ind w:left="720"/>
      <w:contextualSpacing/>
    </w:pPr>
  </w:style>
  <w:style w:type="paragraph" w:customStyle="1" w:styleId="PIRMAIS">
    <w:name w:val="PIRMAIS"/>
    <w:basedOn w:val="Normal"/>
    <w:link w:val="PIRMAISChar"/>
    <w:qFormat/>
    <w:rsid w:val="00BF4753"/>
    <w:pPr>
      <w:keepNext/>
      <w:keepLines/>
      <w:pageBreakBefore/>
      <w:pBdr>
        <w:bottom w:val="thickThinLargeGap" w:sz="24" w:space="1" w:color="17365D"/>
      </w:pBdr>
      <w:tabs>
        <w:tab w:val="left" w:pos="567"/>
      </w:tabs>
      <w:ind w:left="567" w:hanging="567"/>
      <w:outlineLvl w:val="0"/>
    </w:pPr>
    <w:rPr>
      <w:rFonts w:eastAsia="Times New Roman" w:cs="Times New Roman"/>
      <w:b/>
      <w:sz w:val="36"/>
      <w:szCs w:val="20"/>
    </w:rPr>
  </w:style>
  <w:style w:type="character" w:customStyle="1" w:styleId="PIRMAISChar">
    <w:name w:val="PIRMAIS Char"/>
    <w:basedOn w:val="DefaultParagraphFont"/>
    <w:link w:val="PIRMAIS"/>
    <w:rsid w:val="00BF4753"/>
    <w:rPr>
      <w:rFonts w:ascii="Times New Roman" w:eastAsia="Times New Roman" w:hAnsi="Times New Roman" w:cs="Times New Roman"/>
      <w:b/>
      <w:sz w:val="36"/>
      <w:szCs w:val="20"/>
    </w:rPr>
  </w:style>
  <w:style w:type="character" w:styleId="PageNumber">
    <w:name w:val="page number"/>
    <w:basedOn w:val="DefaultParagraphFont"/>
    <w:rsid w:val="00BF4753"/>
  </w:style>
  <w:style w:type="character" w:customStyle="1" w:styleId="HeaderChar1">
    <w:name w:val="Header Char1"/>
    <w:uiPriority w:val="99"/>
    <w:semiHidden/>
    <w:rsid w:val="00BF4753"/>
    <w:rPr>
      <w:rFonts w:eastAsia="Times New Roman" w:cs="Times New Roman"/>
      <w:sz w:val="24"/>
      <w:szCs w:val="20"/>
    </w:rPr>
  </w:style>
  <w:style w:type="paragraph" w:customStyle="1" w:styleId="H1">
    <w:name w:val="H1"/>
    <w:link w:val="H1Char"/>
    <w:rsid w:val="00BF4753"/>
    <w:pPr>
      <w:keepNext/>
      <w:keepLines/>
      <w:pageBreakBefore/>
      <w:pBdr>
        <w:bottom w:val="thickThinLargeGap" w:sz="24" w:space="1" w:color="17365D"/>
      </w:pBdr>
      <w:tabs>
        <w:tab w:val="left" w:pos="1134"/>
      </w:tabs>
      <w:spacing w:after="120" w:line="240" w:lineRule="auto"/>
      <w:ind w:left="1134" w:hanging="567"/>
      <w:outlineLvl w:val="0"/>
    </w:pPr>
    <w:rPr>
      <w:rFonts w:ascii="Times New Roman" w:eastAsia="Times New Roman" w:hAnsi="Times New Roman" w:cs="Times New Roman"/>
      <w:b/>
      <w:sz w:val="36"/>
      <w:szCs w:val="20"/>
    </w:rPr>
  </w:style>
  <w:style w:type="character" w:customStyle="1" w:styleId="H1Char">
    <w:name w:val="H1 Char"/>
    <w:link w:val="H1"/>
    <w:rsid w:val="00BF4753"/>
    <w:rPr>
      <w:rFonts w:ascii="Times New Roman" w:eastAsia="Times New Roman" w:hAnsi="Times New Roman" w:cs="Times New Roman"/>
      <w:b/>
      <w:sz w:val="36"/>
      <w:szCs w:val="20"/>
    </w:rPr>
  </w:style>
  <w:style w:type="character" w:styleId="CommentReference">
    <w:name w:val="annotation reference"/>
    <w:uiPriority w:val="99"/>
    <w:unhideWhenUsed/>
    <w:rsid w:val="00BF4753"/>
    <w:rPr>
      <w:sz w:val="16"/>
      <w:szCs w:val="16"/>
    </w:rPr>
  </w:style>
  <w:style w:type="paragraph" w:styleId="CommentText">
    <w:name w:val="annotation text"/>
    <w:basedOn w:val="Normal"/>
    <w:link w:val="CommentTextChar"/>
    <w:uiPriority w:val="99"/>
    <w:unhideWhenUsed/>
    <w:rsid w:val="00BF4753"/>
    <w:pPr>
      <w:ind w:firstLine="567"/>
    </w:pPr>
    <w:rPr>
      <w:rFonts w:eastAsia="Times New Roman" w:cs="Times New Roman"/>
      <w:sz w:val="20"/>
      <w:szCs w:val="20"/>
    </w:rPr>
  </w:style>
  <w:style w:type="character" w:customStyle="1" w:styleId="CommentTextChar">
    <w:name w:val="Comment Text Char"/>
    <w:basedOn w:val="DefaultParagraphFont"/>
    <w:link w:val="CommentText"/>
    <w:uiPriority w:val="99"/>
    <w:rsid w:val="00BF475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F4753"/>
    <w:pPr>
      <w:ind w:firstLine="567"/>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BF4753"/>
    <w:rPr>
      <w:rFonts w:ascii="Tahoma" w:eastAsia="Times New Roman" w:hAnsi="Tahoma" w:cs="Times New Roman"/>
      <w:sz w:val="16"/>
      <w:szCs w:val="16"/>
    </w:rPr>
  </w:style>
  <w:style w:type="paragraph" w:customStyle="1" w:styleId="H2">
    <w:name w:val="H2"/>
    <w:link w:val="H2Char"/>
    <w:uiPriority w:val="99"/>
    <w:rsid w:val="00BF4753"/>
    <w:pPr>
      <w:keepNext/>
      <w:tabs>
        <w:tab w:val="left" w:pos="1134"/>
      </w:tabs>
      <w:spacing w:before="480" w:after="240" w:line="240" w:lineRule="auto"/>
      <w:ind w:left="1134" w:hanging="567"/>
      <w:outlineLvl w:val="1"/>
    </w:pPr>
    <w:rPr>
      <w:rFonts w:ascii="Calibri" w:eastAsia="Times New Roman" w:hAnsi="Calibri" w:cs="Times New Roman"/>
      <w:b/>
      <w:sz w:val="32"/>
      <w:szCs w:val="20"/>
    </w:rPr>
  </w:style>
  <w:style w:type="character" w:customStyle="1" w:styleId="H2Char">
    <w:name w:val="H2 Char"/>
    <w:link w:val="H2"/>
    <w:uiPriority w:val="99"/>
    <w:rsid w:val="00BF4753"/>
    <w:rPr>
      <w:rFonts w:ascii="Calibri" w:eastAsia="Times New Roman" w:hAnsi="Calibri" w:cs="Times New Roman"/>
      <w:b/>
      <w:sz w:val="32"/>
      <w:szCs w:val="20"/>
    </w:rPr>
  </w:style>
  <w:style w:type="paragraph" w:customStyle="1" w:styleId="H4">
    <w:name w:val="H4"/>
    <w:uiPriority w:val="99"/>
    <w:rsid w:val="00BF4753"/>
    <w:pPr>
      <w:spacing w:before="120" w:after="120" w:line="240" w:lineRule="auto"/>
      <w:ind w:left="567"/>
      <w:outlineLvl w:val="3"/>
    </w:pPr>
    <w:rPr>
      <w:rFonts w:ascii="Calibri" w:eastAsia="Times New Roman" w:hAnsi="Calibri" w:cs="Times New Roman"/>
      <w:b/>
      <w:sz w:val="28"/>
      <w:szCs w:val="20"/>
    </w:rPr>
  </w:style>
  <w:style w:type="paragraph" w:customStyle="1" w:styleId="H3">
    <w:name w:val="H3"/>
    <w:link w:val="H3Char"/>
    <w:rsid w:val="00BF4753"/>
    <w:pPr>
      <w:keepNext/>
      <w:spacing w:before="480" w:after="120" w:line="240" w:lineRule="auto"/>
      <w:ind w:left="1701" w:hanging="1134"/>
      <w:outlineLvl w:val="2"/>
    </w:pPr>
    <w:rPr>
      <w:rFonts w:ascii="Calibri" w:eastAsia="Times New Roman" w:hAnsi="Calibri" w:cs="Times New Roman"/>
      <w:b/>
      <w:sz w:val="28"/>
      <w:szCs w:val="20"/>
    </w:rPr>
  </w:style>
  <w:style w:type="character" w:customStyle="1" w:styleId="H3Char">
    <w:name w:val="H3 Char"/>
    <w:link w:val="H3"/>
    <w:rsid w:val="00BF4753"/>
    <w:rPr>
      <w:rFonts w:ascii="Calibri" w:eastAsia="Times New Roman" w:hAnsi="Calibri" w:cs="Times New Roman"/>
      <w:b/>
      <w:sz w:val="28"/>
      <w:szCs w:val="20"/>
    </w:rPr>
  </w:style>
  <w:style w:type="paragraph" w:customStyle="1" w:styleId="T">
    <w:name w:val="T"/>
    <w:basedOn w:val="Normal"/>
    <w:rsid w:val="00BF4753"/>
    <w:pPr>
      <w:keepNext/>
      <w:ind w:left="567"/>
    </w:pPr>
    <w:rPr>
      <w:rFonts w:ascii="Calibri" w:eastAsia="Times New Roman" w:hAnsi="Calibri" w:cs="Times New Roman"/>
      <w:b/>
      <w:szCs w:val="20"/>
    </w:rPr>
  </w:style>
  <w:style w:type="paragraph" w:customStyle="1" w:styleId="Z">
    <w:name w:val="Z"/>
    <w:basedOn w:val="T"/>
    <w:uiPriority w:val="99"/>
    <w:qFormat/>
    <w:rsid w:val="00BF4753"/>
    <w:pPr>
      <w:ind w:right="1701"/>
    </w:pPr>
    <w:rPr>
      <w:b w:val="0"/>
      <w:sz w:val="20"/>
    </w:rPr>
  </w:style>
  <w:style w:type="paragraph" w:customStyle="1" w:styleId="tabteksts">
    <w:name w:val="tab_teksts"/>
    <w:basedOn w:val="Normal"/>
    <w:uiPriority w:val="99"/>
    <w:rsid w:val="00BF4753"/>
    <w:rPr>
      <w:rFonts w:eastAsia="Times New Roman" w:cs="Times New Roman"/>
      <w:sz w:val="20"/>
      <w:szCs w:val="20"/>
    </w:rPr>
  </w:style>
  <w:style w:type="paragraph" w:styleId="FootnoteText">
    <w:name w:val="footnote text"/>
    <w:aliases w:val="Footnote,Fußnote,Fußnote Char Char Char,single space,ft Rakstz. Rakstz.,ft Rakstz.,ft,-E Fußnotentext,Fußnotentext Ursprung,Vēres teksts Char Char Char Char Char,Char Char Char Char Char Char Char Char Char Char Char Char,footnote tex,Char"/>
    <w:basedOn w:val="Normal"/>
    <w:link w:val="FootnoteTextChar"/>
    <w:uiPriority w:val="99"/>
    <w:qFormat/>
    <w:rsid w:val="00BF4753"/>
    <w:pPr>
      <w:keepLines/>
      <w:widowControl w:val="0"/>
      <w:ind w:left="340" w:hanging="340"/>
    </w:pPr>
    <w:rPr>
      <w:rFonts w:eastAsia="Times New Roman" w:cs="Times New Roman"/>
      <w:snapToGrid w:val="0"/>
      <w:color w:val="000000"/>
      <w:sz w:val="20"/>
      <w:szCs w:val="20"/>
    </w:rPr>
  </w:style>
  <w:style w:type="character" w:customStyle="1" w:styleId="FootnoteTextChar">
    <w:name w:val="Footnote Text Char"/>
    <w:aliases w:val="Footnote Char,Fußnote Char,Fußnote Char Char Char Char,single space Char,ft Rakstz. Rakstz. Char,ft Rakstz. Char,ft Char,-E Fußnotentext Char,Fußnotentext Ursprung Char,Vēres teksts Char Char Char Char Char Char,footnote tex Char"/>
    <w:basedOn w:val="DefaultParagraphFont"/>
    <w:link w:val="FootnoteText"/>
    <w:uiPriority w:val="99"/>
    <w:qFormat/>
    <w:rsid w:val="00BF4753"/>
    <w:rPr>
      <w:rFonts w:ascii="Times New Roman" w:eastAsia="Times New Roman" w:hAnsi="Times New Roman" w:cs="Times New Roman"/>
      <w:snapToGrid w:val="0"/>
      <w:color w:val="000000"/>
      <w:sz w:val="20"/>
      <w:szCs w:val="20"/>
    </w:rPr>
  </w:style>
  <w:style w:type="character" w:styleId="FootnoteReference">
    <w:name w:val="footnote reference"/>
    <w:aliases w:val="Footnote Reference Number,Footnote symbol,Footnote Reference Superscript,ftref,Footnote Refernece,Odwołanie przypisu,BVI fnr,Footnotes refss,SUPERS,Ref,de nota al pie,-E Fußnotenzeichen,Footnote reference number,Times 10 Point,E,E FNZ"/>
    <w:link w:val="Char2"/>
    <w:uiPriority w:val="99"/>
    <w:qFormat/>
    <w:rsid w:val="00BF4753"/>
    <w:rPr>
      <w:rFonts w:ascii="Garamond" w:hAnsi="Garamond"/>
      <w:sz w:val="20"/>
      <w:vertAlign w:val="superscript"/>
    </w:rPr>
  </w:style>
  <w:style w:type="paragraph" w:customStyle="1" w:styleId="Zpar">
    <w:name w:val="Z_par"/>
    <w:basedOn w:val="Z"/>
    <w:rsid w:val="00BF4753"/>
    <w:pPr>
      <w:spacing w:after="480"/>
      <w:ind w:left="1418" w:hanging="851"/>
    </w:pPr>
    <w:rPr>
      <w:i/>
    </w:rPr>
  </w:style>
  <w:style w:type="character" w:customStyle="1" w:styleId="ListParagraphChar">
    <w:name w:val="List Paragraph Char"/>
    <w:aliases w:val="2 Char,Akapit z listą BS Char,Numbered Para 1 Char,Dot pt Char,List Paragraph Char Char Char Char,Indicator Text Char,List Paragraph1 Char,Bullet 1 Char,Bullet Points Char,MAIN CONTENT Char,IFCL - List Paragraph Char,OBC Bullet Char"/>
    <w:link w:val="ListParagraph"/>
    <w:uiPriority w:val="34"/>
    <w:qFormat/>
    <w:locked/>
    <w:rsid w:val="00BF4753"/>
    <w:rPr>
      <w:rFonts w:ascii="Times New Roman" w:eastAsiaTheme="minorEastAsia" w:hAnsi="Times New Roman"/>
      <w:sz w:val="28"/>
    </w:rPr>
  </w:style>
  <w:style w:type="paragraph" w:styleId="BodyTextIndent2">
    <w:name w:val="Body Text Indent 2"/>
    <w:basedOn w:val="Normal"/>
    <w:link w:val="BodyTextIndent2Char"/>
    <w:semiHidden/>
    <w:rsid w:val="00BF4753"/>
    <w:pPr>
      <w:spacing w:before="120"/>
      <w:ind w:firstLine="706"/>
    </w:pPr>
    <w:rPr>
      <w:rFonts w:eastAsia="Times New Roman" w:cs="Times New Roman"/>
      <w:szCs w:val="20"/>
    </w:rPr>
  </w:style>
  <w:style w:type="character" w:customStyle="1" w:styleId="BodyTextIndent2Char">
    <w:name w:val="Body Text Indent 2 Char"/>
    <w:basedOn w:val="DefaultParagraphFont"/>
    <w:link w:val="BodyTextIndent2"/>
    <w:semiHidden/>
    <w:rsid w:val="00BF4753"/>
    <w:rPr>
      <w:rFonts w:ascii="Times New Roman" w:eastAsia="Times New Roman" w:hAnsi="Times New Roman" w:cs="Times New Roman"/>
      <w:sz w:val="24"/>
      <w:szCs w:val="20"/>
    </w:rPr>
  </w:style>
  <w:style w:type="paragraph" w:customStyle="1" w:styleId="Default">
    <w:name w:val="Default"/>
    <w:rsid w:val="00BF4753"/>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BodyTextIndent">
    <w:name w:val="Body Text Indent"/>
    <w:basedOn w:val="Normal"/>
    <w:link w:val="BodyTextIndentChar"/>
    <w:unhideWhenUsed/>
    <w:rsid w:val="00BF4753"/>
    <w:pPr>
      <w:ind w:left="283" w:firstLine="567"/>
    </w:pPr>
    <w:rPr>
      <w:rFonts w:eastAsia="Times New Roman" w:cs="Times New Roman"/>
      <w:szCs w:val="20"/>
    </w:rPr>
  </w:style>
  <w:style w:type="character" w:customStyle="1" w:styleId="BodyTextIndentChar">
    <w:name w:val="Body Text Indent Char"/>
    <w:basedOn w:val="DefaultParagraphFont"/>
    <w:link w:val="BodyTextIndent"/>
    <w:rsid w:val="00BF4753"/>
    <w:rPr>
      <w:rFonts w:ascii="Times New Roman" w:eastAsia="Times New Roman" w:hAnsi="Times New Roman" w:cs="Times New Roman"/>
      <w:sz w:val="24"/>
      <w:szCs w:val="20"/>
    </w:rPr>
  </w:style>
  <w:style w:type="paragraph" w:customStyle="1" w:styleId="ridk">
    <w:name w:val="ridk"/>
    <w:basedOn w:val="Normal"/>
    <w:rsid w:val="00BF4753"/>
    <w:pPr>
      <w:spacing w:before="100" w:beforeAutospacing="1" w:after="100" w:afterAutospacing="1"/>
    </w:pPr>
    <w:rPr>
      <w:rFonts w:ascii="Arial Unicode MS" w:eastAsia="Arial Unicode MS" w:hAnsi="Arial Unicode MS" w:cs="Arial Unicode MS"/>
      <w:szCs w:val="24"/>
      <w:lang w:val="en-US"/>
    </w:rPr>
  </w:style>
  <w:style w:type="table" w:styleId="TableGrid">
    <w:name w:val="Table Grid"/>
    <w:basedOn w:val="TableNormal"/>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1">
    <w:name w:val="Virsraksts1"/>
    <w:basedOn w:val="Heading1"/>
    <w:rsid w:val="00BF4753"/>
    <w:pPr>
      <w:keepLines w:val="0"/>
      <w:spacing w:before="240" w:after="60"/>
      <w:ind w:firstLine="709"/>
      <w:jc w:val="both"/>
    </w:pPr>
    <w:rPr>
      <w:rFonts w:eastAsia="Calibri"/>
      <w:smallCaps w:val="0"/>
      <w:color w:val="auto"/>
      <w:kern w:val="32"/>
      <w:sz w:val="40"/>
      <w:szCs w:val="40"/>
    </w:rPr>
  </w:style>
  <w:style w:type="character" w:customStyle="1" w:styleId="spelle">
    <w:name w:val="spelle"/>
    <w:basedOn w:val="DefaultParagraphFont"/>
    <w:rsid w:val="00BF4753"/>
  </w:style>
  <w:style w:type="paragraph" w:customStyle="1" w:styleId="ParagraphNumbering">
    <w:name w:val="Paragraph Numbering"/>
    <w:basedOn w:val="Normal"/>
    <w:uiPriority w:val="1"/>
    <w:qFormat/>
    <w:rsid w:val="00BF4753"/>
    <w:pPr>
      <w:numPr>
        <w:numId w:val="2"/>
      </w:numPr>
      <w:spacing w:after="240" w:line="264" w:lineRule="auto"/>
    </w:pPr>
    <w:rPr>
      <w:rFonts w:eastAsia="Calibri" w:cs="Times New Roman"/>
      <w:szCs w:val="24"/>
      <w:lang w:val="en-US"/>
    </w:rPr>
  </w:style>
  <w:style w:type="paragraph" w:styleId="CommentSubject">
    <w:name w:val="annotation subject"/>
    <w:basedOn w:val="CommentText"/>
    <w:next w:val="CommentText"/>
    <w:link w:val="CommentSubjectChar"/>
    <w:uiPriority w:val="99"/>
    <w:semiHidden/>
    <w:unhideWhenUsed/>
    <w:rsid w:val="00BF4753"/>
    <w:rPr>
      <w:b/>
      <w:bCs/>
    </w:rPr>
  </w:style>
  <w:style w:type="character" w:customStyle="1" w:styleId="CommentSubjectChar">
    <w:name w:val="Comment Subject Char"/>
    <w:basedOn w:val="CommentTextChar"/>
    <w:link w:val="CommentSubject"/>
    <w:uiPriority w:val="99"/>
    <w:semiHidden/>
    <w:rsid w:val="00BF4753"/>
    <w:rPr>
      <w:rFonts w:ascii="Times New Roman" w:eastAsia="Times New Roman" w:hAnsi="Times New Roman" w:cs="Times New Roman"/>
      <w:b/>
      <w:bCs/>
      <w:sz w:val="20"/>
      <w:szCs w:val="20"/>
    </w:rPr>
  </w:style>
  <w:style w:type="paragraph" w:customStyle="1" w:styleId="otrais">
    <w:name w:val="otrais"/>
    <w:basedOn w:val="H2"/>
    <w:link w:val="otraisChar"/>
    <w:qFormat/>
    <w:rsid w:val="00BF4753"/>
    <w:pPr>
      <w:tabs>
        <w:tab w:val="clear" w:pos="1134"/>
        <w:tab w:val="left" w:pos="567"/>
      </w:tabs>
      <w:ind w:left="567"/>
    </w:pPr>
    <w:rPr>
      <w:rFonts w:ascii="Times New Roman" w:hAnsi="Times New Roman"/>
    </w:rPr>
  </w:style>
  <w:style w:type="character" w:customStyle="1" w:styleId="otraisChar">
    <w:name w:val="otrais Char"/>
    <w:basedOn w:val="H2Char"/>
    <w:link w:val="otrais"/>
    <w:rsid w:val="00BF4753"/>
    <w:rPr>
      <w:rFonts w:ascii="Times New Roman" w:eastAsia="Times New Roman" w:hAnsi="Times New Roman" w:cs="Times New Roman"/>
      <w:b/>
      <w:sz w:val="32"/>
      <w:szCs w:val="20"/>
    </w:rPr>
  </w:style>
  <w:style w:type="paragraph" w:customStyle="1" w:styleId="tresais">
    <w:name w:val="tresais"/>
    <w:basedOn w:val="H3"/>
    <w:link w:val="tresaisChar"/>
    <w:qFormat/>
    <w:rsid w:val="00BF4753"/>
    <w:pPr>
      <w:ind w:left="0" w:firstLine="0"/>
    </w:pPr>
    <w:rPr>
      <w:rFonts w:ascii="Times New Roman" w:hAnsi="Times New Roman"/>
    </w:rPr>
  </w:style>
  <w:style w:type="character" w:customStyle="1" w:styleId="tresaisChar">
    <w:name w:val="tresais Char"/>
    <w:basedOn w:val="H3Char"/>
    <w:link w:val="tresais"/>
    <w:rsid w:val="00BF4753"/>
    <w:rPr>
      <w:rFonts w:ascii="Times New Roman" w:eastAsia="Times New Roman" w:hAnsi="Times New Roman" w:cs="Times New Roman"/>
      <w:b/>
      <w:sz w:val="28"/>
      <w:szCs w:val="20"/>
    </w:rPr>
  </w:style>
  <w:style w:type="paragraph" w:styleId="TOC1">
    <w:name w:val="toc 1"/>
    <w:basedOn w:val="Normal"/>
    <w:next w:val="Normal"/>
    <w:autoRedefine/>
    <w:uiPriority w:val="39"/>
    <w:unhideWhenUsed/>
    <w:rsid w:val="00FA14BF"/>
    <w:pPr>
      <w:tabs>
        <w:tab w:val="left" w:pos="284"/>
        <w:tab w:val="right" w:leader="dot" w:pos="9072"/>
      </w:tabs>
      <w:ind w:left="284" w:hanging="284"/>
    </w:pPr>
    <w:rPr>
      <w:rFonts w:eastAsia="Times New Roman" w:cs="Times New Roman"/>
      <w:szCs w:val="20"/>
    </w:rPr>
  </w:style>
  <w:style w:type="paragraph" w:styleId="TOC2">
    <w:name w:val="toc 2"/>
    <w:basedOn w:val="Normal"/>
    <w:next w:val="Normal"/>
    <w:autoRedefine/>
    <w:uiPriority w:val="39"/>
    <w:unhideWhenUsed/>
    <w:rsid w:val="00EC0DFB"/>
    <w:pPr>
      <w:tabs>
        <w:tab w:val="left" w:pos="1418"/>
        <w:tab w:val="right" w:leader="dot" w:pos="9072"/>
      </w:tabs>
      <w:spacing w:after="0" w:line="240" w:lineRule="auto"/>
      <w:ind w:left="851" w:hanging="425"/>
    </w:pPr>
    <w:rPr>
      <w:rFonts w:eastAsia="Times New Roman" w:cs="Times New Roman"/>
      <w:b/>
      <w:bCs/>
      <w:noProof/>
      <w:szCs w:val="20"/>
      <w:lang w:eastAsia="lv-LV"/>
    </w:rPr>
  </w:style>
  <w:style w:type="paragraph" w:styleId="TOC3">
    <w:name w:val="toc 3"/>
    <w:basedOn w:val="Normal"/>
    <w:next w:val="Normal"/>
    <w:autoRedefine/>
    <w:uiPriority w:val="39"/>
    <w:unhideWhenUsed/>
    <w:rsid w:val="00CF68A1"/>
    <w:pPr>
      <w:tabs>
        <w:tab w:val="left" w:pos="1418"/>
        <w:tab w:val="right" w:leader="dot" w:pos="9061"/>
      </w:tabs>
      <w:ind w:left="1418" w:hanging="709"/>
    </w:pPr>
    <w:rPr>
      <w:rFonts w:eastAsia="Times New Roman" w:cs="Times New Roman"/>
      <w:szCs w:val="20"/>
    </w:rPr>
  </w:style>
  <w:style w:type="character" w:styleId="Hyperlink">
    <w:name w:val="Hyperlink"/>
    <w:uiPriority w:val="99"/>
    <w:unhideWhenUsed/>
    <w:rsid w:val="00BF4753"/>
    <w:rPr>
      <w:color w:val="0000FF"/>
      <w:u w:val="single"/>
    </w:rPr>
  </w:style>
  <w:style w:type="paragraph" w:customStyle="1" w:styleId="naisf">
    <w:name w:val="naisf"/>
    <w:basedOn w:val="Normal"/>
    <w:rsid w:val="00BF4753"/>
    <w:pPr>
      <w:spacing w:before="100" w:beforeAutospacing="1" w:after="100" w:afterAutospacing="1"/>
    </w:pPr>
    <w:rPr>
      <w:rFonts w:eastAsia="Times New Roman" w:cs="Times New Roman"/>
      <w:szCs w:val="24"/>
      <w:lang w:eastAsia="lv-LV"/>
    </w:rPr>
  </w:style>
  <w:style w:type="paragraph" w:customStyle="1" w:styleId="teksts">
    <w:name w:val="teksts"/>
    <w:rsid w:val="00BF4753"/>
    <w:pPr>
      <w:spacing w:after="120" w:line="240" w:lineRule="auto"/>
      <w:jc w:val="both"/>
    </w:pPr>
    <w:rPr>
      <w:rFonts w:ascii="Garamond" w:eastAsia="Times New Roman" w:hAnsi="Garamond" w:cs="Times New Roman"/>
      <w:sz w:val="24"/>
      <w:szCs w:val="20"/>
    </w:rPr>
  </w:style>
  <w:style w:type="paragraph" w:customStyle="1" w:styleId="EE-paragr">
    <w:name w:val="EE-paragr"/>
    <w:basedOn w:val="Normal"/>
    <w:autoRedefine/>
    <w:uiPriority w:val="99"/>
    <w:rsid w:val="00BF4753"/>
    <w:pPr>
      <w:spacing w:before="120"/>
    </w:pPr>
    <w:rPr>
      <w:rFonts w:eastAsia="Times New Roman" w:cs="Times New Roman"/>
      <w:iCs/>
      <w:szCs w:val="24"/>
      <w:lang w:eastAsia="lv-LV" w:bidi="lo-LA"/>
    </w:rPr>
  </w:style>
  <w:style w:type="paragraph" w:customStyle="1" w:styleId="tabtekst">
    <w:name w:val="tab_tekst"/>
    <w:basedOn w:val="Normal"/>
    <w:rsid w:val="00BF4753"/>
    <w:rPr>
      <w:rFonts w:eastAsia="Times New Roman" w:cs="Times New Roman"/>
      <w:color w:val="000000"/>
      <w:sz w:val="20"/>
      <w:szCs w:val="20"/>
    </w:rPr>
  </w:style>
  <w:style w:type="paragraph" w:styleId="NormalWeb">
    <w:name w:val="Normal (Web)"/>
    <w:basedOn w:val="Normal"/>
    <w:uiPriority w:val="99"/>
    <w:unhideWhenUsed/>
    <w:rsid w:val="00BF4753"/>
    <w:pPr>
      <w:spacing w:before="100" w:beforeAutospacing="1" w:after="100" w:afterAutospacing="1"/>
    </w:pPr>
    <w:rPr>
      <w:rFonts w:eastAsia="Times New Roman" w:cs="Times New Roman"/>
      <w:szCs w:val="24"/>
      <w:lang w:eastAsia="lv-LV"/>
    </w:rPr>
  </w:style>
  <w:style w:type="paragraph" w:customStyle="1" w:styleId="Normal11pt">
    <w:name w:val="Normal + 11 pt"/>
    <w:aliases w:val="Bold,Justified,Line spacing:  1.5 lines"/>
    <w:basedOn w:val="Normal"/>
    <w:rsid w:val="00BF4753"/>
    <w:pPr>
      <w:widowControl w:val="0"/>
      <w:adjustRightInd w:val="0"/>
      <w:spacing w:line="360" w:lineRule="auto"/>
      <w:textAlignment w:val="baseline"/>
    </w:pPr>
    <w:rPr>
      <w:rFonts w:eastAsia="Times New Roman" w:cs="Times New Roman"/>
      <w:b/>
      <w:lang w:val="en-GB" w:eastAsia="lv-LV"/>
    </w:rPr>
  </w:style>
  <w:style w:type="paragraph" w:styleId="BodyText">
    <w:name w:val="Body Text"/>
    <w:basedOn w:val="Normal"/>
    <w:link w:val="BodyTextChar"/>
    <w:uiPriority w:val="99"/>
    <w:unhideWhenUsed/>
    <w:rsid w:val="00BF4753"/>
    <w:pPr>
      <w:ind w:firstLine="567"/>
    </w:pPr>
    <w:rPr>
      <w:rFonts w:eastAsia="Times New Roman" w:cs="Times New Roman"/>
      <w:szCs w:val="20"/>
    </w:rPr>
  </w:style>
  <w:style w:type="character" w:customStyle="1" w:styleId="BodyTextChar">
    <w:name w:val="Body Text Char"/>
    <w:basedOn w:val="DefaultParagraphFont"/>
    <w:link w:val="BodyText"/>
    <w:uiPriority w:val="99"/>
    <w:rsid w:val="00BF4753"/>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BF4753"/>
    <w:pPr>
      <w:ind w:firstLine="567"/>
    </w:pPr>
    <w:rPr>
      <w:rFonts w:eastAsia="Times New Roman" w:cs="Times New Roman"/>
      <w:sz w:val="16"/>
      <w:szCs w:val="16"/>
    </w:rPr>
  </w:style>
  <w:style w:type="character" w:customStyle="1" w:styleId="BodyText3Char">
    <w:name w:val="Body Text 3 Char"/>
    <w:basedOn w:val="DefaultParagraphFont"/>
    <w:link w:val="BodyText3"/>
    <w:uiPriority w:val="99"/>
    <w:semiHidden/>
    <w:rsid w:val="00BF4753"/>
    <w:rPr>
      <w:rFonts w:ascii="Times New Roman" w:eastAsia="Times New Roman" w:hAnsi="Times New Roman" w:cs="Times New Roman"/>
      <w:sz w:val="16"/>
      <w:szCs w:val="16"/>
    </w:rPr>
  </w:style>
  <w:style w:type="paragraph" w:styleId="TOC8">
    <w:name w:val="toc 8"/>
    <w:basedOn w:val="Normal"/>
    <w:next w:val="Normal"/>
    <w:autoRedefine/>
    <w:uiPriority w:val="39"/>
    <w:semiHidden/>
    <w:unhideWhenUsed/>
    <w:rsid w:val="00BF4753"/>
    <w:pPr>
      <w:ind w:left="1680" w:firstLine="567"/>
    </w:pPr>
    <w:rPr>
      <w:rFonts w:eastAsia="Times New Roman" w:cs="Times New Roman"/>
      <w:szCs w:val="20"/>
    </w:rPr>
  </w:style>
  <w:style w:type="paragraph" w:styleId="PlainText">
    <w:name w:val="Plain Text"/>
    <w:basedOn w:val="Normal"/>
    <w:link w:val="PlainTextChar"/>
    <w:uiPriority w:val="99"/>
    <w:unhideWhenUsed/>
    <w:rsid w:val="00BF4753"/>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BF4753"/>
    <w:rPr>
      <w:rFonts w:ascii="Consolas" w:eastAsia="Calibri" w:hAnsi="Consolas" w:cs="Times New Roman"/>
      <w:sz w:val="21"/>
      <w:szCs w:val="21"/>
    </w:rPr>
  </w:style>
  <w:style w:type="paragraph" w:customStyle="1" w:styleId="Text1">
    <w:name w:val="Text 1"/>
    <w:basedOn w:val="Normal"/>
    <w:uiPriority w:val="99"/>
    <w:rsid w:val="00BF4753"/>
    <w:pPr>
      <w:spacing w:before="120"/>
      <w:ind w:left="850"/>
    </w:pPr>
    <w:rPr>
      <w:rFonts w:eastAsia="Times New Roman" w:cs="Times New Roman"/>
      <w:szCs w:val="20"/>
      <w:lang w:val="en-GB" w:eastAsia="de-DE"/>
    </w:rPr>
  </w:style>
  <w:style w:type="character" w:styleId="FollowedHyperlink">
    <w:name w:val="FollowedHyperlink"/>
    <w:uiPriority w:val="99"/>
    <w:semiHidden/>
    <w:unhideWhenUsed/>
    <w:rsid w:val="00BF4753"/>
    <w:rPr>
      <w:color w:val="800080"/>
      <w:u w:val="single"/>
    </w:rPr>
  </w:style>
  <w:style w:type="paragraph" w:styleId="Revision">
    <w:name w:val="Revision"/>
    <w:hidden/>
    <w:uiPriority w:val="99"/>
    <w:semiHidden/>
    <w:rsid w:val="00BF4753"/>
    <w:pPr>
      <w:spacing w:after="0" w:line="240" w:lineRule="auto"/>
    </w:pPr>
    <w:rPr>
      <w:rFonts w:ascii="Times New Roman" w:eastAsia="Times New Roman" w:hAnsi="Times New Roman" w:cs="Times New Roman"/>
      <w:sz w:val="24"/>
      <w:szCs w:val="20"/>
    </w:rPr>
  </w:style>
  <w:style w:type="paragraph" w:customStyle="1" w:styleId="tv2131">
    <w:name w:val="tv2131"/>
    <w:basedOn w:val="Normal"/>
    <w:rsid w:val="00BF4753"/>
    <w:pPr>
      <w:spacing w:before="240" w:line="360" w:lineRule="auto"/>
      <w:ind w:firstLine="300"/>
    </w:pPr>
    <w:rPr>
      <w:rFonts w:ascii="Verdana" w:eastAsia="Times New Roman" w:hAnsi="Verdana" w:cs="Times New Roman"/>
      <w:sz w:val="18"/>
      <w:szCs w:val="18"/>
      <w:lang w:eastAsia="lv-LV"/>
    </w:rPr>
  </w:style>
  <w:style w:type="paragraph" w:customStyle="1" w:styleId="CM1">
    <w:name w:val="CM1"/>
    <w:basedOn w:val="Default"/>
    <w:next w:val="Default"/>
    <w:uiPriority w:val="99"/>
    <w:rsid w:val="00BF4753"/>
    <w:rPr>
      <w:rFonts w:ascii="EUAlbertina" w:eastAsia="Calibri" w:hAnsi="EUAlbertina"/>
      <w:color w:val="auto"/>
      <w:lang w:val="en-GB" w:eastAsia="en-GB"/>
    </w:rPr>
  </w:style>
  <w:style w:type="character" w:customStyle="1" w:styleId="st1">
    <w:name w:val="st1"/>
    <w:basedOn w:val="DefaultParagraphFont"/>
    <w:rsid w:val="00BF4753"/>
  </w:style>
  <w:style w:type="paragraph" w:customStyle="1" w:styleId="mt-translation1">
    <w:name w:val="mt-translation1"/>
    <w:basedOn w:val="Normal"/>
    <w:rsid w:val="00BF4753"/>
    <w:rPr>
      <w:rFonts w:ascii="Segoe UI" w:eastAsia="Times New Roman" w:hAnsi="Segoe UI" w:cs="Segoe UI"/>
      <w:lang w:eastAsia="lv-LV"/>
    </w:rPr>
  </w:style>
  <w:style w:type="table" w:customStyle="1" w:styleId="ListTable3-Accent11">
    <w:name w:val="List Table 3 - Accent 11"/>
    <w:basedOn w:val="TableNormal"/>
    <w:uiPriority w:val="48"/>
    <w:rsid w:val="00BF4753"/>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GridTable2-Accent11">
    <w:name w:val="Grid Table 2 - Accent 11"/>
    <w:basedOn w:val="TableNormal"/>
    <w:uiPriority w:val="47"/>
    <w:rsid w:val="00BF4753"/>
    <w:pPr>
      <w:spacing w:after="0" w:line="240" w:lineRule="auto"/>
    </w:pPr>
    <w:rPr>
      <w:rFonts w:eastAsiaTheme="minorEastAsia"/>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1Light-Accent11">
    <w:name w:val="Grid Table 1 Light - Accent 11"/>
    <w:basedOn w:val="TableNormal"/>
    <w:uiPriority w:val="46"/>
    <w:rsid w:val="00BF4753"/>
    <w:pPr>
      <w:spacing w:after="0" w:line="240" w:lineRule="auto"/>
    </w:pPr>
    <w:rPr>
      <w:rFonts w:eastAsiaTheme="minorEastAs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F4753"/>
    <w:pPr>
      <w:spacing w:after="0" w:line="240" w:lineRule="auto"/>
    </w:pPr>
    <w:rPr>
      <w:rFonts w:eastAsiaTheme="minorEastAsia"/>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BF4753"/>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BF4753"/>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BF4753"/>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BF4753"/>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F4753"/>
  </w:style>
  <w:style w:type="table" w:customStyle="1" w:styleId="TableGrid2">
    <w:name w:val="Table Grid2"/>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
    <w:name w:val="Grid Table 6 Colorful - Accent 11"/>
    <w:basedOn w:val="TableNormal"/>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51">
    <w:name w:val="Grid Table 6 Colorful - Accent 51"/>
    <w:basedOn w:val="TableNormal"/>
    <w:uiPriority w:val="51"/>
    <w:rsid w:val="00BF4753"/>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
    <w:name w:val="Grid Table 4 - Accent 11"/>
    <w:basedOn w:val="TableNormal"/>
    <w:uiPriority w:val="49"/>
    <w:rsid w:val="00BF4753"/>
    <w:pPr>
      <w:spacing w:after="0" w:line="240" w:lineRule="auto"/>
    </w:pPr>
    <w:rPr>
      <w:rFonts w:eastAsiaTheme="minorEastAsi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ps">
    <w:name w:val="hps"/>
    <w:basedOn w:val="DefaultParagraphFont"/>
    <w:rsid w:val="00BF4753"/>
  </w:style>
  <w:style w:type="numbering" w:customStyle="1" w:styleId="NoList2">
    <w:name w:val="No List2"/>
    <w:next w:val="NoList"/>
    <w:uiPriority w:val="99"/>
    <w:semiHidden/>
    <w:unhideWhenUsed/>
    <w:rsid w:val="00BF4753"/>
  </w:style>
  <w:style w:type="character" w:customStyle="1" w:styleId="apple-converted-space">
    <w:name w:val="apple-converted-space"/>
    <w:basedOn w:val="DefaultParagraphFont"/>
    <w:rsid w:val="00BF4753"/>
  </w:style>
  <w:style w:type="numbering" w:customStyle="1" w:styleId="NoList3">
    <w:name w:val="No List3"/>
    <w:next w:val="NoList"/>
    <w:uiPriority w:val="99"/>
    <w:semiHidden/>
    <w:unhideWhenUsed/>
    <w:rsid w:val="00BF4753"/>
  </w:style>
  <w:style w:type="table" w:customStyle="1" w:styleId="TableGrid4">
    <w:name w:val="Table Grid4"/>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3">
    <w:name w:val="Grid Table 6 Colorful - Accent 13"/>
    <w:basedOn w:val="TableNormal"/>
    <w:next w:val="GridTable6Colorful-Accent11"/>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2">
    <w:name w:val="Grid Table 6 Colorful - Accent 12"/>
    <w:basedOn w:val="TableNormal"/>
    <w:next w:val="GridTable6Colorful-Accent11"/>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tyle3">
    <w:name w:val="Style3"/>
    <w:basedOn w:val="Heading3"/>
    <w:link w:val="Style3Char"/>
    <w:qFormat/>
    <w:rsid w:val="00BF4753"/>
    <w:pPr>
      <w:numPr>
        <w:ilvl w:val="0"/>
        <w:numId w:val="0"/>
      </w:numPr>
      <w:jc w:val="center"/>
    </w:pPr>
    <w:rPr>
      <w:rFonts w:cs="Times New Roman"/>
      <w:szCs w:val="32"/>
    </w:rPr>
  </w:style>
  <w:style w:type="table" w:customStyle="1" w:styleId="GridTable4-Accent51">
    <w:name w:val="Grid Table 4 - Accent 51"/>
    <w:basedOn w:val="TableNormal"/>
    <w:uiPriority w:val="49"/>
    <w:rsid w:val="00BF475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tyle3Char">
    <w:name w:val="Style3 Char"/>
    <w:basedOn w:val="Heading3Char"/>
    <w:link w:val="Style3"/>
    <w:rsid w:val="00BF4753"/>
    <w:rPr>
      <w:rFonts w:ascii="Times New Roman" w:eastAsiaTheme="majorEastAsia" w:hAnsi="Times New Roman" w:cs="Times New Roman"/>
      <w:b/>
      <w:bCs/>
      <w:color w:val="000000" w:themeColor="text1"/>
      <w:sz w:val="28"/>
      <w:szCs w:val="32"/>
    </w:rPr>
  </w:style>
  <w:style w:type="table" w:customStyle="1" w:styleId="ListTable3-Accent51">
    <w:name w:val="List Table 3 - Accent 51"/>
    <w:basedOn w:val="TableNormal"/>
    <w:uiPriority w:val="48"/>
    <w:rsid w:val="00BF4753"/>
    <w:pPr>
      <w:spacing w:after="0" w:line="240" w:lineRule="auto"/>
    </w:pPr>
    <w:rPr>
      <w:rFonts w:eastAsiaTheme="minorEastAsia"/>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TableGrid5">
    <w:name w:val="Table Grid5"/>
    <w:basedOn w:val="TableNormal"/>
    <w:next w:val="TableGrid"/>
    <w:uiPriority w:val="39"/>
    <w:rsid w:val="00BF475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BF4753"/>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Char2">
    <w:name w:val="Char2"/>
    <w:aliases w:val="Char Char Char Char"/>
    <w:basedOn w:val="Normal"/>
    <w:next w:val="Normal"/>
    <w:link w:val="FootnoteReference"/>
    <w:uiPriority w:val="99"/>
    <w:rsid w:val="00BF4753"/>
    <w:pPr>
      <w:spacing w:line="240" w:lineRule="exact"/>
      <w:textAlignment w:val="baseline"/>
    </w:pPr>
    <w:rPr>
      <w:rFonts w:ascii="Garamond" w:eastAsiaTheme="minorHAnsi" w:hAnsi="Garamond"/>
      <w:sz w:val="20"/>
      <w:vertAlign w:val="superscript"/>
    </w:rPr>
  </w:style>
  <w:style w:type="character" w:styleId="HTMLCite">
    <w:name w:val="HTML Cite"/>
    <w:basedOn w:val="DefaultParagraphFont"/>
    <w:uiPriority w:val="99"/>
    <w:semiHidden/>
    <w:unhideWhenUsed/>
    <w:rsid w:val="00BF4753"/>
    <w:rPr>
      <w:i/>
      <w:iCs/>
    </w:rPr>
  </w:style>
  <w:style w:type="table" w:customStyle="1" w:styleId="ListTable1Light-Accent41">
    <w:name w:val="List Table 1 Light - Accent 41"/>
    <w:basedOn w:val="TableNormal"/>
    <w:uiPriority w:val="46"/>
    <w:rsid w:val="00BF4753"/>
    <w:pPr>
      <w:spacing w:after="0" w:line="240" w:lineRule="auto"/>
    </w:pPr>
    <w:rPr>
      <w:rFonts w:eastAsiaTheme="minorEastAsi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21">
    <w:name w:val="Grid Table 6 Colorful - Accent 21"/>
    <w:basedOn w:val="TableNormal"/>
    <w:uiPriority w:val="51"/>
    <w:rsid w:val="00BF4753"/>
    <w:pPr>
      <w:spacing w:after="0" w:line="240" w:lineRule="auto"/>
    </w:pPr>
    <w:rPr>
      <w:rFonts w:eastAsiaTheme="minorEastAsia"/>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15">
    <w:name w:val="Grid Table 6 Colorful - Accent 15"/>
    <w:basedOn w:val="TableNormal"/>
    <w:next w:val="GridTable6Colorful-Accent11"/>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4">
    <w:name w:val="Grid Table 6 Colorful - Accent 14"/>
    <w:basedOn w:val="TableNormal"/>
    <w:next w:val="GridTable6Colorful-Accent11"/>
    <w:uiPriority w:val="51"/>
    <w:rsid w:val="00BF4753"/>
    <w:pPr>
      <w:spacing w:after="0" w:line="240" w:lineRule="auto"/>
    </w:pPr>
    <w:rPr>
      <w:rFonts w:eastAsiaTheme="minorEastAsia"/>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6Colorful-Accent1">
    <w:name w:val="Grid Table 6 Colorful Accent 1"/>
    <w:basedOn w:val="TableNormal"/>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FootnoteCharacters">
    <w:name w:val="Footnote Characters"/>
    <w:rsid w:val="00BF4753"/>
    <w:rPr>
      <w:rFonts w:ascii="Garamond" w:hAnsi="Garamond"/>
      <w:sz w:val="20"/>
      <w:vertAlign w:val="superscript"/>
    </w:rPr>
  </w:style>
  <w:style w:type="table" w:customStyle="1" w:styleId="TableGrid6">
    <w:name w:val="Table Grid6"/>
    <w:basedOn w:val="TableNormal"/>
    <w:next w:val="TableGrid"/>
    <w:uiPriority w:val="39"/>
    <w:rsid w:val="00BF475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6">
    <w:name w:val="Grid Table 6 Colorful - Accent 16"/>
    <w:basedOn w:val="TableNormal"/>
    <w:next w:val="GridTable6Colorful-Accent1"/>
    <w:uiPriority w:val="51"/>
    <w:rsid w:val="00BF4753"/>
    <w:pPr>
      <w:spacing w:after="0" w:line="240" w:lineRule="auto"/>
    </w:pPr>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1">
    <w:name w:val="Grid Table 6 Colorful - Accent 111"/>
    <w:basedOn w:val="TableNormal"/>
    <w:uiPriority w:val="51"/>
    <w:rsid w:val="00BF4753"/>
    <w:pPr>
      <w:spacing w:after="0" w:line="240" w:lineRule="auto"/>
    </w:pPr>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7">
    <w:name w:val="Table Grid7"/>
    <w:basedOn w:val="TableNormal"/>
    <w:next w:val="TableGrid"/>
    <w:uiPriority w:val="39"/>
    <w:rsid w:val="00BF475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3">
    <w:name w:val="Grid Table 6 Colorful - Accent 113"/>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4">
    <w:name w:val="Grid Table 6 Colorful - Accent 114"/>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7">
    <w:name w:val="Grid Table 6 Colorful - Accent 117"/>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8">
    <w:name w:val="Grid Table 6 Colorful - Accent 118"/>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4">
    <w:name w:val="No List4"/>
    <w:next w:val="NoList"/>
    <w:uiPriority w:val="99"/>
    <w:semiHidden/>
    <w:unhideWhenUsed/>
    <w:rsid w:val="00BF4753"/>
  </w:style>
  <w:style w:type="table" w:customStyle="1" w:styleId="TableGrid8">
    <w:name w:val="Table Grid8"/>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1">
    <w:name w:val="List Table 3 - Accent 111"/>
    <w:basedOn w:val="TableNormal"/>
    <w:uiPriority w:val="48"/>
    <w:rsid w:val="00BF4753"/>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GridTable2-Accent111">
    <w:name w:val="Grid Table 2 - Accent 111"/>
    <w:basedOn w:val="TableNormal"/>
    <w:uiPriority w:val="47"/>
    <w:rsid w:val="00BF4753"/>
    <w:pPr>
      <w:spacing w:after="0" w:line="240" w:lineRule="auto"/>
    </w:pPr>
    <w:rPr>
      <w:rFonts w:eastAsiaTheme="minorEastAsia"/>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1Light-Accent111">
    <w:name w:val="Grid Table 1 Light - Accent 111"/>
    <w:basedOn w:val="TableNormal"/>
    <w:uiPriority w:val="46"/>
    <w:rsid w:val="00BF4753"/>
    <w:pPr>
      <w:spacing w:after="0" w:line="240" w:lineRule="auto"/>
    </w:pPr>
    <w:rPr>
      <w:rFonts w:eastAsiaTheme="minorEastAs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uiPriority w:val="46"/>
    <w:rsid w:val="00BF4753"/>
    <w:pPr>
      <w:spacing w:after="0" w:line="240" w:lineRule="auto"/>
    </w:pPr>
    <w:rPr>
      <w:rFonts w:eastAsiaTheme="minorEastAsia"/>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BF4753"/>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1">
    <w:name w:val="Plain Table 111"/>
    <w:basedOn w:val="TableNormal"/>
    <w:uiPriority w:val="41"/>
    <w:rsid w:val="00BF4753"/>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BF4753"/>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1">
    <w:name w:val="Table Grid Light11"/>
    <w:basedOn w:val="TableNormal"/>
    <w:uiPriority w:val="40"/>
    <w:rsid w:val="00BF4753"/>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2">
    <w:name w:val="Table Grid12"/>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F4753"/>
  </w:style>
  <w:style w:type="table" w:customStyle="1" w:styleId="TableGrid21">
    <w:name w:val="Table Grid21"/>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2">
    <w:name w:val="Grid Table 6 Colorful - Accent 112"/>
    <w:basedOn w:val="TableNormal"/>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511">
    <w:name w:val="Grid Table 6 Colorful - Accent 511"/>
    <w:basedOn w:val="TableNormal"/>
    <w:uiPriority w:val="51"/>
    <w:rsid w:val="00BF4753"/>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uiPriority w:val="49"/>
    <w:rsid w:val="00BF4753"/>
    <w:pPr>
      <w:spacing w:after="0" w:line="240" w:lineRule="auto"/>
    </w:pPr>
    <w:rPr>
      <w:rFonts w:eastAsiaTheme="minorEastAsi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21">
    <w:name w:val="No List21"/>
    <w:next w:val="NoList"/>
    <w:uiPriority w:val="99"/>
    <w:semiHidden/>
    <w:unhideWhenUsed/>
    <w:rsid w:val="00BF4753"/>
  </w:style>
  <w:style w:type="table" w:customStyle="1" w:styleId="GridTable6Colorful-Accent115">
    <w:name w:val="Grid Table 6 Colorful - Accent 115"/>
    <w:basedOn w:val="TableNormal"/>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NoList31">
    <w:name w:val="No List31"/>
    <w:next w:val="NoList"/>
    <w:uiPriority w:val="99"/>
    <w:semiHidden/>
    <w:unhideWhenUsed/>
    <w:rsid w:val="00BF4753"/>
  </w:style>
  <w:style w:type="table" w:customStyle="1" w:styleId="TableGrid41">
    <w:name w:val="Table Grid41"/>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31">
    <w:name w:val="Grid Table 6 Colorful - Accent 131"/>
    <w:basedOn w:val="TableNormal"/>
    <w:next w:val="GridTable6Colorful-Accent11"/>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21">
    <w:name w:val="Grid Table 6 Colorful - Accent 121"/>
    <w:basedOn w:val="TableNormal"/>
    <w:next w:val="GridTable6Colorful-Accent11"/>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511">
    <w:name w:val="Grid Table 4 - Accent 511"/>
    <w:basedOn w:val="TableNormal"/>
    <w:uiPriority w:val="49"/>
    <w:rsid w:val="00BF475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3-Accent511">
    <w:name w:val="List Table 3 - Accent 511"/>
    <w:basedOn w:val="TableNormal"/>
    <w:uiPriority w:val="48"/>
    <w:rsid w:val="00BF4753"/>
    <w:pPr>
      <w:spacing w:after="0" w:line="240" w:lineRule="auto"/>
    </w:pPr>
    <w:rPr>
      <w:rFonts w:eastAsiaTheme="minorEastAsia"/>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TableGrid51">
    <w:name w:val="Table Grid51"/>
    <w:basedOn w:val="TableNormal"/>
    <w:next w:val="TableGrid"/>
    <w:uiPriority w:val="39"/>
    <w:rsid w:val="00BF475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1">
    <w:name w:val="Plain Table 311"/>
    <w:basedOn w:val="TableNormal"/>
    <w:uiPriority w:val="43"/>
    <w:rsid w:val="00BF4753"/>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1Light-Accent411">
    <w:name w:val="List Table 1 Light - Accent 411"/>
    <w:basedOn w:val="TableNormal"/>
    <w:uiPriority w:val="46"/>
    <w:rsid w:val="00BF4753"/>
    <w:pPr>
      <w:spacing w:after="0" w:line="240" w:lineRule="auto"/>
    </w:pPr>
    <w:rPr>
      <w:rFonts w:eastAsiaTheme="minorEastAsi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211">
    <w:name w:val="Grid Table 6 Colorful - Accent 211"/>
    <w:basedOn w:val="TableNormal"/>
    <w:uiPriority w:val="51"/>
    <w:rsid w:val="00BF4753"/>
    <w:pPr>
      <w:spacing w:after="0" w:line="240" w:lineRule="auto"/>
    </w:pPr>
    <w:rPr>
      <w:rFonts w:eastAsiaTheme="minorEastAsia"/>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151">
    <w:name w:val="Grid Table 6 Colorful - Accent 151"/>
    <w:basedOn w:val="TableNormal"/>
    <w:next w:val="GridTable6Colorful-Accent11"/>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41">
    <w:name w:val="Grid Table 6 Colorful - Accent 141"/>
    <w:basedOn w:val="TableNormal"/>
    <w:next w:val="GridTable6Colorful-Accent11"/>
    <w:uiPriority w:val="51"/>
    <w:rsid w:val="00BF4753"/>
    <w:pPr>
      <w:spacing w:after="0" w:line="240" w:lineRule="auto"/>
    </w:pPr>
    <w:rPr>
      <w:rFonts w:eastAsiaTheme="minorEastAsia"/>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17">
    <w:name w:val="Grid Table 6 Colorful - Accent 17"/>
    <w:basedOn w:val="TableNormal"/>
    <w:next w:val="GridTable6Colorful-Accent1"/>
    <w:uiPriority w:val="51"/>
    <w:rsid w:val="00BF4753"/>
    <w:pPr>
      <w:spacing w:after="0" w:line="240" w:lineRule="auto"/>
    </w:pPr>
    <w:rPr>
      <w:rFonts w:eastAsiaTheme="minorEastAsia"/>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EndnoteText">
    <w:name w:val="endnote text"/>
    <w:basedOn w:val="Normal"/>
    <w:link w:val="EndnoteTextChar"/>
    <w:uiPriority w:val="99"/>
    <w:semiHidden/>
    <w:unhideWhenUsed/>
    <w:rsid w:val="00BF4753"/>
    <w:rPr>
      <w:sz w:val="20"/>
      <w:szCs w:val="20"/>
    </w:rPr>
  </w:style>
  <w:style w:type="character" w:customStyle="1" w:styleId="EndnoteTextChar">
    <w:name w:val="Endnote Text Char"/>
    <w:basedOn w:val="DefaultParagraphFont"/>
    <w:link w:val="EndnoteText"/>
    <w:uiPriority w:val="99"/>
    <w:semiHidden/>
    <w:rsid w:val="00BF4753"/>
    <w:rPr>
      <w:rFonts w:ascii="Times New Roman" w:eastAsiaTheme="minorEastAsia" w:hAnsi="Times New Roman"/>
      <w:sz w:val="20"/>
      <w:szCs w:val="20"/>
    </w:rPr>
  </w:style>
  <w:style w:type="character" w:styleId="EndnoteReference">
    <w:name w:val="endnote reference"/>
    <w:basedOn w:val="DefaultParagraphFont"/>
    <w:uiPriority w:val="99"/>
    <w:semiHidden/>
    <w:unhideWhenUsed/>
    <w:rsid w:val="00BF4753"/>
    <w:rPr>
      <w:vertAlign w:val="superscript"/>
    </w:rPr>
  </w:style>
  <w:style w:type="numbering" w:customStyle="1" w:styleId="NoList5">
    <w:name w:val="No List5"/>
    <w:next w:val="NoList"/>
    <w:uiPriority w:val="99"/>
    <w:semiHidden/>
    <w:unhideWhenUsed/>
    <w:rsid w:val="00BF4753"/>
  </w:style>
  <w:style w:type="table" w:customStyle="1" w:styleId="GridTable6Colorful1">
    <w:name w:val="Grid Table 6 Colorful1"/>
    <w:basedOn w:val="TableNormal"/>
    <w:next w:val="GridTable6Colorful"/>
    <w:uiPriority w:val="51"/>
    <w:rsid w:val="00BF4753"/>
    <w:pPr>
      <w:spacing w:after="0" w:line="240" w:lineRule="auto"/>
    </w:pPr>
    <w:rPr>
      <w:rFonts w:ascii="Times New Roman" w:eastAsia="Calibri" w:hAnsi="Times New Roman"/>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3-Accent12">
    <w:name w:val="List Table 3 - Accent 12"/>
    <w:basedOn w:val="TableNormal"/>
    <w:next w:val="ListTable3-Accent1"/>
    <w:uiPriority w:val="48"/>
    <w:rsid w:val="00BF4753"/>
    <w:pPr>
      <w:spacing w:after="0" w:line="240" w:lineRule="auto"/>
    </w:pPr>
    <w:rPr>
      <w:rFonts w:eastAsiaTheme="minorEastAsia"/>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GridTable2-Accent12">
    <w:name w:val="Grid Table 2 - Accent 12"/>
    <w:basedOn w:val="TableNormal"/>
    <w:next w:val="GridTable2-Accent1"/>
    <w:uiPriority w:val="47"/>
    <w:rsid w:val="00BF4753"/>
    <w:pPr>
      <w:spacing w:after="0" w:line="240" w:lineRule="auto"/>
    </w:pPr>
    <w:rPr>
      <w:rFonts w:eastAsiaTheme="minorEastAsi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12">
    <w:name w:val="Grid Table 1 Light - Accent 12"/>
    <w:basedOn w:val="TableNormal"/>
    <w:next w:val="GridTable1Light-Accent1"/>
    <w:uiPriority w:val="46"/>
    <w:rsid w:val="00BF4753"/>
    <w:pPr>
      <w:spacing w:after="0" w:line="240" w:lineRule="auto"/>
    </w:pPr>
    <w:rPr>
      <w:rFonts w:eastAsiaTheme="minorEastAsi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BF4753"/>
    <w:pPr>
      <w:spacing w:after="0" w:line="240" w:lineRule="auto"/>
    </w:pPr>
    <w:rPr>
      <w:rFonts w:eastAsiaTheme="minorEastAsia"/>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BF4753"/>
    <w:pPr>
      <w:spacing w:after="0" w:line="240" w:lineRule="auto"/>
    </w:pPr>
    <w:rPr>
      <w:rFonts w:eastAsiaTheme="minorEastAsi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12">
    <w:name w:val="Plain Table 12"/>
    <w:basedOn w:val="TableNormal"/>
    <w:next w:val="PlainTable1"/>
    <w:uiPriority w:val="41"/>
    <w:rsid w:val="00BF4753"/>
    <w:pPr>
      <w:spacing w:after="0" w:line="240" w:lineRule="auto"/>
    </w:pPr>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BF4753"/>
    <w:pPr>
      <w:spacing w:after="0" w:line="240" w:lineRule="auto"/>
    </w:pPr>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2">
    <w:name w:val="Table Grid Light2"/>
    <w:basedOn w:val="TableNormal"/>
    <w:next w:val="TableGridLight"/>
    <w:uiPriority w:val="40"/>
    <w:rsid w:val="00BF4753"/>
    <w:pPr>
      <w:spacing w:after="0" w:line="240" w:lineRule="auto"/>
    </w:pPr>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uiPriority w:val="99"/>
    <w:semiHidden/>
    <w:unhideWhenUsed/>
    <w:rsid w:val="00BF4753"/>
  </w:style>
  <w:style w:type="table" w:customStyle="1" w:styleId="GridTable6Colorful-Accent52">
    <w:name w:val="Grid Table 6 Colorful - Accent 52"/>
    <w:basedOn w:val="TableNormal"/>
    <w:next w:val="GridTable6Colorful-Accent5"/>
    <w:uiPriority w:val="51"/>
    <w:rsid w:val="00BF4753"/>
    <w:pPr>
      <w:spacing w:after="0" w:line="240" w:lineRule="auto"/>
    </w:pPr>
    <w:rPr>
      <w:rFonts w:eastAsiaTheme="minorEastAsia"/>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12">
    <w:name w:val="Grid Table 4 - Accent 12"/>
    <w:basedOn w:val="TableNormal"/>
    <w:next w:val="GridTable4-Accent1"/>
    <w:uiPriority w:val="49"/>
    <w:rsid w:val="00BF4753"/>
    <w:pPr>
      <w:spacing w:after="0" w:line="240" w:lineRule="auto"/>
    </w:pPr>
    <w:rPr>
      <w:rFonts w:eastAsiaTheme="minorEastAsi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2">
    <w:name w:val="No List22"/>
    <w:next w:val="NoList"/>
    <w:uiPriority w:val="99"/>
    <w:semiHidden/>
    <w:unhideWhenUsed/>
    <w:rsid w:val="00BF4753"/>
  </w:style>
  <w:style w:type="numbering" w:customStyle="1" w:styleId="NoList32">
    <w:name w:val="No List32"/>
    <w:next w:val="NoList"/>
    <w:uiPriority w:val="99"/>
    <w:semiHidden/>
    <w:unhideWhenUsed/>
    <w:rsid w:val="00BF4753"/>
  </w:style>
  <w:style w:type="table" w:customStyle="1" w:styleId="GridTable4-Accent52">
    <w:name w:val="Grid Table 4 - Accent 52"/>
    <w:basedOn w:val="TableNormal"/>
    <w:next w:val="GridTable4-Accent5"/>
    <w:uiPriority w:val="49"/>
    <w:rsid w:val="00BF4753"/>
    <w:pPr>
      <w:spacing w:after="0" w:line="240" w:lineRule="auto"/>
    </w:pPr>
    <w:rPr>
      <w:rFonts w:eastAsia="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52">
    <w:name w:val="List Table 3 - Accent 52"/>
    <w:basedOn w:val="TableNormal"/>
    <w:next w:val="ListTable3-Accent5"/>
    <w:uiPriority w:val="48"/>
    <w:rsid w:val="00BF4753"/>
    <w:pPr>
      <w:spacing w:after="0" w:line="240" w:lineRule="auto"/>
    </w:pPr>
    <w:rPr>
      <w:rFonts w:eastAsiaTheme="minorEastAsia"/>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PlainTable32">
    <w:name w:val="Plain Table 32"/>
    <w:basedOn w:val="TableNormal"/>
    <w:next w:val="PlainTable3"/>
    <w:uiPriority w:val="43"/>
    <w:rsid w:val="00BF4753"/>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1Light-Accent42">
    <w:name w:val="List Table 1 Light - Accent 42"/>
    <w:basedOn w:val="TableNormal"/>
    <w:next w:val="ListTable1Light-Accent4"/>
    <w:uiPriority w:val="46"/>
    <w:rsid w:val="00BF4753"/>
    <w:pPr>
      <w:spacing w:after="0" w:line="240" w:lineRule="auto"/>
    </w:pPr>
    <w:rPr>
      <w:rFonts w:eastAsiaTheme="minorEastAsia"/>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22">
    <w:name w:val="Grid Table 6 Colorful - Accent 22"/>
    <w:basedOn w:val="TableNormal"/>
    <w:next w:val="GridTable6Colorful-Accent2"/>
    <w:uiPriority w:val="51"/>
    <w:rsid w:val="00BF4753"/>
    <w:pPr>
      <w:spacing w:after="0" w:line="240" w:lineRule="auto"/>
    </w:pPr>
    <w:rPr>
      <w:rFonts w:eastAsiaTheme="minorEastAsia"/>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leGrid18">
    <w:name w:val="Table Grid18"/>
    <w:basedOn w:val="TableNormal"/>
    <w:next w:val="TableGrid"/>
    <w:uiPriority w:val="59"/>
    <w:rsid w:val="00BF4753"/>
    <w:pPr>
      <w:spacing w:after="0" w:line="240" w:lineRule="auto"/>
    </w:pPr>
    <w:rPr>
      <w:rFonts w:ascii="Times New Roman" w:eastAsia="Calibri" w:hAnsi="Times New Roman"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BF4753"/>
    <w:pPr>
      <w:spacing w:after="0" w:line="240" w:lineRule="auto"/>
    </w:pPr>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BF4753"/>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GridTable2-Accent1">
    <w:name w:val="Grid Table 2 Accent 1"/>
    <w:basedOn w:val="TableNormal"/>
    <w:uiPriority w:val="47"/>
    <w:rsid w:val="00BF4753"/>
    <w:pPr>
      <w:spacing w:after="0" w:line="240" w:lineRule="auto"/>
    </w:pPr>
    <w:rPr>
      <w:rFonts w:eastAsiaTheme="minorEastAsia"/>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1">
    <w:name w:val="Grid Table 1 Light Accent 1"/>
    <w:basedOn w:val="TableNormal"/>
    <w:uiPriority w:val="46"/>
    <w:rsid w:val="00BF4753"/>
    <w:pPr>
      <w:spacing w:after="0" w:line="240" w:lineRule="auto"/>
    </w:pPr>
    <w:rPr>
      <w:rFonts w:eastAsiaTheme="minorEastAs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F4753"/>
    <w:pPr>
      <w:spacing w:after="0" w:line="240" w:lineRule="auto"/>
    </w:pPr>
    <w:rPr>
      <w:rFonts w:eastAsiaTheme="minorEastAsia"/>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F4753"/>
    <w:pPr>
      <w:spacing w:after="0" w:line="240" w:lineRule="auto"/>
    </w:pPr>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BF4753"/>
    <w:pPr>
      <w:spacing w:after="0" w:line="240" w:lineRule="auto"/>
    </w:pPr>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F4753"/>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BF4753"/>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Accent5">
    <w:name w:val="Grid Table 6 Colorful Accent 5"/>
    <w:basedOn w:val="TableNormal"/>
    <w:uiPriority w:val="51"/>
    <w:rsid w:val="00BF4753"/>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BF4753"/>
    <w:pPr>
      <w:spacing w:after="0" w:line="240" w:lineRule="auto"/>
    </w:pPr>
    <w:rPr>
      <w:rFonts w:eastAsiaTheme="minorEastAsi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BF4753"/>
    <w:pPr>
      <w:spacing w:after="0" w:line="240" w:lineRule="auto"/>
    </w:pPr>
    <w:rPr>
      <w:rFonts w:eastAsiaTheme="minorEastAsi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5">
    <w:name w:val="List Table 3 Accent 5"/>
    <w:basedOn w:val="TableNormal"/>
    <w:uiPriority w:val="48"/>
    <w:rsid w:val="00BF4753"/>
    <w:pPr>
      <w:spacing w:after="0" w:line="240" w:lineRule="auto"/>
    </w:pPr>
    <w:rPr>
      <w:rFonts w:eastAsiaTheme="minorEastAsia"/>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PlainTable3">
    <w:name w:val="Plain Table 3"/>
    <w:basedOn w:val="TableNormal"/>
    <w:uiPriority w:val="43"/>
    <w:rsid w:val="00BF4753"/>
    <w:pPr>
      <w:spacing w:after="0" w:line="240" w:lineRule="auto"/>
    </w:pPr>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1Light-Accent4">
    <w:name w:val="List Table 1 Light Accent 4"/>
    <w:basedOn w:val="TableNormal"/>
    <w:uiPriority w:val="46"/>
    <w:rsid w:val="00BF4753"/>
    <w:pPr>
      <w:spacing w:after="0" w:line="240" w:lineRule="auto"/>
    </w:pPr>
    <w:rPr>
      <w:rFonts w:eastAsiaTheme="minorEastAsi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2">
    <w:name w:val="Grid Table 6 Colorful Accent 2"/>
    <w:basedOn w:val="TableNormal"/>
    <w:uiPriority w:val="51"/>
    <w:rsid w:val="00BF4753"/>
    <w:pPr>
      <w:spacing w:after="0" w:line="240" w:lineRule="auto"/>
    </w:pPr>
    <w:rPr>
      <w:rFonts w:eastAsiaTheme="minorEastAsia"/>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18">
    <w:name w:val="Grid Table 6 Colorful - Accent 18"/>
    <w:basedOn w:val="TableNormal"/>
    <w:next w:val="GridTable6Colorful-Accent1"/>
    <w:uiPriority w:val="51"/>
    <w:rsid w:val="00BF4753"/>
    <w:pPr>
      <w:spacing w:after="0" w:line="240" w:lineRule="auto"/>
    </w:pPr>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Virsraksts">
    <w:name w:val="Virsraksts"/>
    <w:basedOn w:val="Heading1"/>
    <w:link w:val="VirsrakstsChar"/>
    <w:qFormat/>
    <w:rsid w:val="00BF4753"/>
    <w:pPr>
      <w:ind w:left="361" w:hanging="360"/>
    </w:pPr>
  </w:style>
  <w:style w:type="character" w:customStyle="1" w:styleId="VirsrakstsChar">
    <w:name w:val="Virsraksts Char"/>
    <w:basedOn w:val="Heading1Char"/>
    <w:link w:val="Virsraksts"/>
    <w:rsid w:val="00BF4753"/>
    <w:rPr>
      <w:rFonts w:ascii="Times New Roman" w:eastAsia="Times New Roman" w:hAnsi="Times New Roman" w:cs="Times New Roman"/>
      <w:b/>
      <w:bCs/>
      <w:smallCaps/>
      <w:color w:val="000000"/>
      <w:sz w:val="36"/>
      <w:szCs w:val="36"/>
      <w:lang w:eastAsia="lv-LV"/>
      <w14:textOutline w14:w="9525" w14:cap="rnd" w14:cmpd="sng" w14:algn="ctr">
        <w14:noFill/>
        <w14:prstDash w14:val="solid"/>
        <w14:bevel/>
      </w14:textOutline>
    </w:rPr>
  </w:style>
  <w:style w:type="numbering" w:styleId="111111">
    <w:name w:val="Outline List 2"/>
    <w:basedOn w:val="NoList"/>
    <w:uiPriority w:val="99"/>
    <w:semiHidden/>
    <w:unhideWhenUsed/>
    <w:rsid w:val="00BF4753"/>
    <w:pPr>
      <w:numPr>
        <w:numId w:val="3"/>
      </w:numPr>
    </w:pPr>
  </w:style>
  <w:style w:type="table" w:customStyle="1" w:styleId="TableGrid13">
    <w:name w:val="Table Grid13"/>
    <w:basedOn w:val="TableNormal"/>
    <w:next w:val="TableGrid"/>
    <w:uiPriority w:val="39"/>
    <w:rsid w:val="00BF4753"/>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BF475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F4753"/>
  </w:style>
  <w:style w:type="table" w:customStyle="1" w:styleId="GridTable6Colorful2">
    <w:name w:val="Grid Table 6 Colorful2"/>
    <w:basedOn w:val="TableNormal"/>
    <w:next w:val="GridTable6Colorful"/>
    <w:uiPriority w:val="51"/>
    <w:rsid w:val="00BF4753"/>
    <w:pPr>
      <w:spacing w:after="0" w:line="240" w:lineRule="auto"/>
    </w:pPr>
    <w:rPr>
      <w:rFonts w:ascii="Times New Roman" w:eastAsia="Calibri" w:hAnsi="Times New Roman"/>
      <w:color w:val="000000"/>
      <w:sz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3">
    <w:name w:val="No List13"/>
    <w:next w:val="NoList"/>
    <w:uiPriority w:val="99"/>
    <w:semiHidden/>
    <w:unhideWhenUsed/>
    <w:rsid w:val="00BF4753"/>
  </w:style>
  <w:style w:type="numbering" w:customStyle="1" w:styleId="NoList23">
    <w:name w:val="No List23"/>
    <w:next w:val="NoList"/>
    <w:uiPriority w:val="99"/>
    <w:semiHidden/>
    <w:unhideWhenUsed/>
    <w:rsid w:val="00BF4753"/>
  </w:style>
  <w:style w:type="numbering" w:customStyle="1" w:styleId="NoList33">
    <w:name w:val="No List33"/>
    <w:next w:val="NoList"/>
    <w:uiPriority w:val="99"/>
    <w:semiHidden/>
    <w:unhideWhenUsed/>
    <w:rsid w:val="00BF4753"/>
  </w:style>
  <w:style w:type="table" w:customStyle="1" w:styleId="GridTable4-Accent53">
    <w:name w:val="Grid Table 4 - Accent 53"/>
    <w:basedOn w:val="TableNormal"/>
    <w:next w:val="GridTable4-Accent5"/>
    <w:uiPriority w:val="49"/>
    <w:rsid w:val="00BF4753"/>
    <w:pPr>
      <w:spacing w:after="0" w:line="240" w:lineRule="auto"/>
    </w:pPr>
    <w:rPr>
      <w:rFonts w:eastAsia="Calibri"/>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31">
    <w:name w:val="Grid Table 6 Colorful - Accent 1131"/>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41">
    <w:name w:val="Grid Table 6 Colorful - Accent 1141"/>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71">
    <w:name w:val="Grid Table 6 Colorful - Accent 1171"/>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81">
    <w:name w:val="Grid Table 6 Colorful - Accent 1181"/>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512">
    <w:name w:val="Grid Table 6 Colorful - Accent 512"/>
    <w:basedOn w:val="TableNormal"/>
    <w:uiPriority w:val="51"/>
    <w:rsid w:val="00BF4753"/>
    <w:pPr>
      <w:spacing w:after="0" w:line="240" w:lineRule="auto"/>
    </w:pPr>
    <w:rPr>
      <w:rFonts w:eastAsiaTheme="minorEastAsia"/>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1172">
    <w:name w:val="Grid Table 6 Colorful - Accent 1172"/>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82">
    <w:name w:val="Grid Table 6 Colorful - Accent 1182"/>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73">
    <w:name w:val="Grid Table 6 Colorful - Accent 1173"/>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83">
    <w:name w:val="Grid Table 6 Colorful - Accent 1183"/>
    <w:basedOn w:val="TableNormal"/>
    <w:uiPriority w:val="51"/>
    <w:rsid w:val="00BF4753"/>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831">
    <w:name w:val="Grid Table 6 Colorful - Accent 11831"/>
    <w:basedOn w:val="TableNormal"/>
    <w:uiPriority w:val="51"/>
    <w:rsid w:val="00667944"/>
    <w:pPr>
      <w:spacing w:after="0" w:line="240" w:lineRule="auto"/>
    </w:pPr>
    <w:rPr>
      <w:rFonts w:ascii="Calibri" w:eastAsia="Times New Roman" w:hAnsi="Calibri"/>
      <w:color w:val="2E74B5"/>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7">
    <w:name w:val="No List7"/>
    <w:next w:val="NoList"/>
    <w:uiPriority w:val="99"/>
    <w:semiHidden/>
    <w:unhideWhenUsed/>
    <w:rsid w:val="00B6438E"/>
  </w:style>
  <w:style w:type="table" w:customStyle="1" w:styleId="GridTable6Colorful3">
    <w:name w:val="Grid Table 6 Colorful3"/>
    <w:basedOn w:val="TableNormal"/>
    <w:next w:val="GridTable6Colorful"/>
    <w:uiPriority w:val="51"/>
    <w:rsid w:val="00B6438E"/>
    <w:pPr>
      <w:spacing w:after="0" w:line="240" w:lineRule="auto"/>
    </w:pPr>
    <w:rPr>
      <w:rFonts w:ascii="Times New Roman" w:hAnsi="Times New Roman"/>
      <w:color w:val="000000" w:themeColor="text1"/>
      <w:sz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4">
    <w:name w:val="No List14"/>
    <w:next w:val="NoList"/>
    <w:uiPriority w:val="99"/>
    <w:semiHidden/>
    <w:unhideWhenUsed/>
    <w:rsid w:val="00B6438E"/>
  </w:style>
  <w:style w:type="numbering" w:customStyle="1" w:styleId="NoList24">
    <w:name w:val="No List24"/>
    <w:next w:val="NoList"/>
    <w:uiPriority w:val="99"/>
    <w:semiHidden/>
    <w:unhideWhenUsed/>
    <w:rsid w:val="00B6438E"/>
  </w:style>
  <w:style w:type="numbering" w:customStyle="1" w:styleId="NoList34">
    <w:name w:val="No List34"/>
    <w:next w:val="NoList"/>
    <w:uiPriority w:val="99"/>
    <w:semiHidden/>
    <w:unhideWhenUsed/>
    <w:rsid w:val="00B6438E"/>
  </w:style>
  <w:style w:type="table" w:customStyle="1" w:styleId="GridTable4-Accent54">
    <w:name w:val="Grid Table 4 - Accent 54"/>
    <w:basedOn w:val="TableNormal"/>
    <w:next w:val="GridTable4-Accent5"/>
    <w:uiPriority w:val="49"/>
    <w:rsid w:val="00B6438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787972"/>
    <w:rPr>
      <w:color w:val="605E5C"/>
      <w:shd w:val="clear" w:color="auto" w:fill="E1DFDD"/>
    </w:rPr>
  </w:style>
  <w:style w:type="table" w:customStyle="1" w:styleId="TableGrid112">
    <w:name w:val="Table Grid112"/>
    <w:basedOn w:val="TableNormal"/>
    <w:next w:val="TableGrid"/>
    <w:uiPriority w:val="39"/>
    <w:rsid w:val="00EB7321"/>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EB7321"/>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577A9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577A92"/>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C0034E"/>
    <w:pPr>
      <w:spacing w:after="0" w:line="240" w:lineRule="auto"/>
    </w:pPr>
    <w:rPr>
      <w:rFonts w:ascii="Times New Roman" w:eastAsia="Calibri"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12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74">
    <w:name w:val="Grid Table 6 Colorful - Accent 1174"/>
    <w:basedOn w:val="TableNormal"/>
    <w:uiPriority w:val="51"/>
    <w:rsid w:val="000F4627"/>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84">
    <w:name w:val="Grid Table 6 Colorful - Accent 1184"/>
    <w:basedOn w:val="TableNormal"/>
    <w:uiPriority w:val="51"/>
    <w:rsid w:val="000F4627"/>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513">
    <w:name w:val="Grid Table 6 Colorful - Accent 513"/>
    <w:basedOn w:val="TableNormal"/>
    <w:uiPriority w:val="51"/>
    <w:rsid w:val="000F4627"/>
    <w:pPr>
      <w:spacing w:after="0" w:line="240" w:lineRule="auto"/>
    </w:pPr>
    <w:rPr>
      <w:rFonts w:eastAsia="Times New Roman"/>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75">
    <w:name w:val="Grid Table 6 Colorful - Accent 1175"/>
    <w:basedOn w:val="TableNormal"/>
    <w:uiPriority w:val="51"/>
    <w:rsid w:val="005346E4"/>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1185">
    <w:name w:val="Grid Table 6 Colorful - Accent 1185"/>
    <w:basedOn w:val="TableNormal"/>
    <w:uiPriority w:val="51"/>
    <w:rsid w:val="005346E4"/>
    <w:pPr>
      <w:spacing w:after="0" w:line="240" w:lineRule="auto"/>
    </w:pPr>
    <w:rPr>
      <w:rFonts w:ascii="Calibri" w:eastAsia="Times New Roman" w:hAnsi="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UnresolvedMention">
    <w:name w:val="Unresolved Mention"/>
    <w:basedOn w:val="DefaultParagraphFont"/>
    <w:uiPriority w:val="99"/>
    <w:semiHidden/>
    <w:unhideWhenUsed/>
    <w:rsid w:val="0031227F"/>
    <w:rPr>
      <w:color w:val="605E5C"/>
      <w:shd w:val="clear" w:color="auto" w:fill="E1DFDD"/>
    </w:rPr>
  </w:style>
  <w:style w:type="table" w:customStyle="1" w:styleId="TableGrid10">
    <w:name w:val="Table Grid10"/>
    <w:basedOn w:val="TableNormal"/>
    <w:next w:val="TableGrid"/>
    <w:uiPriority w:val="39"/>
    <w:rsid w:val="0031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9">
    <w:name w:val="Grid Table 6 Colorful - Accent 19"/>
    <w:basedOn w:val="TableNormal"/>
    <w:next w:val="GridTable6Colorful-Accent1"/>
    <w:uiPriority w:val="51"/>
    <w:rsid w:val="0031227F"/>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abulasgalvenesrinda">
    <w:name w:val="Tabulas galvenes rinda"/>
    <w:basedOn w:val="Normal"/>
    <w:qFormat/>
    <w:rsid w:val="003063D3"/>
    <w:pPr>
      <w:keepNext/>
      <w:keepLines/>
      <w:ind w:firstLine="0"/>
      <w:jc w:val="center"/>
    </w:pPr>
    <w:rPr>
      <w:rFonts w:eastAsia="Times New Roman" w:cs="Times New Roman"/>
      <w:b/>
      <w:iCs/>
      <w:sz w:val="20"/>
      <w:szCs w:val="20"/>
      <w:lang w:eastAsia="lv-LV"/>
    </w:rPr>
  </w:style>
  <w:style w:type="paragraph" w:customStyle="1" w:styleId="Attls">
    <w:name w:val="Attēls"/>
    <w:basedOn w:val="Normal"/>
    <w:qFormat/>
    <w:rsid w:val="003063D3"/>
    <w:pPr>
      <w:keepNext/>
      <w:spacing w:before="120"/>
      <w:ind w:firstLine="0"/>
      <w:jc w:val="center"/>
    </w:pPr>
    <w:rPr>
      <w:rFonts w:eastAsia="Times New Roman" w:cs="Times New Roman"/>
      <w:iCs/>
      <w:noProof/>
      <w:szCs w:val="20"/>
      <w:lang w:eastAsia="x-none"/>
    </w:rPr>
  </w:style>
  <w:style w:type="paragraph" w:customStyle="1" w:styleId="Tabulasnosaukums">
    <w:name w:val="Tabulas nosaukums"/>
    <w:basedOn w:val="Normal"/>
    <w:qFormat/>
    <w:rsid w:val="003063D3"/>
    <w:pPr>
      <w:keepNext/>
      <w:spacing w:before="240"/>
      <w:jc w:val="right"/>
    </w:pPr>
    <w:rPr>
      <w:rFonts w:eastAsia="Times New Roman" w:cs="Times New Roman"/>
      <w:b/>
      <w:i/>
      <w:szCs w:val="20"/>
      <w:lang w:eastAsia="x-none"/>
    </w:rPr>
  </w:style>
  <w:style w:type="paragraph" w:customStyle="1" w:styleId="Attlanosaukums">
    <w:name w:val="Attēla nosaukums"/>
    <w:basedOn w:val="Normal"/>
    <w:qFormat/>
    <w:rsid w:val="003063D3"/>
    <w:pPr>
      <w:spacing w:before="60"/>
      <w:jc w:val="center"/>
    </w:pPr>
    <w:rPr>
      <w:rFonts w:eastAsia="Times New Roman" w:cs="Times New Roman"/>
      <w:b/>
      <w:i/>
      <w:szCs w:val="24"/>
      <w:lang w:eastAsia="x-none"/>
    </w:rPr>
  </w:style>
  <w:style w:type="paragraph" w:customStyle="1" w:styleId="Tabulasteksts">
    <w:name w:val="Tabulas teksts"/>
    <w:basedOn w:val="Normal"/>
    <w:rsid w:val="003063D3"/>
    <w:pPr>
      <w:ind w:firstLine="0"/>
      <w:jc w:val="left"/>
    </w:pPr>
    <w:rPr>
      <w:rFonts w:eastAsia="Times New Roman" w:cs="Times New Roman"/>
      <w:iCs/>
      <w:color w:val="000000"/>
      <w:sz w:val="20"/>
      <w:szCs w:val="20"/>
      <w:lang w:eastAsia="x-none"/>
    </w:rPr>
  </w:style>
  <w:style w:type="numbering" w:customStyle="1" w:styleId="NoList8">
    <w:name w:val="No List8"/>
    <w:next w:val="NoList"/>
    <w:uiPriority w:val="99"/>
    <w:semiHidden/>
    <w:unhideWhenUsed/>
    <w:rsid w:val="006923DF"/>
  </w:style>
  <w:style w:type="numbering" w:customStyle="1" w:styleId="NoList15">
    <w:name w:val="No List15"/>
    <w:next w:val="NoList"/>
    <w:uiPriority w:val="99"/>
    <w:semiHidden/>
    <w:unhideWhenUsed/>
    <w:rsid w:val="006923DF"/>
  </w:style>
  <w:style w:type="numbering" w:customStyle="1" w:styleId="NoList25">
    <w:name w:val="No List25"/>
    <w:next w:val="NoList"/>
    <w:uiPriority w:val="99"/>
    <w:semiHidden/>
    <w:unhideWhenUsed/>
    <w:rsid w:val="006923DF"/>
  </w:style>
  <w:style w:type="numbering" w:customStyle="1" w:styleId="NoList35">
    <w:name w:val="No List35"/>
    <w:next w:val="NoList"/>
    <w:uiPriority w:val="99"/>
    <w:semiHidden/>
    <w:unhideWhenUsed/>
    <w:rsid w:val="006923DF"/>
  </w:style>
  <w:style w:type="table" w:customStyle="1" w:styleId="TableGrid14">
    <w:name w:val="Table Grid14"/>
    <w:basedOn w:val="TableNormal"/>
    <w:next w:val="TableGrid"/>
    <w:uiPriority w:val="39"/>
    <w:rsid w:val="00594BC3"/>
    <w:pPr>
      <w:spacing w:after="0" w:line="240" w:lineRule="auto"/>
    </w:pPr>
    <w:rPr>
      <w:rFonts w:ascii="Times New Roman" w:hAnsi="Times New Roman"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8159DC"/>
    <w:pPr>
      <w:spacing w:after="160" w:line="240" w:lineRule="exact"/>
      <w:ind w:firstLine="0"/>
      <w:jc w:val="left"/>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567634">
      <w:bodyDiv w:val="1"/>
      <w:marLeft w:val="0"/>
      <w:marRight w:val="0"/>
      <w:marTop w:val="0"/>
      <w:marBottom w:val="0"/>
      <w:divBdr>
        <w:top w:val="none" w:sz="0" w:space="0" w:color="auto"/>
        <w:left w:val="none" w:sz="0" w:space="0" w:color="auto"/>
        <w:bottom w:val="none" w:sz="0" w:space="0" w:color="auto"/>
        <w:right w:val="none" w:sz="0" w:space="0" w:color="auto"/>
      </w:divBdr>
    </w:div>
    <w:div w:id="66614347">
      <w:bodyDiv w:val="1"/>
      <w:marLeft w:val="0"/>
      <w:marRight w:val="0"/>
      <w:marTop w:val="0"/>
      <w:marBottom w:val="0"/>
      <w:divBdr>
        <w:top w:val="none" w:sz="0" w:space="0" w:color="auto"/>
        <w:left w:val="none" w:sz="0" w:space="0" w:color="auto"/>
        <w:bottom w:val="none" w:sz="0" w:space="0" w:color="auto"/>
        <w:right w:val="none" w:sz="0" w:space="0" w:color="auto"/>
      </w:divBdr>
    </w:div>
    <w:div w:id="90900320">
      <w:bodyDiv w:val="1"/>
      <w:marLeft w:val="0"/>
      <w:marRight w:val="0"/>
      <w:marTop w:val="0"/>
      <w:marBottom w:val="0"/>
      <w:divBdr>
        <w:top w:val="none" w:sz="0" w:space="0" w:color="auto"/>
        <w:left w:val="none" w:sz="0" w:space="0" w:color="auto"/>
        <w:bottom w:val="none" w:sz="0" w:space="0" w:color="auto"/>
        <w:right w:val="none" w:sz="0" w:space="0" w:color="auto"/>
      </w:divBdr>
    </w:div>
    <w:div w:id="200945728">
      <w:bodyDiv w:val="1"/>
      <w:marLeft w:val="0"/>
      <w:marRight w:val="0"/>
      <w:marTop w:val="0"/>
      <w:marBottom w:val="0"/>
      <w:divBdr>
        <w:top w:val="none" w:sz="0" w:space="0" w:color="auto"/>
        <w:left w:val="none" w:sz="0" w:space="0" w:color="auto"/>
        <w:bottom w:val="none" w:sz="0" w:space="0" w:color="auto"/>
        <w:right w:val="none" w:sz="0" w:space="0" w:color="auto"/>
      </w:divBdr>
    </w:div>
    <w:div w:id="285282126">
      <w:bodyDiv w:val="1"/>
      <w:marLeft w:val="0"/>
      <w:marRight w:val="0"/>
      <w:marTop w:val="0"/>
      <w:marBottom w:val="0"/>
      <w:divBdr>
        <w:top w:val="none" w:sz="0" w:space="0" w:color="auto"/>
        <w:left w:val="none" w:sz="0" w:space="0" w:color="auto"/>
        <w:bottom w:val="none" w:sz="0" w:space="0" w:color="auto"/>
        <w:right w:val="none" w:sz="0" w:space="0" w:color="auto"/>
      </w:divBdr>
    </w:div>
    <w:div w:id="308941301">
      <w:bodyDiv w:val="1"/>
      <w:marLeft w:val="0"/>
      <w:marRight w:val="0"/>
      <w:marTop w:val="0"/>
      <w:marBottom w:val="0"/>
      <w:divBdr>
        <w:top w:val="none" w:sz="0" w:space="0" w:color="auto"/>
        <w:left w:val="none" w:sz="0" w:space="0" w:color="auto"/>
        <w:bottom w:val="none" w:sz="0" w:space="0" w:color="auto"/>
        <w:right w:val="none" w:sz="0" w:space="0" w:color="auto"/>
      </w:divBdr>
    </w:div>
    <w:div w:id="313533167">
      <w:bodyDiv w:val="1"/>
      <w:marLeft w:val="0"/>
      <w:marRight w:val="0"/>
      <w:marTop w:val="0"/>
      <w:marBottom w:val="0"/>
      <w:divBdr>
        <w:top w:val="none" w:sz="0" w:space="0" w:color="auto"/>
        <w:left w:val="none" w:sz="0" w:space="0" w:color="auto"/>
        <w:bottom w:val="none" w:sz="0" w:space="0" w:color="auto"/>
        <w:right w:val="none" w:sz="0" w:space="0" w:color="auto"/>
      </w:divBdr>
    </w:div>
    <w:div w:id="331497219">
      <w:bodyDiv w:val="1"/>
      <w:marLeft w:val="0"/>
      <w:marRight w:val="0"/>
      <w:marTop w:val="0"/>
      <w:marBottom w:val="0"/>
      <w:divBdr>
        <w:top w:val="none" w:sz="0" w:space="0" w:color="auto"/>
        <w:left w:val="none" w:sz="0" w:space="0" w:color="auto"/>
        <w:bottom w:val="none" w:sz="0" w:space="0" w:color="auto"/>
        <w:right w:val="none" w:sz="0" w:space="0" w:color="auto"/>
      </w:divBdr>
      <w:divsChild>
        <w:div w:id="1072199565">
          <w:marLeft w:val="0"/>
          <w:marRight w:val="0"/>
          <w:marTop w:val="480"/>
          <w:marBottom w:val="240"/>
          <w:divBdr>
            <w:top w:val="none" w:sz="0" w:space="0" w:color="auto"/>
            <w:left w:val="none" w:sz="0" w:space="0" w:color="auto"/>
            <w:bottom w:val="none" w:sz="0" w:space="0" w:color="auto"/>
            <w:right w:val="none" w:sz="0" w:space="0" w:color="auto"/>
          </w:divBdr>
        </w:div>
        <w:div w:id="415054269">
          <w:marLeft w:val="0"/>
          <w:marRight w:val="0"/>
          <w:marTop w:val="0"/>
          <w:marBottom w:val="567"/>
          <w:divBdr>
            <w:top w:val="none" w:sz="0" w:space="0" w:color="auto"/>
            <w:left w:val="none" w:sz="0" w:space="0" w:color="auto"/>
            <w:bottom w:val="none" w:sz="0" w:space="0" w:color="auto"/>
            <w:right w:val="none" w:sz="0" w:space="0" w:color="auto"/>
          </w:divBdr>
        </w:div>
      </w:divsChild>
    </w:div>
    <w:div w:id="363020831">
      <w:bodyDiv w:val="1"/>
      <w:marLeft w:val="0"/>
      <w:marRight w:val="0"/>
      <w:marTop w:val="0"/>
      <w:marBottom w:val="0"/>
      <w:divBdr>
        <w:top w:val="none" w:sz="0" w:space="0" w:color="auto"/>
        <w:left w:val="none" w:sz="0" w:space="0" w:color="auto"/>
        <w:bottom w:val="none" w:sz="0" w:space="0" w:color="auto"/>
        <w:right w:val="none" w:sz="0" w:space="0" w:color="auto"/>
      </w:divBdr>
    </w:div>
    <w:div w:id="406004426">
      <w:bodyDiv w:val="1"/>
      <w:marLeft w:val="0"/>
      <w:marRight w:val="0"/>
      <w:marTop w:val="0"/>
      <w:marBottom w:val="0"/>
      <w:divBdr>
        <w:top w:val="none" w:sz="0" w:space="0" w:color="auto"/>
        <w:left w:val="none" w:sz="0" w:space="0" w:color="auto"/>
        <w:bottom w:val="none" w:sz="0" w:space="0" w:color="auto"/>
        <w:right w:val="none" w:sz="0" w:space="0" w:color="auto"/>
      </w:divBdr>
    </w:div>
    <w:div w:id="408844988">
      <w:bodyDiv w:val="1"/>
      <w:marLeft w:val="0"/>
      <w:marRight w:val="0"/>
      <w:marTop w:val="0"/>
      <w:marBottom w:val="0"/>
      <w:divBdr>
        <w:top w:val="none" w:sz="0" w:space="0" w:color="auto"/>
        <w:left w:val="none" w:sz="0" w:space="0" w:color="auto"/>
        <w:bottom w:val="none" w:sz="0" w:space="0" w:color="auto"/>
        <w:right w:val="none" w:sz="0" w:space="0" w:color="auto"/>
      </w:divBdr>
    </w:div>
    <w:div w:id="475728990">
      <w:bodyDiv w:val="1"/>
      <w:marLeft w:val="0"/>
      <w:marRight w:val="0"/>
      <w:marTop w:val="0"/>
      <w:marBottom w:val="0"/>
      <w:divBdr>
        <w:top w:val="none" w:sz="0" w:space="0" w:color="auto"/>
        <w:left w:val="none" w:sz="0" w:space="0" w:color="auto"/>
        <w:bottom w:val="none" w:sz="0" w:space="0" w:color="auto"/>
        <w:right w:val="none" w:sz="0" w:space="0" w:color="auto"/>
      </w:divBdr>
    </w:div>
    <w:div w:id="480345408">
      <w:bodyDiv w:val="1"/>
      <w:marLeft w:val="0"/>
      <w:marRight w:val="0"/>
      <w:marTop w:val="0"/>
      <w:marBottom w:val="0"/>
      <w:divBdr>
        <w:top w:val="none" w:sz="0" w:space="0" w:color="auto"/>
        <w:left w:val="none" w:sz="0" w:space="0" w:color="auto"/>
        <w:bottom w:val="none" w:sz="0" w:space="0" w:color="auto"/>
        <w:right w:val="none" w:sz="0" w:space="0" w:color="auto"/>
      </w:divBdr>
    </w:div>
    <w:div w:id="498011273">
      <w:bodyDiv w:val="1"/>
      <w:marLeft w:val="0"/>
      <w:marRight w:val="0"/>
      <w:marTop w:val="0"/>
      <w:marBottom w:val="0"/>
      <w:divBdr>
        <w:top w:val="none" w:sz="0" w:space="0" w:color="auto"/>
        <w:left w:val="none" w:sz="0" w:space="0" w:color="auto"/>
        <w:bottom w:val="none" w:sz="0" w:space="0" w:color="auto"/>
        <w:right w:val="none" w:sz="0" w:space="0" w:color="auto"/>
      </w:divBdr>
    </w:div>
    <w:div w:id="523709094">
      <w:bodyDiv w:val="1"/>
      <w:marLeft w:val="0"/>
      <w:marRight w:val="0"/>
      <w:marTop w:val="0"/>
      <w:marBottom w:val="0"/>
      <w:divBdr>
        <w:top w:val="none" w:sz="0" w:space="0" w:color="auto"/>
        <w:left w:val="none" w:sz="0" w:space="0" w:color="auto"/>
        <w:bottom w:val="none" w:sz="0" w:space="0" w:color="auto"/>
        <w:right w:val="none" w:sz="0" w:space="0" w:color="auto"/>
      </w:divBdr>
    </w:div>
    <w:div w:id="567690653">
      <w:bodyDiv w:val="1"/>
      <w:marLeft w:val="0"/>
      <w:marRight w:val="0"/>
      <w:marTop w:val="0"/>
      <w:marBottom w:val="0"/>
      <w:divBdr>
        <w:top w:val="none" w:sz="0" w:space="0" w:color="auto"/>
        <w:left w:val="none" w:sz="0" w:space="0" w:color="auto"/>
        <w:bottom w:val="none" w:sz="0" w:space="0" w:color="auto"/>
        <w:right w:val="none" w:sz="0" w:space="0" w:color="auto"/>
      </w:divBdr>
    </w:div>
    <w:div w:id="574361786">
      <w:bodyDiv w:val="1"/>
      <w:marLeft w:val="0"/>
      <w:marRight w:val="0"/>
      <w:marTop w:val="0"/>
      <w:marBottom w:val="0"/>
      <w:divBdr>
        <w:top w:val="none" w:sz="0" w:space="0" w:color="auto"/>
        <w:left w:val="none" w:sz="0" w:space="0" w:color="auto"/>
        <w:bottom w:val="none" w:sz="0" w:space="0" w:color="auto"/>
        <w:right w:val="none" w:sz="0" w:space="0" w:color="auto"/>
      </w:divBdr>
      <w:divsChild>
        <w:div w:id="957369168">
          <w:marLeft w:val="0"/>
          <w:marRight w:val="0"/>
          <w:marTop w:val="0"/>
          <w:marBottom w:val="0"/>
          <w:divBdr>
            <w:top w:val="none" w:sz="0" w:space="0" w:color="auto"/>
            <w:left w:val="none" w:sz="0" w:space="0" w:color="auto"/>
            <w:bottom w:val="single" w:sz="6" w:space="0" w:color="D8D8D8"/>
            <w:right w:val="none" w:sz="0" w:space="0" w:color="auto"/>
          </w:divBdr>
        </w:div>
        <w:div w:id="1477524525">
          <w:marLeft w:val="0"/>
          <w:marRight w:val="0"/>
          <w:marTop w:val="0"/>
          <w:marBottom w:val="0"/>
          <w:divBdr>
            <w:top w:val="none" w:sz="0" w:space="0" w:color="auto"/>
            <w:left w:val="none" w:sz="0" w:space="0" w:color="auto"/>
            <w:bottom w:val="single" w:sz="6" w:space="0" w:color="D8D8D8"/>
            <w:right w:val="none" w:sz="0" w:space="0" w:color="auto"/>
          </w:divBdr>
        </w:div>
      </w:divsChild>
    </w:div>
    <w:div w:id="580793115">
      <w:bodyDiv w:val="1"/>
      <w:marLeft w:val="0"/>
      <w:marRight w:val="0"/>
      <w:marTop w:val="0"/>
      <w:marBottom w:val="0"/>
      <w:divBdr>
        <w:top w:val="none" w:sz="0" w:space="0" w:color="auto"/>
        <w:left w:val="none" w:sz="0" w:space="0" w:color="auto"/>
        <w:bottom w:val="none" w:sz="0" w:space="0" w:color="auto"/>
        <w:right w:val="none" w:sz="0" w:space="0" w:color="auto"/>
      </w:divBdr>
    </w:div>
    <w:div w:id="593438602">
      <w:bodyDiv w:val="1"/>
      <w:marLeft w:val="0"/>
      <w:marRight w:val="0"/>
      <w:marTop w:val="0"/>
      <w:marBottom w:val="0"/>
      <w:divBdr>
        <w:top w:val="none" w:sz="0" w:space="0" w:color="auto"/>
        <w:left w:val="none" w:sz="0" w:space="0" w:color="auto"/>
        <w:bottom w:val="none" w:sz="0" w:space="0" w:color="auto"/>
        <w:right w:val="none" w:sz="0" w:space="0" w:color="auto"/>
      </w:divBdr>
    </w:div>
    <w:div w:id="638147587">
      <w:bodyDiv w:val="1"/>
      <w:marLeft w:val="0"/>
      <w:marRight w:val="0"/>
      <w:marTop w:val="0"/>
      <w:marBottom w:val="0"/>
      <w:divBdr>
        <w:top w:val="none" w:sz="0" w:space="0" w:color="auto"/>
        <w:left w:val="none" w:sz="0" w:space="0" w:color="auto"/>
        <w:bottom w:val="none" w:sz="0" w:space="0" w:color="auto"/>
        <w:right w:val="none" w:sz="0" w:space="0" w:color="auto"/>
      </w:divBdr>
    </w:div>
    <w:div w:id="688918630">
      <w:bodyDiv w:val="1"/>
      <w:marLeft w:val="0"/>
      <w:marRight w:val="0"/>
      <w:marTop w:val="0"/>
      <w:marBottom w:val="0"/>
      <w:divBdr>
        <w:top w:val="none" w:sz="0" w:space="0" w:color="auto"/>
        <w:left w:val="none" w:sz="0" w:space="0" w:color="auto"/>
        <w:bottom w:val="none" w:sz="0" w:space="0" w:color="auto"/>
        <w:right w:val="none" w:sz="0" w:space="0" w:color="auto"/>
      </w:divBdr>
    </w:div>
    <w:div w:id="706872069">
      <w:bodyDiv w:val="1"/>
      <w:marLeft w:val="0"/>
      <w:marRight w:val="0"/>
      <w:marTop w:val="0"/>
      <w:marBottom w:val="0"/>
      <w:divBdr>
        <w:top w:val="none" w:sz="0" w:space="0" w:color="auto"/>
        <w:left w:val="none" w:sz="0" w:space="0" w:color="auto"/>
        <w:bottom w:val="none" w:sz="0" w:space="0" w:color="auto"/>
        <w:right w:val="none" w:sz="0" w:space="0" w:color="auto"/>
      </w:divBdr>
    </w:div>
    <w:div w:id="723022717">
      <w:bodyDiv w:val="1"/>
      <w:marLeft w:val="0"/>
      <w:marRight w:val="0"/>
      <w:marTop w:val="0"/>
      <w:marBottom w:val="0"/>
      <w:divBdr>
        <w:top w:val="none" w:sz="0" w:space="0" w:color="auto"/>
        <w:left w:val="none" w:sz="0" w:space="0" w:color="auto"/>
        <w:bottom w:val="none" w:sz="0" w:space="0" w:color="auto"/>
        <w:right w:val="none" w:sz="0" w:space="0" w:color="auto"/>
      </w:divBdr>
    </w:div>
    <w:div w:id="782847598">
      <w:bodyDiv w:val="1"/>
      <w:marLeft w:val="0"/>
      <w:marRight w:val="0"/>
      <w:marTop w:val="0"/>
      <w:marBottom w:val="0"/>
      <w:divBdr>
        <w:top w:val="none" w:sz="0" w:space="0" w:color="auto"/>
        <w:left w:val="none" w:sz="0" w:space="0" w:color="auto"/>
        <w:bottom w:val="none" w:sz="0" w:space="0" w:color="auto"/>
        <w:right w:val="none" w:sz="0" w:space="0" w:color="auto"/>
      </w:divBdr>
      <w:divsChild>
        <w:div w:id="1200581601">
          <w:marLeft w:val="0"/>
          <w:marRight w:val="0"/>
          <w:marTop w:val="0"/>
          <w:marBottom w:val="0"/>
          <w:divBdr>
            <w:top w:val="none" w:sz="0" w:space="0" w:color="auto"/>
            <w:left w:val="none" w:sz="0" w:space="0" w:color="auto"/>
            <w:bottom w:val="single" w:sz="6" w:space="0" w:color="D8D8D8"/>
            <w:right w:val="none" w:sz="0" w:space="0" w:color="auto"/>
          </w:divBdr>
        </w:div>
        <w:div w:id="978607912">
          <w:marLeft w:val="0"/>
          <w:marRight w:val="0"/>
          <w:marTop w:val="0"/>
          <w:marBottom w:val="0"/>
          <w:divBdr>
            <w:top w:val="none" w:sz="0" w:space="0" w:color="auto"/>
            <w:left w:val="none" w:sz="0" w:space="0" w:color="auto"/>
            <w:bottom w:val="single" w:sz="6" w:space="0" w:color="D8D8D8"/>
            <w:right w:val="none" w:sz="0" w:space="0" w:color="auto"/>
          </w:divBdr>
        </w:div>
      </w:divsChild>
    </w:div>
    <w:div w:id="823819230">
      <w:bodyDiv w:val="1"/>
      <w:marLeft w:val="0"/>
      <w:marRight w:val="0"/>
      <w:marTop w:val="0"/>
      <w:marBottom w:val="0"/>
      <w:divBdr>
        <w:top w:val="none" w:sz="0" w:space="0" w:color="auto"/>
        <w:left w:val="none" w:sz="0" w:space="0" w:color="auto"/>
        <w:bottom w:val="none" w:sz="0" w:space="0" w:color="auto"/>
        <w:right w:val="none" w:sz="0" w:space="0" w:color="auto"/>
      </w:divBdr>
    </w:div>
    <w:div w:id="853111114">
      <w:bodyDiv w:val="1"/>
      <w:marLeft w:val="0"/>
      <w:marRight w:val="0"/>
      <w:marTop w:val="0"/>
      <w:marBottom w:val="0"/>
      <w:divBdr>
        <w:top w:val="none" w:sz="0" w:space="0" w:color="auto"/>
        <w:left w:val="none" w:sz="0" w:space="0" w:color="auto"/>
        <w:bottom w:val="none" w:sz="0" w:space="0" w:color="auto"/>
        <w:right w:val="none" w:sz="0" w:space="0" w:color="auto"/>
      </w:divBdr>
    </w:div>
    <w:div w:id="877936054">
      <w:bodyDiv w:val="1"/>
      <w:marLeft w:val="0"/>
      <w:marRight w:val="0"/>
      <w:marTop w:val="0"/>
      <w:marBottom w:val="0"/>
      <w:divBdr>
        <w:top w:val="none" w:sz="0" w:space="0" w:color="auto"/>
        <w:left w:val="none" w:sz="0" w:space="0" w:color="auto"/>
        <w:bottom w:val="none" w:sz="0" w:space="0" w:color="auto"/>
        <w:right w:val="none" w:sz="0" w:space="0" w:color="auto"/>
      </w:divBdr>
    </w:div>
    <w:div w:id="967275506">
      <w:bodyDiv w:val="1"/>
      <w:marLeft w:val="0"/>
      <w:marRight w:val="0"/>
      <w:marTop w:val="0"/>
      <w:marBottom w:val="0"/>
      <w:divBdr>
        <w:top w:val="none" w:sz="0" w:space="0" w:color="auto"/>
        <w:left w:val="none" w:sz="0" w:space="0" w:color="auto"/>
        <w:bottom w:val="none" w:sz="0" w:space="0" w:color="auto"/>
        <w:right w:val="none" w:sz="0" w:space="0" w:color="auto"/>
      </w:divBdr>
    </w:div>
    <w:div w:id="992955462">
      <w:bodyDiv w:val="1"/>
      <w:marLeft w:val="0"/>
      <w:marRight w:val="0"/>
      <w:marTop w:val="0"/>
      <w:marBottom w:val="0"/>
      <w:divBdr>
        <w:top w:val="none" w:sz="0" w:space="0" w:color="auto"/>
        <w:left w:val="none" w:sz="0" w:space="0" w:color="auto"/>
        <w:bottom w:val="none" w:sz="0" w:space="0" w:color="auto"/>
        <w:right w:val="none" w:sz="0" w:space="0" w:color="auto"/>
      </w:divBdr>
    </w:div>
    <w:div w:id="1003821125">
      <w:bodyDiv w:val="1"/>
      <w:marLeft w:val="0"/>
      <w:marRight w:val="0"/>
      <w:marTop w:val="0"/>
      <w:marBottom w:val="0"/>
      <w:divBdr>
        <w:top w:val="none" w:sz="0" w:space="0" w:color="auto"/>
        <w:left w:val="none" w:sz="0" w:space="0" w:color="auto"/>
        <w:bottom w:val="none" w:sz="0" w:space="0" w:color="auto"/>
        <w:right w:val="none" w:sz="0" w:space="0" w:color="auto"/>
      </w:divBdr>
    </w:div>
    <w:div w:id="1053044841">
      <w:bodyDiv w:val="1"/>
      <w:marLeft w:val="0"/>
      <w:marRight w:val="0"/>
      <w:marTop w:val="0"/>
      <w:marBottom w:val="0"/>
      <w:divBdr>
        <w:top w:val="none" w:sz="0" w:space="0" w:color="auto"/>
        <w:left w:val="none" w:sz="0" w:space="0" w:color="auto"/>
        <w:bottom w:val="none" w:sz="0" w:space="0" w:color="auto"/>
        <w:right w:val="none" w:sz="0" w:space="0" w:color="auto"/>
      </w:divBdr>
    </w:div>
    <w:div w:id="1055619334">
      <w:bodyDiv w:val="1"/>
      <w:marLeft w:val="0"/>
      <w:marRight w:val="0"/>
      <w:marTop w:val="0"/>
      <w:marBottom w:val="0"/>
      <w:divBdr>
        <w:top w:val="none" w:sz="0" w:space="0" w:color="auto"/>
        <w:left w:val="none" w:sz="0" w:space="0" w:color="auto"/>
        <w:bottom w:val="none" w:sz="0" w:space="0" w:color="auto"/>
        <w:right w:val="none" w:sz="0" w:space="0" w:color="auto"/>
      </w:divBdr>
    </w:div>
    <w:div w:id="1068651385">
      <w:bodyDiv w:val="1"/>
      <w:marLeft w:val="0"/>
      <w:marRight w:val="0"/>
      <w:marTop w:val="0"/>
      <w:marBottom w:val="0"/>
      <w:divBdr>
        <w:top w:val="none" w:sz="0" w:space="0" w:color="auto"/>
        <w:left w:val="none" w:sz="0" w:space="0" w:color="auto"/>
        <w:bottom w:val="none" w:sz="0" w:space="0" w:color="auto"/>
        <w:right w:val="none" w:sz="0" w:space="0" w:color="auto"/>
      </w:divBdr>
    </w:div>
    <w:div w:id="1106387401">
      <w:bodyDiv w:val="1"/>
      <w:marLeft w:val="0"/>
      <w:marRight w:val="0"/>
      <w:marTop w:val="0"/>
      <w:marBottom w:val="0"/>
      <w:divBdr>
        <w:top w:val="none" w:sz="0" w:space="0" w:color="auto"/>
        <w:left w:val="none" w:sz="0" w:space="0" w:color="auto"/>
        <w:bottom w:val="none" w:sz="0" w:space="0" w:color="auto"/>
        <w:right w:val="none" w:sz="0" w:space="0" w:color="auto"/>
      </w:divBdr>
    </w:div>
    <w:div w:id="1109927803">
      <w:bodyDiv w:val="1"/>
      <w:marLeft w:val="0"/>
      <w:marRight w:val="0"/>
      <w:marTop w:val="0"/>
      <w:marBottom w:val="0"/>
      <w:divBdr>
        <w:top w:val="none" w:sz="0" w:space="0" w:color="auto"/>
        <w:left w:val="none" w:sz="0" w:space="0" w:color="auto"/>
        <w:bottom w:val="none" w:sz="0" w:space="0" w:color="auto"/>
        <w:right w:val="none" w:sz="0" w:space="0" w:color="auto"/>
      </w:divBdr>
    </w:div>
    <w:div w:id="1158225318">
      <w:bodyDiv w:val="1"/>
      <w:marLeft w:val="0"/>
      <w:marRight w:val="0"/>
      <w:marTop w:val="0"/>
      <w:marBottom w:val="0"/>
      <w:divBdr>
        <w:top w:val="none" w:sz="0" w:space="0" w:color="auto"/>
        <w:left w:val="none" w:sz="0" w:space="0" w:color="auto"/>
        <w:bottom w:val="none" w:sz="0" w:space="0" w:color="auto"/>
        <w:right w:val="none" w:sz="0" w:space="0" w:color="auto"/>
      </w:divBdr>
    </w:div>
    <w:div w:id="1168401143">
      <w:bodyDiv w:val="1"/>
      <w:marLeft w:val="0"/>
      <w:marRight w:val="0"/>
      <w:marTop w:val="0"/>
      <w:marBottom w:val="0"/>
      <w:divBdr>
        <w:top w:val="none" w:sz="0" w:space="0" w:color="auto"/>
        <w:left w:val="none" w:sz="0" w:space="0" w:color="auto"/>
        <w:bottom w:val="none" w:sz="0" w:space="0" w:color="auto"/>
        <w:right w:val="none" w:sz="0" w:space="0" w:color="auto"/>
      </w:divBdr>
    </w:div>
    <w:div w:id="1212882032">
      <w:bodyDiv w:val="1"/>
      <w:marLeft w:val="0"/>
      <w:marRight w:val="0"/>
      <w:marTop w:val="0"/>
      <w:marBottom w:val="0"/>
      <w:divBdr>
        <w:top w:val="none" w:sz="0" w:space="0" w:color="auto"/>
        <w:left w:val="none" w:sz="0" w:space="0" w:color="auto"/>
        <w:bottom w:val="none" w:sz="0" w:space="0" w:color="auto"/>
        <w:right w:val="none" w:sz="0" w:space="0" w:color="auto"/>
      </w:divBdr>
    </w:div>
    <w:div w:id="1251888924">
      <w:bodyDiv w:val="1"/>
      <w:marLeft w:val="0"/>
      <w:marRight w:val="0"/>
      <w:marTop w:val="0"/>
      <w:marBottom w:val="0"/>
      <w:divBdr>
        <w:top w:val="none" w:sz="0" w:space="0" w:color="auto"/>
        <w:left w:val="none" w:sz="0" w:space="0" w:color="auto"/>
        <w:bottom w:val="none" w:sz="0" w:space="0" w:color="auto"/>
        <w:right w:val="none" w:sz="0" w:space="0" w:color="auto"/>
      </w:divBdr>
    </w:div>
    <w:div w:id="1285959501">
      <w:bodyDiv w:val="1"/>
      <w:marLeft w:val="0"/>
      <w:marRight w:val="0"/>
      <w:marTop w:val="0"/>
      <w:marBottom w:val="0"/>
      <w:divBdr>
        <w:top w:val="none" w:sz="0" w:space="0" w:color="auto"/>
        <w:left w:val="none" w:sz="0" w:space="0" w:color="auto"/>
        <w:bottom w:val="none" w:sz="0" w:space="0" w:color="auto"/>
        <w:right w:val="none" w:sz="0" w:space="0" w:color="auto"/>
      </w:divBdr>
    </w:div>
    <w:div w:id="1316060919">
      <w:bodyDiv w:val="1"/>
      <w:marLeft w:val="0"/>
      <w:marRight w:val="0"/>
      <w:marTop w:val="0"/>
      <w:marBottom w:val="0"/>
      <w:divBdr>
        <w:top w:val="none" w:sz="0" w:space="0" w:color="auto"/>
        <w:left w:val="none" w:sz="0" w:space="0" w:color="auto"/>
        <w:bottom w:val="none" w:sz="0" w:space="0" w:color="auto"/>
        <w:right w:val="none" w:sz="0" w:space="0" w:color="auto"/>
      </w:divBdr>
    </w:div>
    <w:div w:id="1322931962">
      <w:bodyDiv w:val="1"/>
      <w:marLeft w:val="0"/>
      <w:marRight w:val="0"/>
      <w:marTop w:val="0"/>
      <w:marBottom w:val="0"/>
      <w:divBdr>
        <w:top w:val="none" w:sz="0" w:space="0" w:color="auto"/>
        <w:left w:val="none" w:sz="0" w:space="0" w:color="auto"/>
        <w:bottom w:val="none" w:sz="0" w:space="0" w:color="auto"/>
        <w:right w:val="none" w:sz="0" w:space="0" w:color="auto"/>
      </w:divBdr>
    </w:div>
    <w:div w:id="1341393715">
      <w:bodyDiv w:val="1"/>
      <w:marLeft w:val="0"/>
      <w:marRight w:val="0"/>
      <w:marTop w:val="0"/>
      <w:marBottom w:val="0"/>
      <w:divBdr>
        <w:top w:val="none" w:sz="0" w:space="0" w:color="auto"/>
        <w:left w:val="none" w:sz="0" w:space="0" w:color="auto"/>
        <w:bottom w:val="none" w:sz="0" w:space="0" w:color="auto"/>
        <w:right w:val="none" w:sz="0" w:space="0" w:color="auto"/>
      </w:divBdr>
    </w:div>
    <w:div w:id="1353605484">
      <w:bodyDiv w:val="1"/>
      <w:marLeft w:val="0"/>
      <w:marRight w:val="0"/>
      <w:marTop w:val="0"/>
      <w:marBottom w:val="0"/>
      <w:divBdr>
        <w:top w:val="none" w:sz="0" w:space="0" w:color="auto"/>
        <w:left w:val="none" w:sz="0" w:space="0" w:color="auto"/>
        <w:bottom w:val="none" w:sz="0" w:space="0" w:color="auto"/>
        <w:right w:val="none" w:sz="0" w:space="0" w:color="auto"/>
      </w:divBdr>
    </w:div>
    <w:div w:id="1381396057">
      <w:bodyDiv w:val="1"/>
      <w:marLeft w:val="0"/>
      <w:marRight w:val="0"/>
      <w:marTop w:val="0"/>
      <w:marBottom w:val="0"/>
      <w:divBdr>
        <w:top w:val="none" w:sz="0" w:space="0" w:color="auto"/>
        <w:left w:val="none" w:sz="0" w:space="0" w:color="auto"/>
        <w:bottom w:val="none" w:sz="0" w:space="0" w:color="auto"/>
        <w:right w:val="none" w:sz="0" w:space="0" w:color="auto"/>
      </w:divBdr>
    </w:div>
    <w:div w:id="1387073255">
      <w:bodyDiv w:val="1"/>
      <w:marLeft w:val="0"/>
      <w:marRight w:val="0"/>
      <w:marTop w:val="0"/>
      <w:marBottom w:val="0"/>
      <w:divBdr>
        <w:top w:val="none" w:sz="0" w:space="0" w:color="auto"/>
        <w:left w:val="none" w:sz="0" w:space="0" w:color="auto"/>
        <w:bottom w:val="none" w:sz="0" w:space="0" w:color="auto"/>
        <w:right w:val="none" w:sz="0" w:space="0" w:color="auto"/>
      </w:divBdr>
    </w:div>
    <w:div w:id="1397119414">
      <w:bodyDiv w:val="1"/>
      <w:marLeft w:val="0"/>
      <w:marRight w:val="0"/>
      <w:marTop w:val="0"/>
      <w:marBottom w:val="0"/>
      <w:divBdr>
        <w:top w:val="none" w:sz="0" w:space="0" w:color="auto"/>
        <w:left w:val="none" w:sz="0" w:space="0" w:color="auto"/>
        <w:bottom w:val="none" w:sz="0" w:space="0" w:color="auto"/>
        <w:right w:val="none" w:sz="0" w:space="0" w:color="auto"/>
      </w:divBdr>
    </w:div>
    <w:div w:id="1413816076">
      <w:bodyDiv w:val="1"/>
      <w:marLeft w:val="0"/>
      <w:marRight w:val="0"/>
      <w:marTop w:val="0"/>
      <w:marBottom w:val="0"/>
      <w:divBdr>
        <w:top w:val="none" w:sz="0" w:space="0" w:color="auto"/>
        <w:left w:val="none" w:sz="0" w:space="0" w:color="auto"/>
        <w:bottom w:val="none" w:sz="0" w:space="0" w:color="auto"/>
        <w:right w:val="none" w:sz="0" w:space="0" w:color="auto"/>
      </w:divBdr>
    </w:div>
    <w:div w:id="1426456817">
      <w:bodyDiv w:val="1"/>
      <w:marLeft w:val="0"/>
      <w:marRight w:val="0"/>
      <w:marTop w:val="0"/>
      <w:marBottom w:val="0"/>
      <w:divBdr>
        <w:top w:val="none" w:sz="0" w:space="0" w:color="auto"/>
        <w:left w:val="none" w:sz="0" w:space="0" w:color="auto"/>
        <w:bottom w:val="none" w:sz="0" w:space="0" w:color="auto"/>
        <w:right w:val="none" w:sz="0" w:space="0" w:color="auto"/>
      </w:divBdr>
    </w:div>
    <w:div w:id="1457144541">
      <w:bodyDiv w:val="1"/>
      <w:marLeft w:val="0"/>
      <w:marRight w:val="0"/>
      <w:marTop w:val="0"/>
      <w:marBottom w:val="0"/>
      <w:divBdr>
        <w:top w:val="none" w:sz="0" w:space="0" w:color="auto"/>
        <w:left w:val="none" w:sz="0" w:space="0" w:color="auto"/>
        <w:bottom w:val="none" w:sz="0" w:space="0" w:color="auto"/>
        <w:right w:val="none" w:sz="0" w:space="0" w:color="auto"/>
      </w:divBdr>
    </w:div>
    <w:div w:id="1473252219">
      <w:bodyDiv w:val="1"/>
      <w:marLeft w:val="0"/>
      <w:marRight w:val="0"/>
      <w:marTop w:val="0"/>
      <w:marBottom w:val="0"/>
      <w:divBdr>
        <w:top w:val="none" w:sz="0" w:space="0" w:color="auto"/>
        <w:left w:val="none" w:sz="0" w:space="0" w:color="auto"/>
        <w:bottom w:val="none" w:sz="0" w:space="0" w:color="auto"/>
        <w:right w:val="none" w:sz="0" w:space="0" w:color="auto"/>
      </w:divBdr>
    </w:div>
    <w:div w:id="1484270960">
      <w:bodyDiv w:val="1"/>
      <w:marLeft w:val="0"/>
      <w:marRight w:val="0"/>
      <w:marTop w:val="0"/>
      <w:marBottom w:val="0"/>
      <w:divBdr>
        <w:top w:val="none" w:sz="0" w:space="0" w:color="auto"/>
        <w:left w:val="none" w:sz="0" w:space="0" w:color="auto"/>
        <w:bottom w:val="none" w:sz="0" w:space="0" w:color="auto"/>
        <w:right w:val="none" w:sz="0" w:space="0" w:color="auto"/>
      </w:divBdr>
    </w:div>
    <w:div w:id="1536387864">
      <w:bodyDiv w:val="1"/>
      <w:marLeft w:val="0"/>
      <w:marRight w:val="0"/>
      <w:marTop w:val="0"/>
      <w:marBottom w:val="0"/>
      <w:divBdr>
        <w:top w:val="none" w:sz="0" w:space="0" w:color="auto"/>
        <w:left w:val="none" w:sz="0" w:space="0" w:color="auto"/>
        <w:bottom w:val="none" w:sz="0" w:space="0" w:color="auto"/>
        <w:right w:val="none" w:sz="0" w:space="0" w:color="auto"/>
      </w:divBdr>
    </w:div>
    <w:div w:id="1541089014">
      <w:bodyDiv w:val="1"/>
      <w:marLeft w:val="0"/>
      <w:marRight w:val="0"/>
      <w:marTop w:val="0"/>
      <w:marBottom w:val="0"/>
      <w:divBdr>
        <w:top w:val="none" w:sz="0" w:space="0" w:color="auto"/>
        <w:left w:val="none" w:sz="0" w:space="0" w:color="auto"/>
        <w:bottom w:val="none" w:sz="0" w:space="0" w:color="auto"/>
        <w:right w:val="none" w:sz="0" w:space="0" w:color="auto"/>
      </w:divBdr>
    </w:div>
    <w:div w:id="1556158585">
      <w:bodyDiv w:val="1"/>
      <w:marLeft w:val="0"/>
      <w:marRight w:val="0"/>
      <w:marTop w:val="0"/>
      <w:marBottom w:val="0"/>
      <w:divBdr>
        <w:top w:val="none" w:sz="0" w:space="0" w:color="auto"/>
        <w:left w:val="none" w:sz="0" w:space="0" w:color="auto"/>
        <w:bottom w:val="none" w:sz="0" w:space="0" w:color="auto"/>
        <w:right w:val="none" w:sz="0" w:space="0" w:color="auto"/>
      </w:divBdr>
    </w:div>
    <w:div w:id="1559709813">
      <w:bodyDiv w:val="1"/>
      <w:marLeft w:val="0"/>
      <w:marRight w:val="0"/>
      <w:marTop w:val="0"/>
      <w:marBottom w:val="0"/>
      <w:divBdr>
        <w:top w:val="none" w:sz="0" w:space="0" w:color="auto"/>
        <w:left w:val="none" w:sz="0" w:space="0" w:color="auto"/>
        <w:bottom w:val="none" w:sz="0" w:space="0" w:color="auto"/>
        <w:right w:val="none" w:sz="0" w:space="0" w:color="auto"/>
      </w:divBdr>
    </w:div>
    <w:div w:id="1575159803">
      <w:bodyDiv w:val="1"/>
      <w:marLeft w:val="0"/>
      <w:marRight w:val="0"/>
      <w:marTop w:val="0"/>
      <w:marBottom w:val="0"/>
      <w:divBdr>
        <w:top w:val="none" w:sz="0" w:space="0" w:color="auto"/>
        <w:left w:val="none" w:sz="0" w:space="0" w:color="auto"/>
        <w:bottom w:val="none" w:sz="0" w:space="0" w:color="auto"/>
        <w:right w:val="none" w:sz="0" w:space="0" w:color="auto"/>
      </w:divBdr>
    </w:div>
    <w:div w:id="1581140745">
      <w:bodyDiv w:val="1"/>
      <w:marLeft w:val="0"/>
      <w:marRight w:val="0"/>
      <w:marTop w:val="0"/>
      <w:marBottom w:val="0"/>
      <w:divBdr>
        <w:top w:val="none" w:sz="0" w:space="0" w:color="auto"/>
        <w:left w:val="none" w:sz="0" w:space="0" w:color="auto"/>
        <w:bottom w:val="none" w:sz="0" w:space="0" w:color="auto"/>
        <w:right w:val="none" w:sz="0" w:space="0" w:color="auto"/>
      </w:divBdr>
    </w:div>
    <w:div w:id="1615942546">
      <w:bodyDiv w:val="1"/>
      <w:marLeft w:val="0"/>
      <w:marRight w:val="0"/>
      <w:marTop w:val="0"/>
      <w:marBottom w:val="0"/>
      <w:divBdr>
        <w:top w:val="none" w:sz="0" w:space="0" w:color="auto"/>
        <w:left w:val="none" w:sz="0" w:space="0" w:color="auto"/>
        <w:bottom w:val="none" w:sz="0" w:space="0" w:color="auto"/>
        <w:right w:val="none" w:sz="0" w:space="0" w:color="auto"/>
      </w:divBdr>
    </w:div>
    <w:div w:id="1636793480">
      <w:bodyDiv w:val="1"/>
      <w:marLeft w:val="0"/>
      <w:marRight w:val="0"/>
      <w:marTop w:val="0"/>
      <w:marBottom w:val="0"/>
      <w:divBdr>
        <w:top w:val="none" w:sz="0" w:space="0" w:color="auto"/>
        <w:left w:val="none" w:sz="0" w:space="0" w:color="auto"/>
        <w:bottom w:val="none" w:sz="0" w:space="0" w:color="auto"/>
        <w:right w:val="none" w:sz="0" w:space="0" w:color="auto"/>
      </w:divBdr>
    </w:div>
    <w:div w:id="1636985143">
      <w:bodyDiv w:val="1"/>
      <w:marLeft w:val="0"/>
      <w:marRight w:val="0"/>
      <w:marTop w:val="0"/>
      <w:marBottom w:val="0"/>
      <w:divBdr>
        <w:top w:val="none" w:sz="0" w:space="0" w:color="auto"/>
        <w:left w:val="none" w:sz="0" w:space="0" w:color="auto"/>
        <w:bottom w:val="none" w:sz="0" w:space="0" w:color="auto"/>
        <w:right w:val="none" w:sz="0" w:space="0" w:color="auto"/>
      </w:divBdr>
    </w:div>
    <w:div w:id="1725061860">
      <w:bodyDiv w:val="1"/>
      <w:marLeft w:val="0"/>
      <w:marRight w:val="0"/>
      <w:marTop w:val="0"/>
      <w:marBottom w:val="0"/>
      <w:divBdr>
        <w:top w:val="none" w:sz="0" w:space="0" w:color="auto"/>
        <w:left w:val="none" w:sz="0" w:space="0" w:color="auto"/>
        <w:bottom w:val="none" w:sz="0" w:space="0" w:color="auto"/>
        <w:right w:val="none" w:sz="0" w:space="0" w:color="auto"/>
      </w:divBdr>
    </w:div>
    <w:div w:id="1815442042">
      <w:bodyDiv w:val="1"/>
      <w:marLeft w:val="0"/>
      <w:marRight w:val="0"/>
      <w:marTop w:val="0"/>
      <w:marBottom w:val="0"/>
      <w:divBdr>
        <w:top w:val="none" w:sz="0" w:space="0" w:color="auto"/>
        <w:left w:val="none" w:sz="0" w:space="0" w:color="auto"/>
        <w:bottom w:val="none" w:sz="0" w:space="0" w:color="auto"/>
        <w:right w:val="none" w:sz="0" w:space="0" w:color="auto"/>
      </w:divBdr>
    </w:div>
    <w:div w:id="1817599080">
      <w:bodyDiv w:val="1"/>
      <w:marLeft w:val="0"/>
      <w:marRight w:val="0"/>
      <w:marTop w:val="0"/>
      <w:marBottom w:val="0"/>
      <w:divBdr>
        <w:top w:val="none" w:sz="0" w:space="0" w:color="auto"/>
        <w:left w:val="none" w:sz="0" w:space="0" w:color="auto"/>
        <w:bottom w:val="none" w:sz="0" w:space="0" w:color="auto"/>
        <w:right w:val="none" w:sz="0" w:space="0" w:color="auto"/>
      </w:divBdr>
    </w:div>
    <w:div w:id="1829975026">
      <w:bodyDiv w:val="1"/>
      <w:marLeft w:val="0"/>
      <w:marRight w:val="0"/>
      <w:marTop w:val="0"/>
      <w:marBottom w:val="0"/>
      <w:divBdr>
        <w:top w:val="none" w:sz="0" w:space="0" w:color="auto"/>
        <w:left w:val="none" w:sz="0" w:space="0" w:color="auto"/>
        <w:bottom w:val="none" w:sz="0" w:space="0" w:color="auto"/>
        <w:right w:val="none" w:sz="0" w:space="0" w:color="auto"/>
      </w:divBdr>
    </w:div>
    <w:div w:id="1834645331">
      <w:bodyDiv w:val="1"/>
      <w:marLeft w:val="0"/>
      <w:marRight w:val="0"/>
      <w:marTop w:val="0"/>
      <w:marBottom w:val="0"/>
      <w:divBdr>
        <w:top w:val="none" w:sz="0" w:space="0" w:color="auto"/>
        <w:left w:val="none" w:sz="0" w:space="0" w:color="auto"/>
        <w:bottom w:val="none" w:sz="0" w:space="0" w:color="auto"/>
        <w:right w:val="none" w:sz="0" w:space="0" w:color="auto"/>
      </w:divBdr>
    </w:div>
    <w:div w:id="1847092108">
      <w:bodyDiv w:val="1"/>
      <w:marLeft w:val="0"/>
      <w:marRight w:val="0"/>
      <w:marTop w:val="0"/>
      <w:marBottom w:val="0"/>
      <w:divBdr>
        <w:top w:val="none" w:sz="0" w:space="0" w:color="auto"/>
        <w:left w:val="none" w:sz="0" w:space="0" w:color="auto"/>
        <w:bottom w:val="none" w:sz="0" w:space="0" w:color="auto"/>
        <w:right w:val="none" w:sz="0" w:space="0" w:color="auto"/>
      </w:divBdr>
    </w:div>
    <w:div w:id="1847789909">
      <w:bodyDiv w:val="1"/>
      <w:marLeft w:val="0"/>
      <w:marRight w:val="0"/>
      <w:marTop w:val="0"/>
      <w:marBottom w:val="0"/>
      <w:divBdr>
        <w:top w:val="none" w:sz="0" w:space="0" w:color="auto"/>
        <w:left w:val="none" w:sz="0" w:space="0" w:color="auto"/>
        <w:bottom w:val="none" w:sz="0" w:space="0" w:color="auto"/>
        <w:right w:val="none" w:sz="0" w:space="0" w:color="auto"/>
      </w:divBdr>
    </w:div>
    <w:div w:id="1863131573">
      <w:bodyDiv w:val="1"/>
      <w:marLeft w:val="0"/>
      <w:marRight w:val="0"/>
      <w:marTop w:val="0"/>
      <w:marBottom w:val="0"/>
      <w:divBdr>
        <w:top w:val="none" w:sz="0" w:space="0" w:color="auto"/>
        <w:left w:val="none" w:sz="0" w:space="0" w:color="auto"/>
        <w:bottom w:val="none" w:sz="0" w:space="0" w:color="auto"/>
        <w:right w:val="none" w:sz="0" w:space="0" w:color="auto"/>
      </w:divBdr>
    </w:div>
    <w:div w:id="1901287790">
      <w:bodyDiv w:val="1"/>
      <w:marLeft w:val="0"/>
      <w:marRight w:val="0"/>
      <w:marTop w:val="0"/>
      <w:marBottom w:val="0"/>
      <w:divBdr>
        <w:top w:val="none" w:sz="0" w:space="0" w:color="auto"/>
        <w:left w:val="none" w:sz="0" w:space="0" w:color="auto"/>
        <w:bottom w:val="none" w:sz="0" w:space="0" w:color="auto"/>
        <w:right w:val="none" w:sz="0" w:space="0" w:color="auto"/>
      </w:divBdr>
    </w:div>
    <w:div w:id="1920551481">
      <w:bodyDiv w:val="1"/>
      <w:marLeft w:val="0"/>
      <w:marRight w:val="0"/>
      <w:marTop w:val="0"/>
      <w:marBottom w:val="0"/>
      <w:divBdr>
        <w:top w:val="none" w:sz="0" w:space="0" w:color="auto"/>
        <w:left w:val="none" w:sz="0" w:space="0" w:color="auto"/>
        <w:bottom w:val="none" w:sz="0" w:space="0" w:color="auto"/>
        <w:right w:val="none" w:sz="0" w:space="0" w:color="auto"/>
      </w:divBdr>
    </w:div>
    <w:div w:id="1930120909">
      <w:bodyDiv w:val="1"/>
      <w:marLeft w:val="0"/>
      <w:marRight w:val="0"/>
      <w:marTop w:val="0"/>
      <w:marBottom w:val="0"/>
      <w:divBdr>
        <w:top w:val="none" w:sz="0" w:space="0" w:color="auto"/>
        <w:left w:val="none" w:sz="0" w:space="0" w:color="auto"/>
        <w:bottom w:val="none" w:sz="0" w:space="0" w:color="auto"/>
        <w:right w:val="none" w:sz="0" w:space="0" w:color="auto"/>
      </w:divBdr>
    </w:div>
    <w:div w:id="2015641821">
      <w:bodyDiv w:val="1"/>
      <w:marLeft w:val="0"/>
      <w:marRight w:val="0"/>
      <w:marTop w:val="0"/>
      <w:marBottom w:val="0"/>
      <w:divBdr>
        <w:top w:val="none" w:sz="0" w:space="0" w:color="auto"/>
        <w:left w:val="none" w:sz="0" w:space="0" w:color="auto"/>
        <w:bottom w:val="none" w:sz="0" w:space="0" w:color="auto"/>
        <w:right w:val="none" w:sz="0" w:space="0" w:color="auto"/>
      </w:divBdr>
    </w:div>
    <w:div w:id="2069525788">
      <w:bodyDiv w:val="1"/>
      <w:marLeft w:val="0"/>
      <w:marRight w:val="0"/>
      <w:marTop w:val="0"/>
      <w:marBottom w:val="0"/>
      <w:divBdr>
        <w:top w:val="none" w:sz="0" w:space="0" w:color="auto"/>
        <w:left w:val="none" w:sz="0" w:space="0" w:color="auto"/>
        <w:bottom w:val="none" w:sz="0" w:space="0" w:color="auto"/>
        <w:right w:val="none" w:sz="0" w:space="0" w:color="auto"/>
      </w:divBdr>
    </w:div>
    <w:div w:id="214566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chart" Target="charts/chart4.xml"/><Relationship Id="rId3" Type="http://schemas.openxmlformats.org/officeDocument/2006/relationships/numbering" Target="numbering.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chart" Target="charts/chart2.xm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28" Type="http://schemas.openxmlformats.org/officeDocument/2006/relationships/image" Target="media/image13.pn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hyperlink" Target="mailto:klinta.krauze@fm.gov.lv"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14.png"/><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tapportals.mk.gov.lv/legal_acts/4b64813a-3464-47ab-b910-33b059e7f284" TargetMode="External"/><Relationship Id="rId2" Type="http://schemas.openxmlformats.org/officeDocument/2006/relationships/hyperlink" Target="https://tapportals.mk.gov.lv/legal_acts/efd239f3-9bcd-4b5c-ae73-60750ace3d9d" TargetMode="External"/><Relationship Id="rId1" Type="http://schemas.openxmlformats.org/officeDocument/2006/relationships/hyperlink" Target="https://tapportals.mk.gov.lv/legal_acts/efd239f3-9bcd-4b5c-ae73-60750ace3d9d" TargetMode="External"/><Relationship Id="rId4" Type="http://schemas.openxmlformats.org/officeDocument/2006/relationships/hyperlink" Target="https://economy-finance.ec.europa.eu/publications/debt-sustainability-monitor-2023_en?prefLang=lv"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4\tadulas\4.1.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4\tadulas\4.1.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9"/>
            <c:invertIfNegative val="0"/>
            <c:bubble3D val="0"/>
            <c:spPr>
              <a:solidFill>
                <a:schemeClr val="tx2">
                  <a:lumMod val="60000"/>
                  <a:lumOff val="40000"/>
                </a:schemeClr>
              </a:solidFill>
              <a:ln>
                <a:solidFill>
                  <a:schemeClr val="tx2">
                    <a:lumMod val="60000"/>
                    <a:lumOff val="40000"/>
                  </a:schemeClr>
                </a:solidFill>
              </a:ln>
              <a:effectLst/>
            </c:spPr>
            <c:extLst>
              <c:ext xmlns:c16="http://schemas.microsoft.com/office/drawing/2014/chart" uri="{C3380CC4-5D6E-409C-BE32-E72D297353CC}">
                <c16:uniqueId val="{00000001-0880-47EE-812E-CC887F6BEA03}"/>
              </c:ext>
            </c:extLst>
          </c:dPt>
          <c:dPt>
            <c:idx val="10"/>
            <c:invertIfNegative val="0"/>
            <c:bubble3D val="0"/>
            <c:spPr>
              <a:solidFill>
                <a:schemeClr val="tx2">
                  <a:lumMod val="60000"/>
                  <a:lumOff val="40000"/>
                </a:schemeClr>
              </a:solidFill>
              <a:ln>
                <a:solidFill>
                  <a:schemeClr val="tx2">
                    <a:lumMod val="60000"/>
                    <a:lumOff val="40000"/>
                  </a:schemeClr>
                </a:solidFill>
              </a:ln>
              <a:effectLst/>
            </c:spPr>
            <c:extLst>
              <c:ext xmlns:c16="http://schemas.microsoft.com/office/drawing/2014/chart" uri="{C3380CC4-5D6E-409C-BE32-E72D297353CC}">
                <c16:uniqueId val="{00000003-0880-47EE-812E-CC887F6BEA03}"/>
              </c:ext>
            </c:extLst>
          </c:dPt>
          <c:dPt>
            <c:idx val="11"/>
            <c:invertIfNegative val="0"/>
            <c:bubble3D val="0"/>
            <c:spPr>
              <a:solidFill>
                <a:schemeClr val="tx2">
                  <a:lumMod val="60000"/>
                  <a:lumOff val="40000"/>
                </a:schemeClr>
              </a:solidFill>
              <a:ln>
                <a:solidFill>
                  <a:schemeClr val="tx2">
                    <a:lumMod val="60000"/>
                    <a:lumOff val="40000"/>
                  </a:schemeClr>
                </a:solidFill>
              </a:ln>
              <a:effectLst/>
            </c:spPr>
            <c:extLst>
              <c:ext xmlns:c16="http://schemas.microsoft.com/office/drawing/2014/chart" uri="{C3380CC4-5D6E-409C-BE32-E72D297353CC}">
                <c16:uniqueId val="{00000005-0880-47EE-812E-CC887F6BEA03}"/>
              </c:ext>
            </c:extLst>
          </c:dPt>
          <c:dPt>
            <c:idx val="12"/>
            <c:invertIfNegative val="0"/>
            <c:bubble3D val="0"/>
            <c:spPr>
              <a:solidFill>
                <a:schemeClr val="tx2">
                  <a:lumMod val="60000"/>
                  <a:lumOff val="40000"/>
                </a:schemeClr>
              </a:solidFill>
              <a:ln>
                <a:solidFill>
                  <a:schemeClr val="tx2">
                    <a:lumMod val="60000"/>
                    <a:lumOff val="40000"/>
                  </a:schemeClr>
                </a:solidFill>
              </a:ln>
              <a:effectLst/>
            </c:spPr>
            <c:extLst>
              <c:ext xmlns:c16="http://schemas.microsoft.com/office/drawing/2014/chart" uri="{C3380CC4-5D6E-409C-BE32-E72D297353CC}">
                <c16:uniqueId val="{00000007-0880-47EE-812E-CC887F6BEA03}"/>
              </c:ext>
            </c:extLst>
          </c:dPt>
          <c:dLbls>
            <c:dLbl>
              <c:idx val="0"/>
              <c:delete val="1"/>
              <c:extLst>
                <c:ext xmlns:c15="http://schemas.microsoft.com/office/drawing/2012/chart" uri="{CE6537A1-D6FC-4f65-9D91-7224C49458BB}"/>
                <c:ext xmlns:c16="http://schemas.microsoft.com/office/drawing/2014/chart" uri="{C3380CC4-5D6E-409C-BE32-E72D297353CC}">
                  <c16:uniqueId val="{00000008-0880-47EE-812E-CC887F6BEA03}"/>
                </c:ext>
              </c:extLst>
            </c:dLbl>
            <c:dLbl>
              <c:idx val="1"/>
              <c:delete val="1"/>
              <c:extLst>
                <c:ext xmlns:c15="http://schemas.microsoft.com/office/drawing/2012/chart" uri="{CE6537A1-D6FC-4f65-9D91-7224C49458BB}"/>
                <c:ext xmlns:c16="http://schemas.microsoft.com/office/drawing/2014/chart" uri="{C3380CC4-5D6E-409C-BE32-E72D297353CC}">
                  <c16:uniqueId val="{00000009-0880-47EE-812E-CC887F6BEA03}"/>
                </c:ext>
              </c:extLst>
            </c:dLbl>
            <c:dLbl>
              <c:idx val="2"/>
              <c:delete val="1"/>
              <c:extLst>
                <c:ext xmlns:c15="http://schemas.microsoft.com/office/drawing/2012/chart" uri="{CE6537A1-D6FC-4f65-9D91-7224C49458BB}"/>
                <c:ext xmlns:c16="http://schemas.microsoft.com/office/drawing/2014/chart" uri="{C3380CC4-5D6E-409C-BE32-E72D297353CC}">
                  <c16:uniqueId val="{0000000A-0880-47EE-812E-CC887F6BEA03}"/>
                </c:ext>
              </c:extLst>
            </c:dLbl>
            <c:dLbl>
              <c:idx val="3"/>
              <c:delete val="1"/>
              <c:extLst>
                <c:ext xmlns:c15="http://schemas.microsoft.com/office/drawing/2012/chart" uri="{CE6537A1-D6FC-4f65-9D91-7224C49458BB}"/>
                <c:ext xmlns:c16="http://schemas.microsoft.com/office/drawing/2014/chart" uri="{C3380CC4-5D6E-409C-BE32-E72D297353CC}">
                  <c16:uniqueId val="{0000000B-0880-47EE-812E-CC887F6BEA03}"/>
                </c:ext>
              </c:extLst>
            </c:dLbl>
            <c:dLbl>
              <c:idx val="4"/>
              <c:delete val="1"/>
              <c:extLst>
                <c:ext xmlns:c15="http://schemas.microsoft.com/office/drawing/2012/chart" uri="{CE6537A1-D6FC-4f65-9D91-7224C49458BB}"/>
                <c:ext xmlns:c16="http://schemas.microsoft.com/office/drawing/2014/chart" uri="{C3380CC4-5D6E-409C-BE32-E72D297353CC}">
                  <c16:uniqueId val="{0000000C-0880-47EE-812E-CC887F6BEA03}"/>
                </c:ext>
              </c:extLst>
            </c:dLbl>
            <c:dLbl>
              <c:idx val="5"/>
              <c:delete val="1"/>
              <c:extLst>
                <c:ext xmlns:c15="http://schemas.microsoft.com/office/drawing/2012/chart" uri="{CE6537A1-D6FC-4f65-9D91-7224C49458BB}"/>
                <c:ext xmlns:c16="http://schemas.microsoft.com/office/drawing/2014/chart" uri="{C3380CC4-5D6E-409C-BE32-E72D297353CC}">
                  <c16:uniqueId val="{0000000D-0880-47EE-812E-CC887F6BEA03}"/>
                </c:ext>
              </c:extLst>
            </c:dLbl>
            <c:dLbl>
              <c:idx val="6"/>
              <c:delete val="1"/>
              <c:extLst>
                <c:ext xmlns:c15="http://schemas.microsoft.com/office/drawing/2012/chart" uri="{CE6537A1-D6FC-4f65-9D91-7224C49458BB}"/>
                <c:ext xmlns:c16="http://schemas.microsoft.com/office/drawing/2014/chart" uri="{C3380CC4-5D6E-409C-BE32-E72D297353CC}">
                  <c16:uniqueId val="{0000000E-0880-47EE-812E-CC887F6BEA03}"/>
                </c:ext>
              </c:extLst>
            </c:dLbl>
            <c:dLbl>
              <c:idx val="7"/>
              <c:delete val="1"/>
              <c:extLst>
                <c:ext xmlns:c15="http://schemas.microsoft.com/office/drawing/2012/chart" uri="{CE6537A1-D6FC-4f65-9D91-7224C49458BB}"/>
                <c:ext xmlns:c16="http://schemas.microsoft.com/office/drawing/2014/chart" uri="{C3380CC4-5D6E-409C-BE32-E72D297353CC}">
                  <c16:uniqueId val="{0000000F-0880-47EE-812E-CC887F6BEA03}"/>
                </c:ext>
              </c:extLst>
            </c:dLbl>
            <c:dLbl>
              <c:idx val="8"/>
              <c:delete val="1"/>
              <c:extLst>
                <c:ext xmlns:c15="http://schemas.microsoft.com/office/drawing/2012/chart" uri="{CE6537A1-D6FC-4f65-9D91-7224C49458BB}"/>
                <c:ext xmlns:c16="http://schemas.microsoft.com/office/drawing/2014/chart" uri="{C3380CC4-5D6E-409C-BE32-E72D297353CC}">
                  <c16:uniqueId val="{00000010-0880-47EE-812E-CC887F6BEA0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Deficīts!$B$3:$N$3</c:f>
              <c:numCache>
                <c:formatCode>General</c:formatCode>
                <c:ptCount val="13"/>
                <c:pt idx="0">
                  <c:v>2016</c:v>
                </c:pt>
                <c:pt idx="1">
                  <c:v>2017</c:v>
                </c:pt>
                <c:pt idx="2">
                  <c:v>2018</c:v>
                </c:pt>
                <c:pt idx="3">
                  <c:v>2019</c:v>
                </c:pt>
                <c:pt idx="4">
                  <c:v>2020</c:v>
                </c:pt>
                <c:pt idx="5">
                  <c:v>2021</c:v>
                </c:pt>
                <c:pt idx="6">
                  <c:v>2022</c:v>
                </c:pt>
                <c:pt idx="7">
                  <c:v>2023</c:v>
                </c:pt>
                <c:pt idx="8">
                  <c:v>2024</c:v>
                </c:pt>
                <c:pt idx="9">
                  <c:v>2025</c:v>
                </c:pt>
                <c:pt idx="10">
                  <c:v>2026</c:v>
                </c:pt>
                <c:pt idx="11">
                  <c:v>2027</c:v>
                </c:pt>
                <c:pt idx="12">
                  <c:v>2028</c:v>
                </c:pt>
              </c:numCache>
            </c:numRef>
          </c:cat>
          <c:val>
            <c:numRef>
              <c:f>Deficīts!$B$4:$N$4</c:f>
              <c:numCache>
                <c:formatCode>0.00</c:formatCode>
                <c:ptCount val="13"/>
                <c:pt idx="0">
                  <c:v>-2.3028244528203515E-2</c:v>
                </c:pt>
                <c:pt idx="1">
                  <c:v>-0.29372319417543424</c:v>
                </c:pt>
                <c:pt idx="2">
                  <c:v>-0.74376331826828468</c:v>
                </c:pt>
                <c:pt idx="3">
                  <c:v>-0.48689989461063626</c:v>
                </c:pt>
                <c:pt idx="4">
                  <c:v>-4.3790750276773451</c:v>
                </c:pt>
                <c:pt idx="5">
                  <c:v>-7.1849573387271102</c:v>
                </c:pt>
                <c:pt idx="6">
                  <c:v>-4.634040107203159</c:v>
                </c:pt>
                <c:pt idx="7">
                  <c:v>-2.2134756144018475</c:v>
                </c:pt>
                <c:pt idx="8">
                  <c:v>-2.5668719582556525</c:v>
                </c:pt>
                <c:pt idx="9">
                  <c:v>-2.99061850467195</c:v>
                </c:pt>
                <c:pt idx="10">
                  <c:v>-2.7492157247598428</c:v>
                </c:pt>
                <c:pt idx="11">
                  <c:v>-2.5318840570870416</c:v>
                </c:pt>
                <c:pt idx="12">
                  <c:v>-2.2278404870355151</c:v>
                </c:pt>
              </c:numCache>
            </c:numRef>
          </c:val>
          <c:extLst>
            <c:ext xmlns:c16="http://schemas.microsoft.com/office/drawing/2014/chart" uri="{C3380CC4-5D6E-409C-BE32-E72D297353CC}">
              <c16:uniqueId val="{00000011-0880-47EE-812E-CC887F6BEA03}"/>
            </c:ext>
          </c:extLst>
        </c:ser>
        <c:dLbls>
          <c:showLegendKey val="0"/>
          <c:showVal val="0"/>
          <c:showCatName val="0"/>
          <c:showSerName val="0"/>
          <c:showPercent val="0"/>
          <c:showBubbleSize val="0"/>
        </c:dLbls>
        <c:gapWidth val="181"/>
        <c:overlap val="-66"/>
        <c:axId val="59609184"/>
        <c:axId val="59606304"/>
      </c:barChart>
      <c:catAx>
        <c:axId val="59609184"/>
        <c:scaling>
          <c:orientation val="minMax"/>
        </c:scaling>
        <c:delete val="0"/>
        <c:axPos val="b"/>
        <c:numFmt formatCode="General" sourceLinked="1"/>
        <c:majorTickMark val="none"/>
        <c:minorTickMark val="none"/>
        <c:tickLblPos val="high"/>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9606304"/>
        <c:crosses val="autoZero"/>
        <c:auto val="1"/>
        <c:lblAlgn val="ctr"/>
        <c:lblOffset val="100"/>
        <c:noMultiLvlLbl val="0"/>
      </c:catAx>
      <c:valAx>
        <c:axId val="59606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sz="1000">
                    <a:solidFill>
                      <a:schemeClr val="tx1"/>
                    </a:solidFill>
                  </a:rPr>
                  <a:t>% no IKP</a:t>
                </a:r>
              </a:p>
            </c:rich>
          </c:tx>
          <c:layout>
            <c:manualLayout>
              <c:xMode val="edge"/>
              <c:yMode val="edge"/>
              <c:x val="2.2222222222222223E-2"/>
              <c:y val="0.4198417906095071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96091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rgbClr val="FF0000"/>
              </a:solidFill>
              <a:round/>
            </a:ln>
            <a:effectLst/>
          </c:spPr>
          <c:marker>
            <c:symbol val="circle"/>
            <c:size val="5"/>
            <c:spPr>
              <a:solidFill>
                <a:srgbClr val="FF0000"/>
              </a:solidFill>
              <a:ln w="9525">
                <a:solidFill>
                  <a:srgbClr val="FF0000"/>
                </a:solidFill>
              </a:ln>
              <a:effectLst/>
            </c:spPr>
          </c:marker>
          <c:dLbls>
            <c:dLbl>
              <c:idx val="1"/>
              <c:layout>
                <c:manualLayout>
                  <c:x val="-5.5923665791776052E-2"/>
                  <c:y val="4.40161125692621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BD1-4D7A-9A92-5D150FEF0471}"/>
                </c:ext>
              </c:extLst>
            </c:dLbl>
            <c:dLbl>
              <c:idx val="3"/>
              <c:layout>
                <c:manualLayout>
                  <c:x val="-5.0368110236220474E-2"/>
                  <c:y val="3.0127223680373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BD1-4D7A-9A92-5D150FEF0471}"/>
                </c:ext>
              </c:extLst>
            </c:dLbl>
            <c:dLbl>
              <c:idx val="4"/>
              <c:tx>
                <c:rich>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53A225DD-1CDE-44A5-B5CE-5C562455A971}" type="VALUE">
                      <a:rPr lang="en-US" sz="1000">
                        <a:solidFill>
                          <a:sysClr val="windowText" lastClr="000000"/>
                        </a:solidFill>
                      </a:rPr>
                      <a:pPr>
                        <a:defRPr sz="1000" b="1">
                          <a:latin typeface="Times New Roman" panose="02020603050405020304" pitchFamily="18" charset="0"/>
                          <a:cs typeface="Times New Roman" panose="02020603050405020304" pitchFamily="18" charset="0"/>
                        </a:defRPr>
                      </a:pPr>
                      <a:t>[VALUE]</a:t>
                    </a:fld>
                    <a:endParaRPr lang="lv-LV"/>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429-43DE-8EC8-DEECADC5F5C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'[Book1]Sheet1 (2)'!$D$2:$R$2</c:f>
              <c:numCache>
                <c:formatCode>General</c:formatCode>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numCache>
            </c:numRef>
          </c:cat>
          <c:val>
            <c:numRef>
              <c:f>'[Book1]Sheet1 (2)'!$D$4:$R$4</c:f>
              <c:numCache>
                <c:formatCode>General</c:formatCode>
                <c:ptCount val="15"/>
                <c:pt idx="0">
                  <c:v>-1.3620000000000001</c:v>
                </c:pt>
                <c:pt idx="1">
                  <c:v>-1.3420000000000001</c:v>
                </c:pt>
                <c:pt idx="2">
                  <c:v>-1.3220000000000001</c:v>
                </c:pt>
                <c:pt idx="3">
                  <c:v>-1.302</c:v>
                </c:pt>
                <c:pt idx="4">
                  <c:v>-1.282</c:v>
                </c:pt>
              </c:numCache>
            </c:numRef>
          </c:val>
          <c:smooth val="0"/>
          <c:extLst>
            <c:ext xmlns:c16="http://schemas.microsoft.com/office/drawing/2014/chart" uri="{C3380CC4-5D6E-409C-BE32-E72D297353CC}">
              <c16:uniqueId val="{00000002-3BD1-4D7A-9A92-5D150FEF0471}"/>
            </c:ext>
          </c:extLst>
        </c:ser>
        <c:ser>
          <c:idx val="1"/>
          <c:order val="1"/>
          <c:spPr>
            <a:ln w="28575" cap="rnd">
              <a:solidFill>
                <a:srgbClr val="0070C0"/>
              </a:solidFill>
              <a:round/>
            </a:ln>
            <a:effectLst/>
          </c:spPr>
          <c:marker>
            <c:symbol val="circle"/>
            <c:size val="5"/>
            <c:spPr>
              <a:solidFill>
                <a:srgbClr val="0070C0"/>
              </a:solidFill>
              <a:ln w="9525">
                <a:solidFill>
                  <a:srgbClr val="0070C0"/>
                </a:solidFill>
              </a:ln>
              <a:effectLst/>
            </c:spPr>
          </c:marker>
          <c:dLbls>
            <c:dLbl>
              <c:idx val="4"/>
              <c:delete val="1"/>
              <c:extLst>
                <c:ext xmlns:c15="http://schemas.microsoft.com/office/drawing/2012/chart" uri="{CE6537A1-D6FC-4f65-9D91-7224C49458BB}"/>
                <c:ext xmlns:c16="http://schemas.microsoft.com/office/drawing/2014/chart" uri="{C3380CC4-5D6E-409C-BE32-E72D297353CC}">
                  <c16:uniqueId val="{00000000-7429-43DE-8EC8-DEECADC5F5C8}"/>
                </c:ext>
              </c:extLst>
            </c:dLbl>
            <c:dLbl>
              <c:idx val="5"/>
              <c:delete val="1"/>
              <c:extLst>
                <c:ext xmlns:c15="http://schemas.microsoft.com/office/drawing/2012/chart" uri="{CE6537A1-D6FC-4f65-9D91-7224C49458BB}"/>
                <c:ext xmlns:c16="http://schemas.microsoft.com/office/drawing/2014/chart" uri="{C3380CC4-5D6E-409C-BE32-E72D297353CC}">
                  <c16:uniqueId val="{00000003-3BD1-4D7A-9A92-5D150FEF0471}"/>
                </c:ext>
              </c:extLst>
            </c:dLbl>
            <c:dLbl>
              <c:idx val="6"/>
              <c:delete val="1"/>
              <c:extLst>
                <c:ext xmlns:c15="http://schemas.microsoft.com/office/drawing/2012/chart" uri="{CE6537A1-D6FC-4f65-9D91-7224C49458BB}"/>
                <c:ext xmlns:c16="http://schemas.microsoft.com/office/drawing/2014/chart" uri="{C3380CC4-5D6E-409C-BE32-E72D297353CC}">
                  <c16:uniqueId val="{00000004-3BD1-4D7A-9A92-5D150FEF0471}"/>
                </c:ext>
              </c:extLst>
            </c:dLbl>
            <c:dLbl>
              <c:idx val="7"/>
              <c:delete val="1"/>
              <c:extLst>
                <c:ext xmlns:c15="http://schemas.microsoft.com/office/drawing/2012/chart" uri="{CE6537A1-D6FC-4f65-9D91-7224C49458BB}"/>
                <c:ext xmlns:c16="http://schemas.microsoft.com/office/drawing/2014/chart" uri="{C3380CC4-5D6E-409C-BE32-E72D297353CC}">
                  <c16:uniqueId val="{00000005-3BD1-4D7A-9A92-5D150FEF0471}"/>
                </c:ext>
              </c:extLst>
            </c:dLbl>
            <c:dLbl>
              <c:idx val="8"/>
              <c:delete val="1"/>
              <c:extLst>
                <c:ext xmlns:c15="http://schemas.microsoft.com/office/drawing/2012/chart" uri="{CE6537A1-D6FC-4f65-9D91-7224C49458BB}"/>
                <c:ext xmlns:c16="http://schemas.microsoft.com/office/drawing/2014/chart" uri="{C3380CC4-5D6E-409C-BE32-E72D297353CC}">
                  <c16:uniqueId val="{00000006-3BD1-4D7A-9A92-5D150FEF0471}"/>
                </c:ext>
              </c:extLst>
            </c:dLbl>
            <c:dLbl>
              <c:idx val="9"/>
              <c:delete val="1"/>
              <c:extLst>
                <c:ext xmlns:c15="http://schemas.microsoft.com/office/drawing/2012/chart" uri="{CE6537A1-D6FC-4f65-9D91-7224C49458BB}"/>
                <c:ext xmlns:c16="http://schemas.microsoft.com/office/drawing/2014/chart" uri="{C3380CC4-5D6E-409C-BE32-E72D297353CC}">
                  <c16:uniqueId val="{00000007-3BD1-4D7A-9A92-5D150FEF0471}"/>
                </c:ext>
              </c:extLst>
            </c:dLbl>
            <c:dLbl>
              <c:idx val="10"/>
              <c:delete val="1"/>
              <c:extLst>
                <c:ext xmlns:c15="http://schemas.microsoft.com/office/drawing/2012/chart" uri="{CE6537A1-D6FC-4f65-9D91-7224C49458BB}"/>
                <c:ext xmlns:c16="http://schemas.microsoft.com/office/drawing/2014/chart" uri="{C3380CC4-5D6E-409C-BE32-E72D297353CC}">
                  <c16:uniqueId val="{00000008-3BD1-4D7A-9A92-5D150FEF0471}"/>
                </c:ext>
              </c:extLst>
            </c:dLbl>
            <c:dLbl>
              <c:idx val="11"/>
              <c:delete val="1"/>
              <c:extLst>
                <c:ext xmlns:c15="http://schemas.microsoft.com/office/drawing/2012/chart" uri="{CE6537A1-D6FC-4f65-9D91-7224C49458BB}"/>
                <c:ext xmlns:c16="http://schemas.microsoft.com/office/drawing/2014/chart" uri="{C3380CC4-5D6E-409C-BE32-E72D297353CC}">
                  <c16:uniqueId val="{00000009-3BD1-4D7A-9A92-5D150FEF0471}"/>
                </c:ext>
              </c:extLst>
            </c:dLbl>
            <c:dLbl>
              <c:idx val="12"/>
              <c:delete val="1"/>
              <c:extLst>
                <c:ext xmlns:c15="http://schemas.microsoft.com/office/drawing/2012/chart" uri="{CE6537A1-D6FC-4f65-9D91-7224C49458BB}"/>
                <c:ext xmlns:c16="http://schemas.microsoft.com/office/drawing/2014/chart" uri="{C3380CC4-5D6E-409C-BE32-E72D297353CC}">
                  <c16:uniqueId val="{0000000A-3BD1-4D7A-9A92-5D150FEF0471}"/>
                </c:ext>
              </c:extLst>
            </c:dLbl>
            <c:dLbl>
              <c:idx val="13"/>
              <c:delete val="1"/>
              <c:extLst>
                <c:ext xmlns:c15="http://schemas.microsoft.com/office/drawing/2012/chart" uri="{CE6537A1-D6FC-4f65-9D91-7224C49458BB}"/>
                <c:ext xmlns:c16="http://schemas.microsoft.com/office/drawing/2014/chart" uri="{C3380CC4-5D6E-409C-BE32-E72D297353CC}">
                  <c16:uniqueId val="{0000000B-3BD1-4D7A-9A92-5D150FEF0471}"/>
                </c:ext>
              </c:extLst>
            </c:dLbl>
            <c:dLbl>
              <c:idx val="14"/>
              <c:delete val="1"/>
              <c:extLst>
                <c:ext xmlns:c15="http://schemas.microsoft.com/office/drawing/2012/chart" uri="{CE6537A1-D6FC-4f65-9D91-7224C49458BB}"/>
                <c:ext xmlns:c16="http://schemas.microsoft.com/office/drawing/2014/chart" uri="{C3380CC4-5D6E-409C-BE32-E72D297353CC}">
                  <c16:uniqueId val="{0000000C-3BD1-4D7A-9A92-5D150FEF047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'[Book1]Sheet1 (2)'!$D$3:$R$3</c:f>
              <c:numCache>
                <c:formatCode>General</c:formatCode>
                <c:ptCount val="15"/>
                <c:pt idx="4">
                  <c:v>-1.282</c:v>
                </c:pt>
                <c:pt idx="5">
                  <c:v>-1.282</c:v>
                </c:pt>
                <c:pt idx="6">
                  <c:v>-1.282</c:v>
                </c:pt>
                <c:pt idx="7">
                  <c:v>-1.282</c:v>
                </c:pt>
                <c:pt idx="8">
                  <c:v>-1.282</c:v>
                </c:pt>
                <c:pt idx="9">
                  <c:v>-1.282</c:v>
                </c:pt>
                <c:pt idx="10">
                  <c:v>-1.282</c:v>
                </c:pt>
                <c:pt idx="11">
                  <c:v>-1.282</c:v>
                </c:pt>
                <c:pt idx="12">
                  <c:v>-1.282</c:v>
                </c:pt>
                <c:pt idx="13">
                  <c:v>-1.282</c:v>
                </c:pt>
                <c:pt idx="14">
                  <c:v>-1.282</c:v>
                </c:pt>
              </c:numCache>
            </c:numRef>
          </c:val>
          <c:smooth val="0"/>
          <c:extLst>
            <c:ext xmlns:c16="http://schemas.microsoft.com/office/drawing/2014/chart" uri="{C3380CC4-5D6E-409C-BE32-E72D297353CC}">
              <c16:uniqueId val="{0000000D-3BD1-4D7A-9A92-5D150FEF0471}"/>
            </c:ext>
          </c:extLst>
        </c:ser>
        <c:dLbls>
          <c:dLblPos val="t"/>
          <c:showLegendKey val="0"/>
          <c:showVal val="1"/>
          <c:showCatName val="0"/>
          <c:showSerName val="0"/>
          <c:showPercent val="0"/>
          <c:showBubbleSize val="0"/>
        </c:dLbls>
        <c:marker val="1"/>
        <c:smooth val="0"/>
        <c:axId val="715208144"/>
        <c:axId val="715213904"/>
      </c:lineChart>
      <c:catAx>
        <c:axId val="7152081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715213904"/>
        <c:crosses val="autoZero"/>
        <c:auto val="1"/>
        <c:lblAlgn val="ctr"/>
        <c:lblOffset val="100"/>
        <c:noMultiLvlLbl val="0"/>
      </c:catAx>
      <c:valAx>
        <c:axId val="715213904"/>
        <c:scaling>
          <c:orientation val="minMax"/>
          <c:max val="-0.8"/>
          <c:min val="-1.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solidFill>
                      <a:sysClr val="windowText" lastClr="000000"/>
                    </a:solidFill>
                    <a:latin typeface="Times New Roman" panose="02020603050405020304" pitchFamily="18" charset="0"/>
                    <a:cs typeface="Times New Roman" panose="02020603050405020304" pitchFamily="18" charset="0"/>
                  </a:rPr>
                  <a:t>%</a:t>
                </a:r>
                <a:r>
                  <a:rPr lang="lv-LV" baseline="0">
                    <a:solidFill>
                      <a:sysClr val="windowText" lastClr="000000"/>
                    </a:solidFill>
                    <a:latin typeface="Times New Roman" panose="02020603050405020304" pitchFamily="18" charset="0"/>
                    <a:cs typeface="Times New Roman" panose="02020603050405020304" pitchFamily="18" charset="0"/>
                  </a:rPr>
                  <a:t> no IKP</a:t>
                </a:r>
                <a:endParaRPr lang="lv-LV">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7152081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rgbClr val="FF0000"/>
              </a:solidFill>
              <a:round/>
            </a:ln>
            <a:effectLst/>
          </c:spPr>
          <c:marker>
            <c:symbol val="circle"/>
            <c:size val="5"/>
            <c:spPr>
              <a:solidFill>
                <a:srgbClr val="FF0000"/>
              </a:solidFill>
              <a:ln w="9525">
                <a:solidFill>
                  <a:srgbClr val="FF0000"/>
                </a:solidFill>
              </a:ln>
              <a:effectLst/>
            </c:spPr>
          </c:marker>
          <c:dLbls>
            <c:dLbl>
              <c:idx val="1"/>
              <c:layout>
                <c:manualLayout>
                  <c:x val="-5.5923665791776052E-2"/>
                  <c:y val="4.40161125692621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9C-4E9B-BD1B-5C01EC6F8129}"/>
                </c:ext>
              </c:extLst>
            </c:dLbl>
            <c:dLbl>
              <c:idx val="3"/>
              <c:layout>
                <c:manualLayout>
                  <c:x val="-5.0368110236220474E-2"/>
                  <c:y val="3.01272236803732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9C-4E9B-BD1B-5C01EC6F8129}"/>
                </c:ext>
              </c:extLst>
            </c:dLbl>
            <c:dLbl>
              <c:idx val="4"/>
              <c:delete val="1"/>
              <c:extLst>
                <c:ext xmlns:c15="http://schemas.microsoft.com/office/drawing/2012/chart" uri="{CE6537A1-D6FC-4f65-9D91-7224C49458BB}"/>
                <c:ext xmlns:c16="http://schemas.microsoft.com/office/drawing/2014/chart" uri="{C3380CC4-5D6E-409C-BE32-E72D297353CC}">
                  <c16:uniqueId val="{00000000-8131-40BD-9084-E9967CDF3E2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'[Book1]Sheet1 (3)'!$D$2:$R$2</c:f>
              <c:numCache>
                <c:formatCode>General</c:formatCode>
                <c:ptCount val="15"/>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numCache>
            </c:numRef>
          </c:cat>
          <c:val>
            <c:numRef>
              <c:f>'[Book1]Sheet1 (3)'!$D$4:$R$4</c:f>
              <c:numCache>
                <c:formatCode>General</c:formatCode>
                <c:ptCount val="15"/>
                <c:pt idx="0">
                  <c:v>-0.78900000000000003</c:v>
                </c:pt>
                <c:pt idx="1">
                  <c:v>-1.3420000000000001</c:v>
                </c:pt>
                <c:pt idx="2">
                  <c:v>-1.3220000000000001</c:v>
                </c:pt>
                <c:pt idx="3">
                  <c:v>-1.302</c:v>
                </c:pt>
                <c:pt idx="4">
                  <c:v>-1.262</c:v>
                </c:pt>
              </c:numCache>
            </c:numRef>
          </c:val>
          <c:smooth val="0"/>
          <c:extLst>
            <c:ext xmlns:c16="http://schemas.microsoft.com/office/drawing/2014/chart" uri="{C3380CC4-5D6E-409C-BE32-E72D297353CC}">
              <c16:uniqueId val="{00000002-7A9C-4E9B-BD1B-5C01EC6F8129}"/>
            </c:ext>
          </c:extLst>
        </c:ser>
        <c:ser>
          <c:idx val="1"/>
          <c:order val="1"/>
          <c:spPr>
            <a:ln w="28575" cap="rnd">
              <a:solidFill>
                <a:srgbClr val="0070C0"/>
              </a:solidFill>
              <a:round/>
            </a:ln>
            <a:effectLst/>
          </c:spPr>
          <c:marker>
            <c:symbol val="circle"/>
            <c:size val="5"/>
            <c:spPr>
              <a:solidFill>
                <a:srgbClr val="0070C0"/>
              </a:solidFill>
              <a:ln w="9525">
                <a:solidFill>
                  <a:srgbClr val="0070C0"/>
                </a:solidFill>
              </a:ln>
              <a:effectLst/>
            </c:spPr>
          </c:marker>
          <c:dLbls>
            <c:dLbl>
              <c:idx val="4"/>
              <c:tx>
                <c:rich>
                  <a:bodyPr/>
                  <a:lstStyle/>
                  <a:p>
                    <a:r>
                      <a:rPr lang="en-US"/>
                      <a:t>-1,257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131-40BD-9084-E9967CDF3E2A}"/>
                </c:ext>
              </c:extLst>
            </c:dLbl>
            <c:dLbl>
              <c:idx val="5"/>
              <c:delete val="1"/>
              <c:extLst>
                <c:ext xmlns:c15="http://schemas.microsoft.com/office/drawing/2012/chart" uri="{CE6537A1-D6FC-4f65-9D91-7224C49458BB}"/>
                <c:ext xmlns:c16="http://schemas.microsoft.com/office/drawing/2014/chart" uri="{C3380CC4-5D6E-409C-BE32-E72D297353CC}">
                  <c16:uniqueId val="{00000003-7A9C-4E9B-BD1B-5C01EC6F8129}"/>
                </c:ext>
              </c:extLst>
            </c:dLbl>
            <c:dLbl>
              <c:idx val="6"/>
              <c:delete val="1"/>
              <c:extLst>
                <c:ext xmlns:c15="http://schemas.microsoft.com/office/drawing/2012/chart" uri="{CE6537A1-D6FC-4f65-9D91-7224C49458BB}"/>
                <c:ext xmlns:c16="http://schemas.microsoft.com/office/drawing/2014/chart" uri="{C3380CC4-5D6E-409C-BE32-E72D297353CC}">
                  <c16:uniqueId val="{00000004-7A9C-4E9B-BD1B-5C01EC6F8129}"/>
                </c:ext>
              </c:extLst>
            </c:dLbl>
            <c:dLbl>
              <c:idx val="7"/>
              <c:delete val="1"/>
              <c:extLst>
                <c:ext xmlns:c15="http://schemas.microsoft.com/office/drawing/2012/chart" uri="{CE6537A1-D6FC-4f65-9D91-7224C49458BB}"/>
                <c:ext xmlns:c16="http://schemas.microsoft.com/office/drawing/2014/chart" uri="{C3380CC4-5D6E-409C-BE32-E72D297353CC}">
                  <c16:uniqueId val="{00000005-7A9C-4E9B-BD1B-5C01EC6F8129}"/>
                </c:ext>
              </c:extLst>
            </c:dLbl>
            <c:dLbl>
              <c:idx val="8"/>
              <c:delete val="1"/>
              <c:extLst>
                <c:ext xmlns:c15="http://schemas.microsoft.com/office/drawing/2012/chart" uri="{CE6537A1-D6FC-4f65-9D91-7224C49458BB}"/>
                <c:ext xmlns:c16="http://schemas.microsoft.com/office/drawing/2014/chart" uri="{C3380CC4-5D6E-409C-BE32-E72D297353CC}">
                  <c16:uniqueId val="{00000006-7A9C-4E9B-BD1B-5C01EC6F8129}"/>
                </c:ext>
              </c:extLst>
            </c:dLbl>
            <c:dLbl>
              <c:idx val="9"/>
              <c:delete val="1"/>
              <c:extLst>
                <c:ext xmlns:c15="http://schemas.microsoft.com/office/drawing/2012/chart" uri="{CE6537A1-D6FC-4f65-9D91-7224C49458BB}"/>
                <c:ext xmlns:c16="http://schemas.microsoft.com/office/drawing/2014/chart" uri="{C3380CC4-5D6E-409C-BE32-E72D297353CC}">
                  <c16:uniqueId val="{00000007-7A9C-4E9B-BD1B-5C01EC6F8129}"/>
                </c:ext>
              </c:extLst>
            </c:dLbl>
            <c:dLbl>
              <c:idx val="10"/>
              <c:delete val="1"/>
              <c:extLst>
                <c:ext xmlns:c15="http://schemas.microsoft.com/office/drawing/2012/chart" uri="{CE6537A1-D6FC-4f65-9D91-7224C49458BB}"/>
                <c:ext xmlns:c16="http://schemas.microsoft.com/office/drawing/2014/chart" uri="{C3380CC4-5D6E-409C-BE32-E72D297353CC}">
                  <c16:uniqueId val="{00000008-7A9C-4E9B-BD1B-5C01EC6F8129}"/>
                </c:ext>
              </c:extLst>
            </c:dLbl>
            <c:dLbl>
              <c:idx val="11"/>
              <c:delete val="1"/>
              <c:extLst>
                <c:ext xmlns:c15="http://schemas.microsoft.com/office/drawing/2012/chart" uri="{CE6537A1-D6FC-4f65-9D91-7224C49458BB}"/>
                <c:ext xmlns:c16="http://schemas.microsoft.com/office/drawing/2014/chart" uri="{C3380CC4-5D6E-409C-BE32-E72D297353CC}">
                  <c16:uniqueId val="{00000009-7A9C-4E9B-BD1B-5C01EC6F8129}"/>
                </c:ext>
              </c:extLst>
            </c:dLbl>
            <c:dLbl>
              <c:idx val="12"/>
              <c:delete val="1"/>
              <c:extLst>
                <c:ext xmlns:c15="http://schemas.microsoft.com/office/drawing/2012/chart" uri="{CE6537A1-D6FC-4f65-9D91-7224C49458BB}"/>
                <c:ext xmlns:c16="http://schemas.microsoft.com/office/drawing/2014/chart" uri="{C3380CC4-5D6E-409C-BE32-E72D297353CC}">
                  <c16:uniqueId val="{0000000A-7A9C-4E9B-BD1B-5C01EC6F8129}"/>
                </c:ext>
              </c:extLst>
            </c:dLbl>
            <c:dLbl>
              <c:idx val="13"/>
              <c:delete val="1"/>
              <c:extLst>
                <c:ext xmlns:c15="http://schemas.microsoft.com/office/drawing/2012/chart" uri="{CE6537A1-D6FC-4f65-9D91-7224C49458BB}"/>
                <c:ext xmlns:c16="http://schemas.microsoft.com/office/drawing/2014/chart" uri="{C3380CC4-5D6E-409C-BE32-E72D297353CC}">
                  <c16:uniqueId val="{0000000B-7A9C-4E9B-BD1B-5C01EC6F8129}"/>
                </c:ext>
              </c:extLst>
            </c:dLbl>
            <c:dLbl>
              <c:idx val="14"/>
              <c:delete val="1"/>
              <c:extLst>
                <c:ext xmlns:c15="http://schemas.microsoft.com/office/drawing/2012/chart" uri="{CE6537A1-D6FC-4f65-9D91-7224C49458BB}"/>
                <c:ext xmlns:c16="http://schemas.microsoft.com/office/drawing/2014/chart" uri="{C3380CC4-5D6E-409C-BE32-E72D297353CC}">
                  <c16:uniqueId val="{0000000C-7A9C-4E9B-BD1B-5C01EC6F812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'[Book1]Sheet1 (3)'!$D$3:$R$3</c:f>
              <c:numCache>
                <c:formatCode>General</c:formatCode>
                <c:ptCount val="15"/>
                <c:pt idx="4">
                  <c:v>-1.262</c:v>
                </c:pt>
                <c:pt idx="5">
                  <c:v>-1.262</c:v>
                </c:pt>
                <c:pt idx="6">
                  <c:v>-1.262</c:v>
                </c:pt>
                <c:pt idx="7">
                  <c:v>-1.262</c:v>
                </c:pt>
                <c:pt idx="8">
                  <c:v>-1.262</c:v>
                </c:pt>
                <c:pt idx="9">
                  <c:v>-1.262</c:v>
                </c:pt>
                <c:pt idx="10">
                  <c:v>-1.262</c:v>
                </c:pt>
                <c:pt idx="11">
                  <c:v>-1.262</c:v>
                </c:pt>
                <c:pt idx="12">
                  <c:v>-1.262</c:v>
                </c:pt>
                <c:pt idx="13">
                  <c:v>-1.262</c:v>
                </c:pt>
                <c:pt idx="14">
                  <c:v>-1.262</c:v>
                </c:pt>
              </c:numCache>
            </c:numRef>
          </c:val>
          <c:smooth val="0"/>
          <c:extLst>
            <c:ext xmlns:c16="http://schemas.microsoft.com/office/drawing/2014/chart" uri="{C3380CC4-5D6E-409C-BE32-E72D297353CC}">
              <c16:uniqueId val="{0000000D-7A9C-4E9B-BD1B-5C01EC6F8129}"/>
            </c:ext>
          </c:extLst>
        </c:ser>
        <c:dLbls>
          <c:dLblPos val="t"/>
          <c:showLegendKey val="0"/>
          <c:showVal val="1"/>
          <c:showCatName val="0"/>
          <c:showSerName val="0"/>
          <c:showPercent val="0"/>
          <c:showBubbleSize val="0"/>
        </c:dLbls>
        <c:marker val="1"/>
        <c:smooth val="0"/>
        <c:axId val="715208144"/>
        <c:axId val="715213904"/>
      </c:lineChart>
      <c:catAx>
        <c:axId val="7152081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715213904"/>
        <c:crosses val="autoZero"/>
        <c:auto val="1"/>
        <c:lblAlgn val="ctr"/>
        <c:lblOffset val="100"/>
        <c:noMultiLvlLbl val="0"/>
      </c:catAx>
      <c:valAx>
        <c:axId val="715213904"/>
        <c:scaling>
          <c:orientation val="minMax"/>
          <c:max val="-0.60000000000000009"/>
          <c:min val="-1.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b="1">
                    <a:solidFill>
                      <a:sysClr val="windowText" lastClr="000000"/>
                    </a:solidFill>
                    <a:latin typeface="Times New Roman" panose="02020603050405020304" pitchFamily="18" charset="0"/>
                    <a:cs typeface="Times New Roman" panose="02020603050405020304" pitchFamily="18" charset="0"/>
                  </a:rPr>
                  <a:t>%</a:t>
                </a:r>
                <a:r>
                  <a:rPr lang="lv-LV" b="1" baseline="0">
                    <a:solidFill>
                      <a:sysClr val="windowText" lastClr="000000"/>
                    </a:solidFill>
                    <a:latin typeface="Times New Roman" panose="02020603050405020304" pitchFamily="18" charset="0"/>
                    <a:cs typeface="Times New Roman" panose="02020603050405020304" pitchFamily="18" charset="0"/>
                  </a:rPr>
                  <a:t> no IKP</a:t>
                </a:r>
                <a:endParaRPr lang="lv-LV"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7152081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'S:\FPD\Tautsaimniecibas_un_fiskalas_parvaldibas_nodala\_Fiskālie riski\Aktuālā informācija pa gadiem\2021\misc\[calc_FRD.xlsx]lidzdaliba'!$A$6</c:f>
              <c:strCache>
                <c:ptCount val="1"/>
                <c:pt idx="0">
                  <c:v>Publiskās komercsabiedrības</c:v>
                </c:pt>
              </c:strCache>
            </c:strRef>
          </c:tx>
          <c:spPr>
            <a:ln w="28575" cap="rnd">
              <a:solidFill>
                <a:schemeClr val="accent1"/>
              </a:solidFill>
              <a:round/>
            </a:ln>
            <a:effectLst/>
          </c:spPr>
          <c:marker>
            <c:symbol val="diamond"/>
            <c:size val="7"/>
            <c:spPr>
              <a:solidFill>
                <a:schemeClr val="accent1"/>
              </a:solidFill>
              <a:ln w="9525">
                <a:solidFill>
                  <a:schemeClr val="accent1"/>
                </a:solidFill>
              </a:ln>
              <a:effectLst/>
            </c:spPr>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[1]lidzdaliba!$B$5:$H$5</c:f>
              <c:numCache>
                <c:formatCode>General</c:formatCode>
                <c:ptCount val="7"/>
                <c:pt idx="0">
                  <c:v>2016</c:v>
                </c:pt>
                <c:pt idx="1">
                  <c:v>2017</c:v>
                </c:pt>
                <c:pt idx="2">
                  <c:v>2018</c:v>
                </c:pt>
                <c:pt idx="3">
                  <c:v>2019</c:v>
                </c:pt>
                <c:pt idx="4">
                  <c:v>2020</c:v>
                </c:pt>
                <c:pt idx="5">
                  <c:v>2021</c:v>
                </c:pt>
                <c:pt idx="6">
                  <c:v>2022</c:v>
                </c:pt>
              </c:numCache>
            </c:numRef>
          </c:cat>
          <c:val>
            <c:numRef>
              <c:f>[1]lidzdaliba!$B$6:$H$6</c:f>
              <c:numCache>
                <c:formatCode>General</c:formatCode>
                <c:ptCount val="7"/>
                <c:pt idx="0">
                  <c:v>0.17050000000000001</c:v>
                </c:pt>
                <c:pt idx="1">
                  <c:v>0.1893</c:v>
                </c:pt>
                <c:pt idx="2">
                  <c:v>0.16389999999999999</c:v>
                </c:pt>
                <c:pt idx="3">
                  <c:v>0.15459999999999999</c:v>
                </c:pt>
                <c:pt idx="4">
                  <c:v>0.16389999999999999</c:v>
                </c:pt>
                <c:pt idx="5">
                  <c:v>0.15279999999999999</c:v>
                </c:pt>
                <c:pt idx="6">
                  <c:v>0.1328</c:v>
                </c:pt>
              </c:numCache>
            </c:numRef>
          </c:val>
          <c:smooth val="0"/>
          <c:extLst>
            <c:ext xmlns:c16="http://schemas.microsoft.com/office/drawing/2014/chart" uri="{C3380CC4-5D6E-409C-BE32-E72D297353CC}">
              <c16:uniqueId val="{00000000-1697-429D-BDA3-2A0D0049F9B2}"/>
            </c:ext>
          </c:extLst>
        </c:ser>
        <c:dLbls>
          <c:showLegendKey val="0"/>
          <c:showVal val="0"/>
          <c:showCatName val="0"/>
          <c:showSerName val="0"/>
          <c:showPercent val="0"/>
          <c:showBubbleSize val="0"/>
        </c:dLbls>
        <c:marker val="1"/>
        <c:smooth val="0"/>
        <c:axId val="108466639"/>
        <c:axId val="108458735"/>
      </c:lineChart>
      <c:catAx>
        <c:axId val="1084666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08458735"/>
        <c:crosses val="autoZero"/>
        <c:auto val="1"/>
        <c:lblAlgn val="ctr"/>
        <c:lblOffset val="100"/>
        <c:noMultiLvlLbl val="0"/>
      </c:catAx>
      <c:valAx>
        <c:axId val="108458735"/>
        <c:scaling>
          <c:orientation val="minMax"/>
          <c:min val="0.1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b="1">
                    <a:solidFill>
                      <a:sysClr val="windowText" lastClr="000000"/>
                    </a:solidFill>
                    <a:latin typeface="Times New Roman" panose="02020603050405020304" pitchFamily="18" charset="0"/>
                    <a:cs typeface="Times New Roman" panose="02020603050405020304" pitchFamily="18" charset="0"/>
                  </a:rPr>
                  <a:t>%</a:t>
                </a:r>
                <a:r>
                  <a:rPr lang="lv-LV" b="1" baseline="0">
                    <a:solidFill>
                      <a:sysClr val="windowText" lastClr="000000"/>
                    </a:solidFill>
                    <a:latin typeface="Times New Roman" panose="02020603050405020304" pitchFamily="18" charset="0"/>
                    <a:cs typeface="Times New Roman" panose="02020603050405020304" pitchFamily="18" charset="0"/>
                  </a:rPr>
                  <a:t> no IKP</a:t>
                </a:r>
                <a:endParaRPr lang="lv-LV"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0846663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20"/>
            <c:invertIfNegative val="0"/>
            <c:bubble3D val="0"/>
            <c:spPr>
              <a:solidFill>
                <a:srgbClr val="FF0000"/>
              </a:solidFill>
              <a:ln>
                <a:noFill/>
              </a:ln>
              <a:effectLst/>
            </c:spPr>
            <c:extLst>
              <c:ext xmlns:c16="http://schemas.microsoft.com/office/drawing/2014/chart" uri="{C3380CC4-5D6E-409C-BE32-E72D297353CC}">
                <c16:uniqueId val="{00000001-19F9-444F-A510-A12A022A8C40}"/>
              </c:ext>
            </c:extLst>
          </c:dPt>
          <c:cat>
            <c:strRef>
              <c:f>'4.2.1.'!$E$1:$E$27</c:f>
              <c:strCache>
                <c:ptCount val="27"/>
                <c:pt idx="0">
                  <c:v>Somija</c:v>
                </c:pt>
                <c:pt idx="1">
                  <c:v>Itālija</c:v>
                </c:pt>
                <c:pt idx="2">
                  <c:v>Vācija</c:v>
                </c:pt>
                <c:pt idx="3">
                  <c:v>Austrija</c:v>
                </c:pt>
                <c:pt idx="4">
                  <c:v>Francija</c:v>
                </c:pt>
                <c:pt idx="5">
                  <c:v>Ungārija</c:v>
                </c:pt>
                <c:pt idx="6">
                  <c:v>Grieķija</c:v>
                </c:pt>
                <c:pt idx="7">
                  <c:v>Zviedrija</c:v>
                </c:pt>
                <c:pt idx="8">
                  <c:v>Dānija</c:v>
                </c:pt>
                <c:pt idx="9">
                  <c:v>Spānija</c:v>
                </c:pt>
                <c:pt idx="10">
                  <c:v>Luksemburga</c:v>
                </c:pt>
                <c:pt idx="11">
                  <c:v>Malta</c:v>
                </c:pt>
                <c:pt idx="12">
                  <c:v>Beļģija</c:v>
                </c:pt>
                <c:pt idx="13">
                  <c:v>Polija</c:v>
                </c:pt>
                <c:pt idx="14">
                  <c:v>Slovēnija</c:v>
                </c:pt>
                <c:pt idx="15">
                  <c:v>Portugāle</c:v>
                </c:pt>
                <c:pt idx="16">
                  <c:v>Rumānija</c:v>
                </c:pt>
                <c:pt idx="17">
                  <c:v>Nīderlande</c:v>
                </c:pt>
                <c:pt idx="18">
                  <c:v>Kipra</c:v>
                </c:pt>
                <c:pt idx="19">
                  <c:v>Horvātija</c:v>
                </c:pt>
                <c:pt idx="20">
                  <c:v>Latvija</c:v>
                </c:pt>
                <c:pt idx="21">
                  <c:v>Igaunija</c:v>
                </c:pt>
                <c:pt idx="22">
                  <c:v>Lietuva</c:v>
                </c:pt>
                <c:pt idx="23">
                  <c:v>Slovākija</c:v>
                </c:pt>
                <c:pt idx="24">
                  <c:v>Čehija</c:v>
                </c:pt>
                <c:pt idx="25">
                  <c:v>Bulgārija</c:v>
                </c:pt>
                <c:pt idx="26">
                  <c:v>Īrija</c:v>
                </c:pt>
              </c:strCache>
            </c:strRef>
          </c:cat>
          <c:val>
            <c:numRef>
              <c:f>'4.2.1.'!$F$1:$F$27</c:f>
              <c:numCache>
                <c:formatCode>#\ ##0.##########</c:formatCode>
                <c:ptCount val="27"/>
                <c:pt idx="0">
                  <c:v>19.09</c:v>
                </c:pt>
                <c:pt idx="1">
                  <c:v>16.25</c:v>
                </c:pt>
                <c:pt idx="2">
                  <c:v>15.51</c:v>
                </c:pt>
                <c:pt idx="3">
                  <c:v>15.17</c:v>
                </c:pt>
                <c:pt idx="4">
                  <c:v>13.51</c:v>
                </c:pt>
                <c:pt idx="5">
                  <c:v>12.44</c:v>
                </c:pt>
                <c:pt idx="6">
                  <c:v>12.19</c:v>
                </c:pt>
                <c:pt idx="7">
                  <c:v>11.56</c:v>
                </c:pt>
                <c:pt idx="8">
                  <c:v>10.45</c:v>
                </c:pt>
                <c:pt idx="9">
                  <c:v>10.09</c:v>
                </c:pt>
                <c:pt idx="10">
                  <c:v>8.43</c:v>
                </c:pt>
                <c:pt idx="11">
                  <c:v>6.74</c:v>
                </c:pt>
                <c:pt idx="12">
                  <c:v>5.51</c:v>
                </c:pt>
                <c:pt idx="13">
                  <c:v>5.19</c:v>
                </c:pt>
                <c:pt idx="14">
                  <c:v>5.09</c:v>
                </c:pt>
                <c:pt idx="15">
                  <c:v>4.47</c:v>
                </c:pt>
                <c:pt idx="16">
                  <c:v>4.37</c:v>
                </c:pt>
                <c:pt idx="17">
                  <c:v>3.46</c:v>
                </c:pt>
                <c:pt idx="18">
                  <c:v>3.34</c:v>
                </c:pt>
                <c:pt idx="19">
                  <c:v>2.31</c:v>
                </c:pt>
                <c:pt idx="20">
                  <c:v>1.57</c:v>
                </c:pt>
                <c:pt idx="21">
                  <c:v>1.39</c:v>
                </c:pt>
                <c:pt idx="22">
                  <c:v>1.21</c:v>
                </c:pt>
                <c:pt idx="23">
                  <c:v>0.94</c:v>
                </c:pt>
                <c:pt idx="24">
                  <c:v>0.77</c:v>
                </c:pt>
                <c:pt idx="25">
                  <c:v>0.36</c:v>
                </c:pt>
                <c:pt idx="26">
                  <c:v>0.21</c:v>
                </c:pt>
              </c:numCache>
            </c:numRef>
          </c:val>
          <c:extLst>
            <c:ext xmlns:c16="http://schemas.microsoft.com/office/drawing/2014/chart" uri="{C3380CC4-5D6E-409C-BE32-E72D297353CC}">
              <c16:uniqueId val="{00000002-19F9-444F-A510-A12A022A8C40}"/>
            </c:ext>
          </c:extLst>
        </c:ser>
        <c:dLbls>
          <c:showLegendKey val="0"/>
          <c:showVal val="0"/>
          <c:showCatName val="0"/>
          <c:showSerName val="0"/>
          <c:showPercent val="0"/>
          <c:showBubbleSize val="0"/>
        </c:dLbls>
        <c:gapWidth val="219"/>
        <c:overlap val="-27"/>
        <c:axId val="1098604000"/>
        <c:axId val="769279999"/>
      </c:barChart>
      <c:catAx>
        <c:axId val="109860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69279999"/>
        <c:crossesAt val="0"/>
        <c:auto val="1"/>
        <c:lblAlgn val="ctr"/>
        <c:lblOffset val="100"/>
        <c:noMultiLvlLbl val="0"/>
      </c:catAx>
      <c:valAx>
        <c:axId val="769279999"/>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 no IKP</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98604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38B3E7-0B63-4A44-B5C9-D45240A86DBF}">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310</TotalTime>
  <Pages>184</Pages>
  <Words>245133</Words>
  <Characters>139727</Characters>
  <Application>Microsoft Office Word</Application>
  <DocSecurity>0</DocSecurity>
  <Lines>1164</Lines>
  <Paragraphs>768</Paragraphs>
  <ScaleCrop>false</ScaleCrop>
  <HeadingPairs>
    <vt:vector size="2" baseType="variant">
      <vt:variant>
        <vt:lpstr>Title</vt:lpstr>
      </vt:variant>
      <vt:variant>
        <vt:i4>1</vt:i4>
      </vt:variant>
    </vt:vector>
  </HeadingPairs>
  <TitlesOfParts>
    <vt:vector size="1" baseType="lpstr">
      <vt:lpstr>Latvijas Fiskāli strukturālais plāns 2025.-2028. gadam</vt:lpstr>
    </vt:vector>
  </TitlesOfParts>
  <Company>Finanšu ministrija</Company>
  <LinksUpToDate>false</LinksUpToDate>
  <CharactersWithSpaces>384092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Fiskāli strukturālais plāns 2025.-2028. gadam</dc:title>
  <dc:subject>Rīga</dc:subject>
  <dc:creator>klinta.krauze@fm.gov.lv</dc:creator>
  <cp:keywords/>
  <dc:description>25681938
klinta.krauze@fm.gov.lv</dc:description>
  <cp:lastModifiedBy>Finanšu ministrija</cp:lastModifiedBy>
  <cp:revision>53</cp:revision>
  <cp:lastPrinted>2024-10-09T10:00:00Z</cp:lastPrinted>
  <dcterms:created xsi:type="dcterms:W3CDTF">2024-10-10T10:40:00Z</dcterms:created>
  <dcterms:modified xsi:type="dcterms:W3CDTF">2024-10-11T09:41:00Z</dcterms:modified>
</cp:coreProperties>
</file>