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2.xml" ContentType="application/vnd.openxmlformats-officedocument.themeOverride+xml"/>
  <Override PartName="/word/drawings/drawing1.xml" ContentType="application/vnd.openxmlformats-officedocument.drawingml.chartshapes+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44550F" w14:textId="2FFFC904" w:rsidR="00E90570" w:rsidRPr="00E90570" w:rsidRDefault="00E90570" w:rsidP="00E90570">
      <w:pPr>
        <w:jc w:val="center"/>
        <w:rPr>
          <w:bCs/>
          <w:sz w:val="28"/>
          <w:szCs w:val="28"/>
        </w:rPr>
      </w:pPr>
      <w:r w:rsidRPr="00E90570">
        <w:rPr>
          <w:bCs/>
          <w:sz w:val="28"/>
          <w:szCs w:val="28"/>
        </w:rPr>
        <w:t>INFORMATĪVAIS ZIŅOJUMS</w:t>
      </w:r>
    </w:p>
    <w:p w14:paraId="6C29E835" w14:textId="77777777" w:rsidR="00E90570" w:rsidRDefault="00E90570" w:rsidP="001E79A8">
      <w:pPr>
        <w:jc w:val="center"/>
        <w:rPr>
          <w:b/>
          <w:sz w:val="28"/>
          <w:szCs w:val="28"/>
        </w:rPr>
      </w:pPr>
      <w:bookmarkStart w:id="0" w:name="_Hlk524000675"/>
    </w:p>
    <w:p w14:paraId="3DCEA45C" w14:textId="02CF778C" w:rsidR="001E79A8" w:rsidRPr="00E3479C" w:rsidRDefault="001E79A8" w:rsidP="001E79A8">
      <w:pPr>
        <w:jc w:val="center"/>
        <w:rPr>
          <w:b/>
          <w:sz w:val="28"/>
          <w:szCs w:val="28"/>
        </w:rPr>
      </w:pPr>
      <w:bookmarkStart w:id="1" w:name="_Hlk129272534"/>
      <w:r w:rsidRPr="00E3479C">
        <w:rPr>
          <w:b/>
          <w:sz w:val="28"/>
          <w:szCs w:val="28"/>
        </w:rPr>
        <w:t xml:space="preserve">Par </w:t>
      </w:r>
      <w:r w:rsidR="00E3479C" w:rsidRPr="00E3479C">
        <w:rPr>
          <w:rStyle w:val="contentpasted0"/>
          <w:b/>
          <w:bCs/>
          <w:color w:val="000000"/>
          <w:sz w:val="28"/>
          <w:szCs w:val="28"/>
        </w:rPr>
        <w:t xml:space="preserve">veicamajiem pasākumiem </w:t>
      </w:r>
      <w:r w:rsidR="00E3479C">
        <w:rPr>
          <w:rStyle w:val="contentpasted0"/>
          <w:b/>
          <w:bCs/>
          <w:color w:val="000000"/>
          <w:sz w:val="28"/>
          <w:szCs w:val="28"/>
        </w:rPr>
        <w:t xml:space="preserve">sabiedriskā transporta pakalpojumu </w:t>
      </w:r>
      <w:r w:rsidR="00E3479C" w:rsidRPr="00E3479C">
        <w:rPr>
          <w:rStyle w:val="contentpasted0"/>
          <w:b/>
          <w:bCs/>
          <w:color w:val="000000"/>
          <w:sz w:val="28"/>
          <w:szCs w:val="28"/>
        </w:rPr>
        <w:t>kompensācijas apjoma samazināšanai</w:t>
      </w:r>
    </w:p>
    <w:bookmarkEnd w:id="1"/>
    <w:p w14:paraId="3B843FF4" w14:textId="77777777" w:rsidR="001E79A8" w:rsidRPr="00E51478" w:rsidRDefault="001E79A8" w:rsidP="001E79A8">
      <w:pPr>
        <w:jc w:val="center"/>
        <w:rPr>
          <w:b/>
          <w:sz w:val="28"/>
          <w:szCs w:val="28"/>
        </w:rPr>
      </w:pPr>
    </w:p>
    <w:bookmarkEnd w:id="0"/>
    <w:p w14:paraId="05B9C9C2" w14:textId="77777777" w:rsidR="00E3479C" w:rsidRDefault="00E3479C" w:rsidP="001E79A8">
      <w:pPr>
        <w:ind w:firstLine="709"/>
        <w:jc w:val="both"/>
        <w:rPr>
          <w:sz w:val="28"/>
          <w:szCs w:val="28"/>
        </w:rPr>
      </w:pPr>
    </w:p>
    <w:p w14:paraId="6EAE07CF" w14:textId="10493220" w:rsidR="00E3479C" w:rsidRPr="00B01F89" w:rsidRDefault="00C935CC" w:rsidP="00B01F89">
      <w:pPr>
        <w:pStyle w:val="NormalWeb"/>
        <w:shd w:val="clear" w:color="auto" w:fill="FFFFFF"/>
        <w:spacing w:before="0" w:beforeAutospacing="0" w:after="0" w:afterAutospacing="0"/>
        <w:ind w:firstLine="709"/>
        <w:jc w:val="both"/>
        <w:rPr>
          <w:rStyle w:val="contentpasted0"/>
          <w:color w:val="000000"/>
          <w:sz w:val="26"/>
          <w:szCs w:val="26"/>
        </w:rPr>
      </w:pPr>
      <w:r>
        <w:rPr>
          <w:rStyle w:val="contentpasted0"/>
          <w:color w:val="000000"/>
          <w:sz w:val="26"/>
          <w:szCs w:val="26"/>
        </w:rPr>
        <w:t>L</w:t>
      </w:r>
      <w:r w:rsidR="00E3479C" w:rsidRPr="00E3479C">
        <w:rPr>
          <w:rStyle w:val="contentpasted0"/>
          <w:color w:val="000000"/>
          <w:sz w:val="26"/>
          <w:szCs w:val="26"/>
        </w:rPr>
        <w:t>ikumprojekta</w:t>
      </w:r>
      <w:r>
        <w:rPr>
          <w:rStyle w:val="contentpasted0"/>
          <w:color w:val="000000"/>
          <w:sz w:val="26"/>
          <w:szCs w:val="26"/>
        </w:rPr>
        <w:t xml:space="preserve"> “</w:t>
      </w:r>
      <w:r w:rsidRPr="00A84858">
        <w:rPr>
          <w:rStyle w:val="contentpasted0"/>
          <w:color w:val="000000"/>
          <w:sz w:val="26"/>
          <w:szCs w:val="26"/>
        </w:rPr>
        <w:t>Par valsts budžetu 2023. gadam un budžeta ietvaru 2023., 2024. un 2025. gadam</w:t>
      </w:r>
      <w:r>
        <w:rPr>
          <w:rStyle w:val="contentpasted0"/>
          <w:color w:val="000000"/>
          <w:sz w:val="26"/>
          <w:szCs w:val="26"/>
        </w:rPr>
        <w:t>”</w:t>
      </w:r>
      <w:r w:rsidR="00E3479C" w:rsidRPr="00E3479C">
        <w:rPr>
          <w:rStyle w:val="contentpasted0"/>
          <w:color w:val="000000"/>
          <w:sz w:val="26"/>
          <w:szCs w:val="26"/>
        </w:rPr>
        <w:t xml:space="preserve"> izskatīšan</w:t>
      </w:r>
      <w:r w:rsidR="00E3479C">
        <w:rPr>
          <w:rStyle w:val="contentpasted0"/>
          <w:color w:val="000000"/>
          <w:sz w:val="26"/>
          <w:szCs w:val="26"/>
        </w:rPr>
        <w:t>as gaitā</w:t>
      </w:r>
      <w:r w:rsidR="00E3479C" w:rsidRPr="00E3479C">
        <w:rPr>
          <w:rStyle w:val="contentpasted0"/>
          <w:color w:val="000000"/>
          <w:sz w:val="26"/>
          <w:szCs w:val="26"/>
        </w:rPr>
        <w:t xml:space="preserve"> </w:t>
      </w:r>
      <w:bookmarkStart w:id="2" w:name="_Hlk129272602"/>
      <w:r w:rsidR="00E3479C" w:rsidRPr="00E3479C">
        <w:rPr>
          <w:rStyle w:val="contentpasted0"/>
          <w:color w:val="000000"/>
          <w:sz w:val="26"/>
          <w:szCs w:val="26"/>
        </w:rPr>
        <w:t>Ministru kabinets 2023.gada 13.janvāra sēdē p</w:t>
      </w:r>
      <w:r>
        <w:rPr>
          <w:rStyle w:val="contentpasted0"/>
          <w:color w:val="000000"/>
          <w:sz w:val="26"/>
          <w:szCs w:val="26"/>
        </w:rPr>
        <w:t>rotokol</w:t>
      </w:r>
      <w:r w:rsidR="00E3479C" w:rsidRPr="00E3479C">
        <w:rPr>
          <w:rStyle w:val="contentpasted0"/>
          <w:color w:val="000000"/>
          <w:sz w:val="26"/>
          <w:szCs w:val="26"/>
        </w:rPr>
        <w:t>lēmuma (prot. Nr.2  1.§) 12.punkt</w:t>
      </w:r>
      <w:r>
        <w:rPr>
          <w:rStyle w:val="contentpasted0"/>
          <w:color w:val="000000"/>
          <w:sz w:val="26"/>
          <w:szCs w:val="26"/>
        </w:rPr>
        <w:t>ā</w:t>
      </w:r>
      <w:r w:rsidR="00B01F89">
        <w:rPr>
          <w:rStyle w:val="contentpasted0"/>
          <w:color w:val="000000"/>
          <w:sz w:val="26"/>
          <w:szCs w:val="26"/>
        </w:rPr>
        <w:t xml:space="preserve"> </w:t>
      </w:r>
      <w:bookmarkEnd w:id="2"/>
      <w:r w:rsidR="00E3479C" w:rsidRPr="00B01F89">
        <w:rPr>
          <w:rStyle w:val="contentpasted0"/>
          <w:color w:val="000000"/>
          <w:sz w:val="26"/>
          <w:szCs w:val="26"/>
        </w:rPr>
        <w:t>ir uzdevis Satiksmes ministrijai sagatavot un iesniegt izskatīšanai Ministru kabinetā priekšlikumu par veicamajiem pasākumiem kompensācijas apjoma samazināšanai, lai risinātu jautājumu par papildu nepieciešamajiem valsts budžeta līdzekļiem sabiedriskā transporta pakalpojumu sniedzēju zaudējumu segšanai.</w:t>
      </w:r>
    </w:p>
    <w:p w14:paraId="6C167186" w14:textId="4F385207" w:rsidR="00B01F89" w:rsidRPr="00B01F89" w:rsidRDefault="00B01F89" w:rsidP="00B01F89">
      <w:pPr>
        <w:ind w:firstLine="709"/>
        <w:jc w:val="both"/>
        <w:rPr>
          <w:sz w:val="26"/>
          <w:szCs w:val="26"/>
        </w:rPr>
      </w:pPr>
      <w:r w:rsidRPr="00B01F89">
        <w:rPr>
          <w:sz w:val="26"/>
          <w:szCs w:val="26"/>
        </w:rPr>
        <w:t>Lai atbilstoši Sabiedriskā transporta pakalpojumu likumā</w:t>
      </w:r>
      <w:r w:rsidR="00783266">
        <w:rPr>
          <w:sz w:val="26"/>
          <w:szCs w:val="26"/>
        </w:rPr>
        <w:t xml:space="preserve"> (turpmāk – STP Likums)</w:t>
      </w:r>
      <w:r w:rsidRPr="00B01F89">
        <w:rPr>
          <w:sz w:val="26"/>
          <w:szCs w:val="26"/>
        </w:rPr>
        <w:t xml:space="preserve"> noteiktajam nodrošinātu iedzīvotājiem pieejamus sabiedriskā transporta pakalpojumus, VSIA “Autotransporta direkcija” (turpmāk – Autotransporta direkcija) organizē sabiedriskā transporta pakalpojumus reģionālās nozīmes </w:t>
      </w:r>
      <w:r w:rsidR="00783266">
        <w:rPr>
          <w:sz w:val="26"/>
          <w:szCs w:val="26"/>
        </w:rPr>
        <w:t xml:space="preserve">autobusu un dzelzceļa </w:t>
      </w:r>
      <w:r w:rsidRPr="00B01F89">
        <w:rPr>
          <w:sz w:val="26"/>
          <w:szCs w:val="26"/>
        </w:rPr>
        <w:t xml:space="preserve">maršrutos, kā arī nodrošina sabiedriskajam transportam no valsts budžeta iedalīto finanšu līdzekļu administrēšanu un piešķiršanu sabiedriskā transporta pakalpojumu sniedzējiem un </w:t>
      </w:r>
      <w:r>
        <w:rPr>
          <w:sz w:val="26"/>
          <w:szCs w:val="26"/>
        </w:rPr>
        <w:t>valsts</w:t>
      </w:r>
      <w:r w:rsidRPr="00B01F89">
        <w:rPr>
          <w:sz w:val="26"/>
          <w:szCs w:val="26"/>
        </w:rPr>
        <w:t xml:space="preserve">pilsētu pašvaldībām par pārvadājumiem, kas ir ārpus pilsētas administratīvās teritorijas, ja maršruta daļa ir vairāk kā 30% no kopējā maršruta garuma, un par personām ar invaliditāti pārvadāšanu. </w:t>
      </w:r>
    </w:p>
    <w:p w14:paraId="340E1525" w14:textId="7A8BD8FF" w:rsidR="00B01F89" w:rsidRPr="00B01F89" w:rsidRDefault="00B01F89" w:rsidP="00B01F89">
      <w:pPr>
        <w:ind w:firstLine="709"/>
        <w:jc w:val="both"/>
        <w:rPr>
          <w:sz w:val="26"/>
          <w:szCs w:val="26"/>
        </w:rPr>
      </w:pPr>
      <w:r w:rsidRPr="00B01F89">
        <w:rPr>
          <w:sz w:val="26"/>
          <w:szCs w:val="26"/>
        </w:rPr>
        <w:t xml:space="preserve">Pamatojoties uz </w:t>
      </w:r>
      <w:r w:rsidR="00C906E0">
        <w:rPr>
          <w:sz w:val="26"/>
          <w:szCs w:val="26"/>
        </w:rPr>
        <w:t xml:space="preserve">STP Likumu </w:t>
      </w:r>
      <w:r w:rsidRPr="00B01F89">
        <w:rPr>
          <w:sz w:val="26"/>
          <w:szCs w:val="26"/>
        </w:rPr>
        <w:t>un saskaņā ar Ministru kabineta 2015.gada 28.jūlija noteikumu Nr.435 “Kārtība, kādā nosaka un kompensē ar sabiedriskā transporta pakalpojumu sniegšanu saistītos zaudējumus un izdevumus un nosaka sabiedriskā transporta pakalpojuma tarifu” (turpmāk – Ministru kabineta noteikumi Nr.435) 2.1.apakšpunktu, sabiedriskā transporta pakalpojumu sniedzējiem kompensē zaudējumus, kas radušies, ja ar sabiedriskā transporta pakalpojumu pasūtījuma līguma izpildi saistītās nepieciešamās izmaksas pārsniedz gūtos ieņēmumus.</w:t>
      </w:r>
    </w:p>
    <w:p w14:paraId="6E65EFA7" w14:textId="216BC65F" w:rsidR="00B01F89" w:rsidRPr="00C56285" w:rsidRDefault="00A1415F" w:rsidP="00B01F89">
      <w:pPr>
        <w:ind w:firstLine="709"/>
        <w:jc w:val="both"/>
        <w:rPr>
          <w:sz w:val="26"/>
          <w:szCs w:val="26"/>
        </w:rPr>
      </w:pPr>
      <w:r>
        <w:rPr>
          <w:sz w:val="26"/>
          <w:szCs w:val="26"/>
        </w:rPr>
        <w:t>V</w:t>
      </w:r>
      <w:r w:rsidR="00B01F89" w:rsidRPr="00C56285">
        <w:rPr>
          <w:sz w:val="26"/>
          <w:szCs w:val="26"/>
        </w:rPr>
        <w:t>alsts budžeta programmā 31.00.00 “Sabiedriskais transports” izveidota apakšprogramma 31.06.00 “Dotācija zaudējumu segšanai sabiedriskā transporta pakalpojumu sniedzējiem” (turpmāk – 31.06.00 apakšprogramma), no kur</w:t>
      </w:r>
      <w:r w:rsidR="00B01F89">
        <w:rPr>
          <w:sz w:val="26"/>
          <w:szCs w:val="26"/>
        </w:rPr>
        <w:t>as</w:t>
      </w:r>
      <w:r w:rsidR="00B01F89" w:rsidRPr="00C56285">
        <w:rPr>
          <w:sz w:val="26"/>
          <w:szCs w:val="26"/>
        </w:rPr>
        <w:t xml:space="preserve"> Satiksmes ministrija</w:t>
      </w:r>
      <w:r w:rsidR="00C906E0">
        <w:rPr>
          <w:sz w:val="26"/>
          <w:szCs w:val="26"/>
        </w:rPr>
        <w:t>,</w:t>
      </w:r>
      <w:r w:rsidR="00B01F89" w:rsidRPr="00C56285">
        <w:rPr>
          <w:sz w:val="26"/>
          <w:szCs w:val="26"/>
        </w:rPr>
        <w:t xml:space="preserve"> atbilstoši finansēšanas plānam un Sabiedriskā transporta padomes lēmumiem</w:t>
      </w:r>
      <w:r w:rsidR="00C906E0">
        <w:rPr>
          <w:sz w:val="26"/>
          <w:szCs w:val="26"/>
        </w:rPr>
        <w:t>,</w:t>
      </w:r>
      <w:r w:rsidR="00B01F89" w:rsidRPr="00C56285">
        <w:rPr>
          <w:sz w:val="26"/>
          <w:szCs w:val="26"/>
        </w:rPr>
        <w:t xml:space="preserve"> katru mēnesi pārskaita finansējumu pārvadātājiem un vienu reizi ceturksnī – </w:t>
      </w:r>
      <w:r w:rsidR="00B01F89">
        <w:rPr>
          <w:sz w:val="26"/>
          <w:szCs w:val="26"/>
        </w:rPr>
        <w:t>valsts</w:t>
      </w:r>
      <w:r w:rsidR="00B01F89" w:rsidRPr="00C56285">
        <w:rPr>
          <w:sz w:val="26"/>
          <w:szCs w:val="26"/>
        </w:rPr>
        <w:t>pilsētu pašvaldībām.</w:t>
      </w:r>
    </w:p>
    <w:p w14:paraId="57A7BAA0" w14:textId="77777777" w:rsidR="00B01F89" w:rsidRPr="00C56285" w:rsidRDefault="00B01F89" w:rsidP="00B01F89">
      <w:pPr>
        <w:pStyle w:val="tv213"/>
        <w:shd w:val="clear" w:color="auto" w:fill="FFFFFF"/>
        <w:spacing w:before="0" w:beforeAutospacing="0" w:after="0" w:afterAutospacing="0" w:line="293" w:lineRule="atLeast"/>
        <w:ind w:firstLine="709"/>
        <w:jc w:val="both"/>
        <w:rPr>
          <w:sz w:val="26"/>
          <w:szCs w:val="26"/>
        </w:rPr>
      </w:pPr>
      <w:r w:rsidRPr="00C56285">
        <w:rPr>
          <w:sz w:val="26"/>
          <w:szCs w:val="26"/>
        </w:rPr>
        <w:t>Atbilstoši Ministru kabineta noteikumu Nr.435 17.punktā noteiktajam, ja gadskārtējā valsts budžeta likumā piešķirtie valsts budžeta līdzekļi nav pietiekami sabiedriskā transporta pakalpojumu sniegšanā radušos zaudējumu segšanai, Sabiedriskā transporta padome pārskata:</w:t>
      </w:r>
    </w:p>
    <w:p w14:paraId="58AF67C3" w14:textId="77777777" w:rsidR="00B01F89" w:rsidRPr="00C56285" w:rsidRDefault="00B01F89" w:rsidP="00B01F89">
      <w:pPr>
        <w:shd w:val="clear" w:color="auto" w:fill="FFFFFF"/>
        <w:spacing w:line="293" w:lineRule="atLeast"/>
        <w:ind w:firstLine="709"/>
        <w:jc w:val="both"/>
        <w:rPr>
          <w:sz w:val="26"/>
          <w:szCs w:val="26"/>
        </w:rPr>
      </w:pPr>
      <w:r w:rsidRPr="00C56285">
        <w:rPr>
          <w:sz w:val="26"/>
          <w:szCs w:val="26"/>
        </w:rPr>
        <w:t>1) plānotā reģionālās nozīmes maršrutu tīkla apjomus nākamajam gadam (kilometrus);</w:t>
      </w:r>
    </w:p>
    <w:p w14:paraId="5C2C834C" w14:textId="77777777" w:rsidR="00B01F89" w:rsidRPr="00C56285" w:rsidRDefault="00B01F89" w:rsidP="00B01F89">
      <w:pPr>
        <w:shd w:val="clear" w:color="auto" w:fill="FFFFFF"/>
        <w:spacing w:line="293" w:lineRule="atLeast"/>
        <w:ind w:left="600" w:firstLine="109"/>
        <w:jc w:val="both"/>
        <w:rPr>
          <w:sz w:val="26"/>
          <w:szCs w:val="26"/>
        </w:rPr>
      </w:pPr>
      <w:r w:rsidRPr="00C56285">
        <w:rPr>
          <w:sz w:val="26"/>
          <w:szCs w:val="26"/>
        </w:rPr>
        <w:t>2) plānotos tarifus nākamajam gadam (braukšanas maksu);</w:t>
      </w:r>
    </w:p>
    <w:p w14:paraId="32B5E42F" w14:textId="77777777" w:rsidR="00B01F89" w:rsidRDefault="00B01F89" w:rsidP="00B01F89">
      <w:pPr>
        <w:shd w:val="clear" w:color="auto" w:fill="FFFFFF"/>
        <w:spacing w:line="293" w:lineRule="atLeast"/>
        <w:ind w:firstLine="709"/>
        <w:jc w:val="both"/>
        <w:rPr>
          <w:sz w:val="26"/>
          <w:szCs w:val="26"/>
        </w:rPr>
      </w:pPr>
      <w:r w:rsidRPr="00C56285">
        <w:rPr>
          <w:sz w:val="26"/>
          <w:szCs w:val="26"/>
        </w:rPr>
        <w:t>3) sabiedriskā transporta pakalpojumu pasūtījuma līgumos un normatīvajos aktos paredzētās, bet ieviešanas termiņus nesasniegušās kvalitātes prasības sabiedriskā transporta pakalpojumam.</w:t>
      </w:r>
    </w:p>
    <w:p w14:paraId="06FFB64B" w14:textId="5619AE19" w:rsidR="00B01F89" w:rsidRDefault="00B01F89" w:rsidP="00B01F89">
      <w:pPr>
        <w:shd w:val="clear" w:color="auto" w:fill="FFFFFF"/>
        <w:spacing w:line="293" w:lineRule="atLeast"/>
        <w:ind w:firstLine="709"/>
        <w:jc w:val="both"/>
        <w:rPr>
          <w:sz w:val="26"/>
          <w:szCs w:val="26"/>
        </w:rPr>
      </w:pPr>
      <w:r w:rsidRPr="00C56285">
        <w:rPr>
          <w:sz w:val="26"/>
          <w:szCs w:val="26"/>
        </w:rPr>
        <w:t xml:space="preserve">Saskaņā ar Ministru kabineta noteikumu Nr.435 18.punktu, ja pēc minēto pasākumu veikšanas Satiksmes ministrijas valsts budžeta programmā 31.00.00 </w:t>
      </w:r>
      <w:r w:rsidRPr="00C56285">
        <w:rPr>
          <w:sz w:val="26"/>
          <w:szCs w:val="26"/>
        </w:rPr>
        <w:lastRenderedPageBreak/>
        <w:t>“Sabiedriskais transports” nepietiek līdzekļu, lai pilnībā kompensētu zaudējumus un izdevumus, par nepieciešamo reģionālās nozīmes maršrutu tīkla apjomu, finansējuma apmēru un finansējuma avotu lemj Ministru kabinets</w:t>
      </w:r>
      <w:r>
        <w:rPr>
          <w:sz w:val="26"/>
          <w:szCs w:val="26"/>
        </w:rPr>
        <w:t>.</w:t>
      </w:r>
    </w:p>
    <w:p w14:paraId="0FD66CB3" w14:textId="6E0BCA99" w:rsidR="00807E02" w:rsidRPr="00253511" w:rsidRDefault="0026495E" w:rsidP="00253511">
      <w:pPr>
        <w:ind w:firstLine="709"/>
        <w:jc w:val="both"/>
        <w:rPr>
          <w:sz w:val="26"/>
          <w:szCs w:val="26"/>
        </w:rPr>
      </w:pPr>
      <w:r w:rsidRPr="00253511">
        <w:rPr>
          <w:sz w:val="26"/>
          <w:szCs w:val="26"/>
        </w:rPr>
        <w:t xml:space="preserve">Valsts budžeta finansējums kārtējam </w:t>
      </w:r>
      <w:r w:rsidR="00C935CC" w:rsidRPr="00253511">
        <w:rPr>
          <w:sz w:val="26"/>
          <w:szCs w:val="26"/>
        </w:rPr>
        <w:t>-</w:t>
      </w:r>
      <w:r w:rsidRPr="00253511">
        <w:rPr>
          <w:sz w:val="26"/>
          <w:szCs w:val="26"/>
        </w:rPr>
        <w:t xml:space="preserve"> gadam tiek piešķirts, ņemot vērā apstiprināto vidēja termiņa budžeta ietvaru, to starpā palielinājum</w:t>
      </w:r>
      <w:r w:rsidR="004E01DD" w:rsidRPr="00253511">
        <w:rPr>
          <w:sz w:val="26"/>
          <w:szCs w:val="26"/>
        </w:rPr>
        <w:t>u</w:t>
      </w:r>
      <w:r w:rsidRPr="00253511">
        <w:rPr>
          <w:sz w:val="26"/>
          <w:szCs w:val="26"/>
        </w:rPr>
        <w:t>, kāds bijis piešķirts gan 2022.gadā, gan arī plānots vidējā termiņā 2023.-2025.gadam paredzot 10 milj. EUR palielinājumu</w:t>
      </w:r>
      <w:r w:rsidR="00A1415F" w:rsidRPr="00253511">
        <w:rPr>
          <w:sz w:val="26"/>
          <w:szCs w:val="26"/>
        </w:rPr>
        <w:t xml:space="preserve">. </w:t>
      </w:r>
      <w:r w:rsidR="00807E02" w:rsidRPr="00253511">
        <w:rPr>
          <w:sz w:val="26"/>
          <w:szCs w:val="26"/>
        </w:rPr>
        <w:t>Savukārt, ievērojot Ministru kabineta noteikumu Nr.435 18.punktā noteikto, katru gadu valsts budžeta izpildes un elastības ietvarā tiek risināts jautājums par papildu finansējuma piešķiršanu sabiedriskā transporta pakalpojumu nodrošināšanai. Proti, 2022.gadā saskaņā ar</w:t>
      </w:r>
      <w:r w:rsidR="00807E02">
        <w:rPr>
          <w:sz w:val="26"/>
          <w:szCs w:val="26"/>
        </w:rPr>
        <w:t xml:space="preserve"> </w:t>
      </w:r>
      <w:r w:rsidR="00807E02" w:rsidRPr="00253511">
        <w:rPr>
          <w:bCs/>
          <w:sz w:val="26"/>
          <w:szCs w:val="26"/>
        </w:rPr>
        <w:t>Ministru kabineta 2022.gada 26.oktobra rīkojumu Nr.759</w:t>
      </w:r>
      <w:r w:rsidR="00807E02" w:rsidRPr="00253511">
        <w:rPr>
          <w:sz w:val="26"/>
          <w:szCs w:val="26"/>
        </w:rPr>
        <w:t xml:space="preserve"> (prot. Nr.54 18.§) “Par finanšu līdzekļu piešķiršanu no valsts budžeta programmas “Līdzekļi neparedzētiem gadījumiem”” un Finanšu ministrijas 2022.gada 2.novembra rīkojumu Nr.678 “Par līdzekļu piešķiršanu” piešķirts finansējums 10</w:t>
      </w:r>
      <w:r w:rsidR="00807E02">
        <w:rPr>
          <w:sz w:val="26"/>
          <w:szCs w:val="26"/>
        </w:rPr>
        <w:t> </w:t>
      </w:r>
      <w:r w:rsidR="00807E02" w:rsidRPr="00253511">
        <w:rPr>
          <w:sz w:val="26"/>
          <w:szCs w:val="26"/>
        </w:rPr>
        <w:t>000 000 EUR. Ar Ministru kabineta 2022.gada 26.oktobra rīkojumu Nr.764 (prot. Nr.54 28.§) “Par apropriācijas pārdali” un Finanšu ministrijas 2022.gada 30.novembra rīkojumu Nr.743 “Par apropriācijas pārdali” piešķirts finansējums 19 981 697 EUR.</w:t>
      </w:r>
    </w:p>
    <w:p w14:paraId="172E71EE" w14:textId="6558A8DA" w:rsidR="00D6420C" w:rsidRPr="00E243CE" w:rsidRDefault="0021670E" w:rsidP="00D6420C">
      <w:pPr>
        <w:ind w:firstLine="709"/>
        <w:jc w:val="both"/>
        <w:rPr>
          <w:sz w:val="26"/>
          <w:szCs w:val="26"/>
        </w:rPr>
      </w:pPr>
      <w:r>
        <w:rPr>
          <w:sz w:val="26"/>
          <w:szCs w:val="26"/>
        </w:rPr>
        <w:t xml:space="preserve">Pēc pašreizējām aplēsēm – gatavojot 2023.gada prognozes attiecībā uz valsts budžetā nepieciešamo finansējumu 2023.gadam sabiedriskā transporta pakalpojumu nodrošināšanai – paredzams, ka papildus valsts budžetā paredzētajiem 74,787 milj. EUR būs nepieciešami 30,94 milj. EUR.  </w:t>
      </w:r>
      <w:r w:rsidR="00D6420C" w:rsidRPr="0026495E">
        <w:rPr>
          <w:sz w:val="26"/>
          <w:szCs w:val="26"/>
        </w:rPr>
        <w:t xml:space="preserve">Ņemot vērā, ka laika posmā no 2020.gada līdz pat 2022.gadam </w:t>
      </w:r>
      <w:r w:rsidR="00C935CC">
        <w:rPr>
          <w:sz w:val="26"/>
          <w:szCs w:val="26"/>
        </w:rPr>
        <w:t xml:space="preserve">Covid-19 </w:t>
      </w:r>
      <w:r w:rsidR="004E01DD">
        <w:rPr>
          <w:sz w:val="26"/>
          <w:szCs w:val="26"/>
        </w:rPr>
        <w:t>pandēmijas ietekme</w:t>
      </w:r>
      <w:r w:rsidR="00D6420C">
        <w:rPr>
          <w:sz w:val="26"/>
          <w:szCs w:val="26"/>
        </w:rPr>
        <w:t xml:space="preserve"> un kopējā ģeopolitiskā situācija pasaulē ir noteikusi apstākļus, k</w:t>
      </w:r>
      <w:r w:rsidR="00C935CC">
        <w:rPr>
          <w:sz w:val="26"/>
          <w:szCs w:val="26"/>
        </w:rPr>
        <w:t>as</w:t>
      </w:r>
      <w:r w:rsidR="00D6420C">
        <w:rPr>
          <w:sz w:val="26"/>
          <w:szCs w:val="26"/>
        </w:rPr>
        <w:t xml:space="preserve"> ietekmē kā kopējo tautsaimniecību, tā arī sabiedriskā transporta pakalpojumu nozari, tad, n</w:t>
      </w:r>
      <w:r w:rsidR="00D6420C" w:rsidRPr="00C56285">
        <w:rPr>
          <w:sz w:val="26"/>
          <w:szCs w:val="26"/>
        </w:rPr>
        <w:t xml:space="preserve">eskatoties uz veiktajiem reģionālās nozīmes </w:t>
      </w:r>
      <w:r w:rsidR="00D6420C">
        <w:rPr>
          <w:sz w:val="26"/>
          <w:szCs w:val="26"/>
        </w:rPr>
        <w:t>maršrutu tīkla</w:t>
      </w:r>
      <w:r w:rsidR="00D6420C" w:rsidRPr="00C56285">
        <w:rPr>
          <w:sz w:val="26"/>
          <w:szCs w:val="26"/>
        </w:rPr>
        <w:t xml:space="preserve"> uzlabojumiem, kas ilgtermiņā sniegtu zaudējumu kompensācijas </w:t>
      </w:r>
      <w:r w:rsidR="00D6420C" w:rsidRPr="00875A13">
        <w:rPr>
          <w:sz w:val="26"/>
          <w:szCs w:val="26"/>
        </w:rPr>
        <w:t>samazinājumu (skatīt ietekmi uz valsts budžeta izdevumiem</w:t>
      </w:r>
      <w:r w:rsidR="00C935CC">
        <w:rPr>
          <w:sz w:val="26"/>
          <w:szCs w:val="26"/>
        </w:rPr>
        <w:t xml:space="preserve"> informatīvajā</w:t>
      </w:r>
      <w:r w:rsidR="00D6420C" w:rsidRPr="00875A13">
        <w:rPr>
          <w:sz w:val="26"/>
          <w:szCs w:val="26"/>
        </w:rPr>
        <w:t xml:space="preserve"> ziņojuma </w:t>
      </w:r>
      <w:r w:rsidR="00875A13" w:rsidRPr="00875A13">
        <w:rPr>
          <w:sz w:val="26"/>
          <w:szCs w:val="26"/>
        </w:rPr>
        <w:t>1. </w:t>
      </w:r>
      <w:r w:rsidR="00D6420C" w:rsidRPr="00875A13">
        <w:rPr>
          <w:sz w:val="26"/>
          <w:szCs w:val="26"/>
        </w:rPr>
        <w:t>nodaļā), tomēr</w:t>
      </w:r>
      <w:r w:rsidR="00D6420C" w:rsidRPr="00C56285">
        <w:rPr>
          <w:sz w:val="26"/>
          <w:szCs w:val="26"/>
        </w:rPr>
        <w:t xml:space="preserve"> </w:t>
      </w:r>
      <w:r w:rsidR="00D6420C">
        <w:rPr>
          <w:sz w:val="26"/>
          <w:szCs w:val="26"/>
        </w:rPr>
        <w:t>pieaugošās izmaksas un lēnā sabiedriskā transporta nozares atkopšanās</w:t>
      </w:r>
      <w:r w:rsidR="00D6420C" w:rsidRPr="00C56285">
        <w:rPr>
          <w:sz w:val="26"/>
          <w:szCs w:val="26"/>
        </w:rPr>
        <w:t xml:space="preserve"> </w:t>
      </w:r>
      <w:r w:rsidR="00D6420C">
        <w:rPr>
          <w:sz w:val="26"/>
          <w:szCs w:val="26"/>
        </w:rPr>
        <w:t xml:space="preserve">no </w:t>
      </w:r>
      <w:r w:rsidR="001A5DA4">
        <w:rPr>
          <w:sz w:val="26"/>
          <w:szCs w:val="26"/>
        </w:rPr>
        <w:t xml:space="preserve">Covid- 19 </w:t>
      </w:r>
      <w:r w:rsidR="00D6420C">
        <w:rPr>
          <w:sz w:val="26"/>
          <w:szCs w:val="26"/>
        </w:rPr>
        <w:t xml:space="preserve">pandēmijas radītajām sekām </w:t>
      </w:r>
      <w:r w:rsidR="00D6420C" w:rsidRPr="00C56285">
        <w:rPr>
          <w:sz w:val="26"/>
          <w:szCs w:val="26"/>
        </w:rPr>
        <w:t>veicin</w:t>
      </w:r>
      <w:r w:rsidR="00D6420C">
        <w:rPr>
          <w:sz w:val="26"/>
          <w:szCs w:val="26"/>
        </w:rPr>
        <w:t>a</w:t>
      </w:r>
      <w:r w:rsidR="00D6420C" w:rsidRPr="00C56285">
        <w:rPr>
          <w:sz w:val="26"/>
          <w:szCs w:val="26"/>
        </w:rPr>
        <w:t xml:space="preserve"> sabiedriskā transporta </w:t>
      </w:r>
      <w:r w:rsidR="00D6420C" w:rsidRPr="00E243CE">
        <w:rPr>
          <w:sz w:val="26"/>
          <w:szCs w:val="26"/>
        </w:rPr>
        <w:t xml:space="preserve">pakalpojumu sniegšanā radīto zaudējumu pieaugumu un attiecīgi finanšu atbalstu no valsts budžeta. </w:t>
      </w:r>
    </w:p>
    <w:p w14:paraId="5F94940D" w14:textId="03201D45" w:rsidR="00D6420C" w:rsidRPr="00E243CE" w:rsidRDefault="00D6420C" w:rsidP="00D6420C">
      <w:pPr>
        <w:shd w:val="clear" w:color="auto" w:fill="FFFFFF"/>
        <w:spacing w:line="293" w:lineRule="atLeast"/>
        <w:ind w:firstLine="709"/>
        <w:jc w:val="both"/>
        <w:rPr>
          <w:sz w:val="26"/>
          <w:szCs w:val="26"/>
        </w:rPr>
      </w:pPr>
      <w:r w:rsidRPr="00E243CE">
        <w:rPr>
          <w:sz w:val="26"/>
          <w:szCs w:val="26"/>
        </w:rPr>
        <w:t xml:space="preserve">Atbilstoši Ministru kabineta dotajam uzdevumam, Satiksmes ministrija kopā ar Autotransporta direkciju ir sagatavojusi </w:t>
      </w:r>
      <w:r w:rsidR="00C935CC">
        <w:rPr>
          <w:sz w:val="26"/>
          <w:szCs w:val="26"/>
        </w:rPr>
        <w:t>i</w:t>
      </w:r>
      <w:r w:rsidRPr="00E243CE">
        <w:rPr>
          <w:sz w:val="26"/>
          <w:szCs w:val="26"/>
        </w:rPr>
        <w:t xml:space="preserve">nformatīvo ziņojumu par veicamajiem </w:t>
      </w:r>
      <w:r w:rsidRPr="00E243CE">
        <w:rPr>
          <w:bCs/>
          <w:iCs/>
          <w:sz w:val="26"/>
          <w:szCs w:val="26"/>
        </w:rPr>
        <w:t>pasākumiem</w:t>
      </w:r>
      <w:r w:rsidR="00E243CE" w:rsidRPr="00E243CE">
        <w:rPr>
          <w:bCs/>
          <w:iCs/>
          <w:sz w:val="26"/>
          <w:szCs w:val="26"/>
        </w:rPr>
        <w:t xml:space="preserve"> sabiedriskā transporta pakalpojumu kompensācijas apjoma no</w:t>
      </w:r>
      <w:r w:rsidRPr="00E243CE">
        <w:rPr>
          <w:bCs/>
          <w:iCs/>
          <w:sz w:val="26"/>
          <w:szCs w:val="26"/>
        </w:rPr>
        <w:t xml:space="preserve"> valsts budžeta izdevum</w:t>
      </w:r>
      <w:r w:rsidR="00E243CE" w:rsidRPr="00E243CE">
        <w:rPr>
          <w:bCs/>
          <w:iCs/>
          <w:sz w:val="26"/>
          <w:szCs w:val="26"/>
        </w:rPr>
        <w:t>iem</w:t>
      </w:r>
      <w:r w:rsidRPr="00E243CE">
        <w:rPr>
          <w:bCs/>
          <w:iCs/>
          <w:sz w:val="26"/>
          <w:szCs w:val="26"/>
        </w:rPr>
        <w:t xml:space="preserve"> mazināšanai</w:t>
      </w:r>
      <w:r w:rsidR="00E243CE" w:rsidRPr="00E243CE">
        <w:rPr>
          <w:bCs/>
          <w:iCs/>
          <w:sz w:val="26"/>
          <w:szCs w:val="26"/>
        </w:rPr>
        <w:t>, skaidrojot arī pieaugošās kompensācijas iemeslus</w:t>
      </w:r>
      <w:r w:rsidRPr="00E243CE">
        <w:rPr>
          <w:iCs/>
          <w:sz w:val="26"/>
          <w:szCs w:val="26"/>
        </w:rPr>
        <w:t>.</w:t>
      </w:r>
    </w:p>
    <w:p w14:paraId="27247684" w14:textId="6BD584DC" w:rsidR="00D6420C" w:rsidRDefault="00D6420C" w:rsidP="00D6420C">
      <w:pPr>
        <w:ind w:firstLine="720"/>
        <w:jc w:val="both"/>
        <w:rPr>
          <w:sz w:val="26"/>
          <w:szCs w:val="26"/>
        </w:rPr>
      </w:pPr>
    </w:p>
    <w:p w14:paraId="48B917A6" w14:textId="6BF8E17E" w:rsidR="00E243CE" w:rsidRPr="00A1415F" w:rsidRDefault="00E243CE" w:rsidP="00911F53">
      <w:pPr>
        <w:pStyle w:val="ListParagraph"/>
        <w:numPr>
          <w:ilvl w:val="0"/>
          <w:numId w:val="21"/>
        </w:numPr>
        <w:ind w:left="0" w:firstLine="709"/>
        <w:jc w:val="both"/>
        <w:rPr>
          <w:b/>
          <w:bCs/>
          <w:sz w:val="26"/>
          <w:szCs w:val="26"/>
        </w:rPr>
      </w:pPr>
      <w:r w:rsidRPr="00A1415F">
        <w:rPr>
          <w:b/>
          <w:bCs/>
          <w:sz w:val="26"/>
          <w:szCs w:val="26"/>
        </w:rPr>
        <w:t>Situācija sabiedriskā transporta pakalpojumu nozarē</w:t>
      </w:r>
      <w:r w:rsidR="00911F53" w:rsidRPr="00A1415F">
        <w:rPr>
          <w:b/>
          <w:bCs/>
          <w:sz w:val="26"/>
          <w:szCs w:val="26"/>
        </w:rPr>
        <w:t xml:space="preserve">, noteicošie apstākļi </w:t>
      </w:r>
      <w:r w:rsidR="00A1415F">
        <w:rPr>
          <w:b/>
          <w:bCs/>
          <w:sz w:val="26"/>
          <w:szCs w:val="26"/>
        </w:rPr>
        <w:t xml:space="preserve">kompensējamo </w:t>
      </w:r>
      <w:r w:rsidR="00911F53" w:rsidRPr="00A1415F">
        <w:rPr>
          <w:b/>
          <w:bCs/>
          <w:sz w:val="26"/>
          <w:szCs w:val="26"/>
        </w:rPr>
        <w:t>zaudējumu pieaugumam</w:t>
      </w:r>
      <w:r w:rsidRPr="00A1415F">
        <w:rPr>
          <w:b/>
          <w:bCs/>
          <w:sz w:val="26"/>
          <w:szCs w:val="26"/>
        </w:rPr>
        <w:t>.</w:t>
      </w:r>
    </w:p>
    <w:p w14:paraId="7D6DF210" w14:textId="77777777" w:rsidR="00D6420C" w:rsidRPr="00E243CE" w:rsidRDefault="00D6420C" w:rsidP="00D6420C">
      <w:pPr>
        <w:ind w:firstLine="720"/>
        <w:jc w:val="both"/>
        <w:rPr>
          <w:sz w:val="26"/>
          <w:szCs w:val="26"/>
        </w:rPr>
      </w:pPr>
    </w:p>
    <w:p w14:paraId="60FD6B5C" w14:textId="3846F748" w:rsidR="00E243CE" w:rsidRPr="00E243CE" w:rsidRDefault="00E243CE" w:rsidP="00E243CE">
      <w:pPr>
        <w:pStyle w:val="ListParagraph"/>
        <w:numPr>
          <w:ilvl w:val="1"/>
          <w:numId w:val="21"/>
        </w:numPr>
        <w:ind w:left="0" w:firstLine="709"/>
        <w:jc w:val="both"/>
        <w:rPr>
          <w:b/>
          <w:bCs/>
          <w:sz w:val="26"/>
          <w:szCs w:val="26"/>
        </w:rPr>
      </w:pPr>
      <w:r w:rsidRPr="00E243CE">
        <w:rPr>
          <w:b/>
          <w:bCs/>
          <w:sz w:val="26"/>
          <w:szCs w:val="26"/>
        </w:rPr>
        <w:t>Reģionālās nozīmes maršrutu tīkls, tā apjoms</w:t>
      </w:r>
      <w:r w:rsidR="00673028">
        <w:rPr>
          <w:b/>
          <w:bCs/>
          <w:sz w:val="26"/>
          <w:szCs w:val="26"/>
        </w:rPr>
        <w:t xml:space="preserve"> un veiktās izmaiņas</w:t>
      </w:r>
      <w:r w:rsidR="00C72E39">
        <w:rPr>
          <w:b/>
          <w:bCs/>
          <w:sz w:val="26"/>
          <w:szCs w:val="26"/>
        </w:rPr>
        <w:t xml:space="preserve"> laika posmā no 2019.-2022.gadam</w:t>
      </w:r>
      <w:r w:rsidRPr="00E243CE">
        <w:rPr>
          <w:b/>
          <w:bCs/>
          <w:sz w:val="26"/>
          <w:szCs w:val="26"/>
        </w:rPr>
        <w:t>.</w:t>
      </w:r>
    </w:p>
    <w:p w14:paraId="750C9A4F" w14:textId="382E0EA5" w:rsidR="00E243CE" w:rsidRDefault="001A5DA4" w:rsidP="00E243CE">
      <w:pPr>
        <w:ind w:firstLine="709"/>
        <w:jc w:val="both"/>
        <w:rPr>
          <w:sz w:val="26"/>
          <w:szCs w:val="26"/>
        </w:rPr>
      </w:pPr>
      <w:r>
        <w:rPr>
          <w:sz w:val="26"/>
          <w:szCs w:val="26"/>
        </w:rPr>
        <w:t>STP Likums</w:t>
      </w:r>
      <w:r w:rsidR="00937830">
        <w:rPr>
          <w:rStyle w:val="FootnoteReference"/>
          <w:sz w:val="26"/>
          <w:szCs w:val="26"/>
        </w:rPr>
        <w:footnoteReference w:id="1"/>
      </w:r>
      <w:r w:rsidR="00E243CE" w:rsidRPr="00E243CE">
        <w:rPr>
          <w:sz w:val="26"/>
          <w:szCs w:val="26"/>
        </w:rPr>
        <w:t xml:space="preserve"> paredz vairākus principus, pēc kuriem jāvadās </w:t>
      </w:r>
      <w:r w:rsidR="004E01DD">
        <w:rPr>
          <w:sz w:val="26"/>
          <w:szCs w:val="26"/>
        </w:rPr>
        <w:t xml:space="preserve">sabiedriskā transporta </w:t>
      </w:r>
      <w:r w:rsidR="00E243CE" w:rsidRPr="00E243CE">
        <w:rPr>
          <w:sz w:val="26"/>
          <w:szCs w:val="26"/>
        </w:rPr>
        <w:t xml:space="preserve">pakalpojuma sniegšanas organizētājam. </w:t>
      </w:r>
      <w:r>
        <w:rPr>
          <w:sz w:val="26"/>
          <w:szCs w:val="26"/>
        </w:rPr>
        <w:t>STP L</w:t>
      </w:r>
      <w:r w:rsidR="00E243CE" w:rsidRPr="00E243CE">
        <w:rPr>
          <w:sz w:val="26"/>
          <w:szCs w:val="26"/>
        </w:rPr>
        <w:t>ikums nosaka, ka sabiedriskā transporta pakalpojumus organizē, pamatojoties gan uz sabiedriskā transporta pakalpojumu pieprasījumu (ievērojot nepieciešamo pārvadājumu intensitāti un regularitāti maršrutu tīklā, pakalpojumu apjomu un kvalitāti, pārvadājumu ekonomisko nodrošinājumu un paredzot pasažieru pārvadājumu organizēšanas veidu), gan sabiedrisko transportlīdzekļu izmantošanas prioritāti, ko nosaka pēc tādiem kritērijiem kā ekonomiskie rādītāji (piemēram, izdevumi, efektivitāte) un pasažieru plūsma.</w:t>
      </w:r>
      <w:r w:rsidR="00E243CE" w:rsidRPr="00E243CE">
        <w:rPr>
          <w:rStyle w:val="Strong"/>
          <w:sz w:val="26"/>
          <w:szCs w:val="26"/>
        </w:rPr>
        <w:t xml:space="preserve"> </w:t>
      </w:r>
      <w:r w:rsidR="00E243CE" w:rsidRPr="00E243CE">
        <w:rPr>
          <w:rStyle w:val="Strong"/>
          <w:b w:val="0"/>
          <w:bCs w:val="0"/>
          <w:sz w:val="26"/>
          <w:szCs w:val="26"/>
        </w:rPr>
        <w:lastRenderedPageBreak/>
        <w:t>M</w:t>
      </w:r>
      <w:r w:rsidR="00E243CE" w:rsidRPr="00E243CE">
        <w:rPr>
          <w:sz w:val="26"/>
          <w:szCs w:val="26"/>
        </w:rPr>
        <w:t xml:space="preserve">aršrutu tīklu veido, lai apmierinātu iedzīvotāju pieprasījumu pēc sabiedriskā transporta pakalpojumiem un nodrošinātu maršrutu tīklā iespēju apmeklēt izglītības iestādes, ārstniecības iestādes, darbavietas, valsts un pašvaldību institūcijas to vispārpieņemtajā darba laikā. Lēmumu par maršrutu tīklu un tā izmaiņām pieņem Sabiedriskā transporta padome, savukārt priekšlikumus iniciē pašvaldības, plānošanas reģioni, iedzīvotāji, izglītības iestādes, Autotransporta </w:t>
      </w:r>
      <w:r w:rsidR="00E243CE" w:rsidRPr="001F1F09">
        <w:rPr>
          <w:sz w:val="26"/>
          <w:szCs w:val="26"/>
        </w:rPr>
        <w:t xml:space="preserve">direkcija un citas institūcijas. </w:t>
      </w:r>
    </w:p>
    <w:p w14:paraId="54B80673" w14:textId="0AD627F8" w:rsidR="00937830" w:rsidRPr="001F1F09" w:rsidRDefault="00E243CE" w:rsidP="00937830">
      <w:pPr>
        <w:ind w:firstLine="709"/>
        <w:jc w:val="both"/>
        <w:rPr>
          <w:sz w:val="26"/>
          <w:szCs w:val="26"/>
        </w:rPr>
      </w:pPr>
      <w:r w:rsidRPr="001F1F09">
        <w:rPr>
          <w:sz w:val="26"/>
          <w:szCs w:val="26"/>
        </w:rPr>
        <w:t>Pēdējo desmit gadu laikā ir mainījusies Latvija</w:t>
      </w:r>
      <w:r w:rsidR="00C654A9">
        <w:rPr>
          <w:sz w:val="26"/>
          <w:szCs w:val="26"/>
        </w:rPr>
        <w:t>s</w:t>
      </w:r>
      <w:r w:rsidRPr="001F1F09">
        <w:rPr>
          <w:sz w:val="26"/>
          <w:szCs w:val="26"/>
        </w:rPr>
        <w:t xml:space="preserve"> novadu apdzīvotība, ir novērojams vēl izteiktāks urbanizācijas process, koncentrējot lielāko daļu sociālo procesu un saimnieciskās darbības ap pilsētām. Tāpat ir mainījies valsts administratīvi teritoriālais iedalījums</w:t>
      </w:r>
      <w:r w:rsidR="00E90570">
        <w:rPr>
          <w:sz w:val="26"/>
          <w:szCs w:val="26"/>
        </w:rPr>
        <w:t>, samazinot pašvaldību skaitu no 119 vietējām pašvaldībā uz 43</w:t>
      </w:r>
      <w:r w:rsidRPr="001F1F09">
        <w:rPr>
          <w:sz w:val="26"/>
          <w:szCs w:val="26"/>
        </w:rPr>
        <w:t>, kā arī pēdējo gadu laikā maršrutu tīkls jāpielāgo izglītības iestāžu reorganizācijas rezultātā mainīgajai pasažieru plūsmai.</w:t>
      </w:r>
      <w:r w:rsidR="00937830">
        <w:rPr>
          <w:sz w:val="26"/>
          <w:szCs w:val="26"/>
        </w:rPr>
        <w:t xml:space="preserve"> Vienlaikus sabiedriskā transporta pakalpojumu nozare ir piedzīvojusi </w:t>
      </w:r>
      <w:r w:rsidR="00F914D1">
        <w:rPr>
          <w:sz w:val="26"/>
          <w:szCs w:val="26"/>
        </w:rPr>
        <w:t xml:space="preserve">pēdējo desmit gadu laikā </w:t>
      </w:r>
      <w:r w:rsidR="00937830">
        <w:rPr>
          <w:sz w:val="26"/>
          <w:szCs w:val="26"/>
        </w:rPr>
        <w:t>lielāko</w:t>
      </w:r>
      <w:r w:rsidR="00076D91">
        <w:rPr>
          <w:sz w:val="26"/>
          <w:szCs w:val="26"/>
        </w:rPr>
        <w:t xml:space="preserve"> </w:t>
      </w:r>
      <w:r w:rsidR="00937830">
        <w:rPr>
          <w:sz w:val="26"/>
          <w:szCs w:val="26"/>
        </w:rPr>
        <w:t>pasažieru skaita samazinājumu 2020.-2021.gada laikā, ievērojot ar Covid-19 slimības apkarošanu saistīto piesardzības pasākumu noteikšanu gan pašos transportlīdzekļos, gan iedzīvotāju mobilitātes ierobežošanai</w:t>
      </w:r>
      <w:r w:rsidR="00B62BFD">
        <w:rPr>
          <w:sz w:val="26"/>
          <w:szCs w:val="26"/>
        </w:rPr>
        <w:t>, kad mainījušies</w:t>
      </w:r>
      <w:r w:rsidR="00B62BFD" w:rsidRPr="005A37BE">
        <w:rPr>
          <w:sz w:val="26"/>
          <w:szCs w:val="26"/>
        </w:rPr>
        <w:t xml:space="preserve"> iedzīvotāju</w:t>
      </w:r>
      <w:r w:rsidR="00B62BFD">
        <w:rPr>
          <w:sz w:val="26"/>
          <w:szCs w:val="26"/>
        </w:rPr>
        <w:t xml:space="preserve"> paradumi, pielāgojoties</w:t>
      </w:r>
      <w:r w:rsidR="00B62BFD" w:rsidRPr="005A37BE">
        <w:rPr>
          <w:sz w:val="26"/>
          <w:szCs w:val="26"/>
        </w:rPr>
        <w:t xml:space="preserve"> </w:t>
      </w:r>
      <w:r w:rsidR="00B62BFD">
        <w:rPr>
          <w:sz w:val="26"/>
          <w:szCs w:val="26"/>
        </w:rPr>
        <w:t>apstākļiem</w:t>
      </w:r>
      <w:r w:rsidR="00B62BFD" w:rsidRPr="005A37BE">
        <w:rPr>
          <w:sz w:val="26"/>
          <w:szCs w:val="26"/>
        </w:rPr>
        <w:t xml:space="preserve"> </w:t>
      </w:r>
      <w:r w:rsidR="00C654A9">
        <w:rPr>
          <w:sz w:val="26"/>
          <w:szCs w:val="26"/>
        </w:rPr>
        <w:t xml:space="preserve">un </w:t>
      </w:r>
      <w:r w:rsidR="00B62BFD" w:rsidRPr="005A37BE">
        <w:rPr>
          <w:sz w:val="26"/>
          <w:szCs w:val="26"/>
        </w:rPr>
        <w:t xml:space="preserve">veicot </w:t>
      </w:r>
      <w:r w:rsidR="00B62BFD">
        <w:rPr>
          <w:sz w:val="26"/>
          <w:szCs w:val="26"/>
        </w:rPr>
        <w:t xml:space="preserve">darbu </w:t>
      </w:r>
      <w:r w:rsidR="00B62BFD" w:rsidRPr="005A37BE">
        <w:rPr>
          <w:sz w:val="26"/>
          <w:szCs w:val="26"/>
        </w:rPr>
        <w:t>attālināti</w:t>
      </w:r>
      <w:r w:rsidR="00937830">
        <w:rPr>
          <w:sz w:val="26"/>
          <w:szCs w:val="26"/>
        </w:rPr>
        <w:t>.</w:t>
      </w:r>
    </w:p>
    <w:p w14:paraId="1FDB1197" w14:textId="37835183" w:rsidR="00917892" w:rsidRDefault="00917892" w:rsidP="00917892">
      <w:pPr>
        <w:ind w:firstLine="709"/>
        <w:jc w:val="both"/>
        <w:rPr>
          <w:sz w:val="26"/>
          <w:szCs w:val="26"/>
        </w:rPr>
      </w:pPr>
      <w:r>
        <w:rPr>
          <w:sz w:val="26"/>
          <w:szCs w:val="26"/>
        </w:rPr>
        <w:t>Maršrutu tīkls ir mainīgs</w:t>
      </w:r>
      <w:r w:rsidR="004E01DD">
        <w:rPr>
          <w:sz w:val="26"/>
          <w:szCs w:val="26"/>
        </w:rPr>
        <w:t xml:space="preserve">, jo </w:t>
      </w:r>
      <w:r w:rsidR="007F4816">
        <w:rPr>
          <w:sz w:val="26"/>
          <w:szCs w:val="26"/>
        </w:rPr>
        <w:t xml:space="preserve">ik gadu </w:t>
      </w:r>
      <w:r w:rsidR="004E01DD">
        <w:rPr>
          <w:sz w:val="26"/>
          <w:szCs w:val="26"/>
        </w:rPr>
        <w:t xml:space="preserve">tajā tiek veiktas izmaiņas </w:t>
      </w:r>
      <w:r w:rsidR="004B761A">
        <w:rPr>
          <w:sz w:val="26"/>
          <w:szCs w:val="26"/>
        </w:rPr>
        <w:t xml:space="preserve">atbilstoši </w:t>
      </w:r>
      <w:r>
        <w:rPr>
          <w:sz w:val="26"/>
          <w:szCs w:val="26"/>
        </w:rPr>
        <w:t xml:space="preserve">iedzīvotāju pieprasījumam </w:t>
      </w:r>
      <w:r w:rsidR="00076D91">
        <w:rPr>
          <w:sz w:val="26"/>
          <w:szCs w:val="26"/>
        </w:rPr>
        <w:t xml:space="preserve">un </w:t>
      </w:r>
      <w:r w:rsidR="00076D91" w:rsidRPr="00875A13">
        <w:rPr>
          <w:sz w:val="26"/>
          <w:szCs w:val="26"/>
        </w:rPr>
        <w:t xml:space="preserve">vajadzībām </w:t>
      </w:r>
      <w:r w:rsidRPr="00875A13">
        <w:rPr>
          <w:sz w:val="26"/>
          <w:szCs w:val="26"/>
        </w:rPr>
        <w:t>(skatīt</w:t>
      </w:r>
      <w:r w:rsidR="00076D91" w:rsidRPr="00875A13">
        <w:rPr>
          <w:sz w:val="26"/>
          <w:szCs w:val="26"/>
        </w:rPr>
        <w:t xml:space="preserve"> </w:t>
      </w:r>
      <w:r w:rsidRPr="00875A13">
        <w:rPr>
          <w:sz w:val="26"/>
          <w:szCs w:val="26"/>
        </w:rPr>
        <w:t>tabulu</w:t>
      </w:r>
      <w:r w:rsidR="00076D91" w:rsidRPr="00875A13">
        <w:rPr>
          <w:sz w:val="26"/>
          <w:szCs w:val="26"/>
        </w:rPr>
        <w:t xml:space="preserve"> Nr.1</w:t>
      </w:r>
      <w:r w:rsidRPr="00875A13">
        <w:rPr>
          <w:sz w:val="26"/>
          <w:szCs w:val="26"/>
        </w:rPr>
        <w:t>)</w:t>
      </w:r>
      <w:r w:rsidR="004B761A">
        <w:rPr>
          <w:sz w:val="26"/>
          <w:szCs w:val="26"/>
        </w:rPr>
        <w:t>.</w:t>
      </w:r>
    </w:p>
    <w:p w14:paraId="71EDB116" w14:textId="77777777" w:rsidR="00076D91" w:rsidRPr="00875A13" w:rsidRDefault="00076D91" w:rsidP="00076D91">
      <w:pPr>
        <w:ind w:firstLine="709"/>
        <w:jc w:val="right"/>
      </w:pPr>
      <w:r w:rsidRPr="00875A13">
        <w:t>Tabula Nr.1</w:t>
      </w:r>
    </w:p>
    <w:p w14:paraId="44BDAEA5" w14:textId="77777777" w:rsidR="00076D91" w:rsidRPr="00076D91" w:rsidRDefault="00076D91" w:rsidP="00076D91">
      <w:pPr>
        <w:ind w:firstLine="709"/>
        <w:jc w:val="right"/>
      </w:pPr>
      <w:r w:rsidRPr="00076D91">
        <w:t xml:space="preserve">Veiktās izmaiņas reģionālās nozīmes </w:t>
      </w:r>
    </w:p>
    <w:p w14:paraId="48FD57B2" w14:textId="6C4C4345" w:rsidR="00917892" w:rsidRPr="00076D91" w:rsidRDefault="00076D91" w:rsidP="00076D91">
      <w:pPr>
        <w:ind w:firstLine="709"/>
        <w:jc w:val="right"/>
      </w:pPr>
      <w:r w:rsidRPr="00076D91">
        <w:t xml:space="preserve">maršrutu tīklā pārvadājumos ar autobusiem </w:t>
      </w:r>
    </w:p>
    <w:tbl>
      <w:tblPr>
        <w:tblStyle w:val="TableGrid"/>
        <w:tblW w:w="9209" w:type="dxa"/>
        <w:tblLook w:val="04A0" w:firstRow="1" w:lastRow="0" w:firstColumn="1" w:lastColumn="0" w:noHBand="0" w:noVBand="1"/>
      </w:tblPr>
      <w:tblGrid>
        <w:gridCol w:w="3823"/>
        <w:gridCol w:w="1417"/>
        <w:gridCol w:w="1276"/>
        <w:gridCol w:w="1417"/>
        <w:gridCol w:w="1276"/>
      </w:tblGrid>
      <w:tr w:rsidR="00917892" w:rsidRPr="00076D91" w14:paraId="36AFEA7B" w14:textId="77777777" w:rsidTr="00076D91">
        <w:tc>
          <w:tcPr>
            <w:tcW w:w="3823" w:type="dxa"/>
          </w:tcPr>
          <w:p w14:paraId="7E23BD2B" w14:textId="77777777" w:rsidR="00917892" w:rsidRPr="00076D91" w:rsidRDefault="00917892" w:rsidP="00917892">
            <w:pPr>
              <w:jc w:val="both"/>
            </w:pPr>
          </w:p>
        </w:tc>
        <w:tc>
          <w:tcPr>
            <w:tcW w:w="1417" w:type="dxa"/>
          </w:tcPr>
          <w:p w14:paraId="3C1D0E76" w14:textId="0090ACEF" w:rsidR="00917892" w:rsidRPr="00076D91" w:rsidRDefault="00076D91" w:rsidP="00917892">
            <w:pPr>
              <w:jc w:val="both"/>
            </w:pPr>
            <w:r w:rsidRPr="00076D91">
              <w:t>2019.gads</w:t>
            </w:r>
          </w:p>
        </w:tc>
        <w:tc>
          <w:tcPr>
            <w:tcW w:w="1276" w:type="dxa"/>
          </w:tcPr>
          <w:p w14:paraId="41C097D0" w14:textId="5C613680" w:rsidR="00917892" w:rsidRPr="00076D91" w:rsidRDefault="00076D91" w:rsidP="00917892">
            <w:pPr>
              <w:jc w:val="both"/>
            </w:pPr>
            <w:r w:rsidRPr="00076D91">
              <w:t>2020.gads</w:t>
            </w:r>
          </w:p>
        </w:tc>
        <w:tc>
          <w:tcPr>
            <w:tcW w:w="1417" w:type="dxa"/>
          </w:tcPr>
          <w:p w14:paraId="148CE354" w14:textId="2BEF786B" w:rsidR="00917892" w:rsidRPr="00076D91" w:rsidRDefault="00076D91" w:rsidP="00917892">
            <w:pPr>
              <w:jc w:val="both"/>
            </w:pPr>
            <w:r w:rsidRPr="00076D91">
              <w:t>2021.gads</w:t>
            </w:r>
          </w:p>
        </w:tc>
        <w:tc>
          <w:tcPr>
            <w:tcW w:w="1276" w:type="dxa"/>
          </w:tcPr>
          <w:p w14:paraId="7BF9BC0B" w14:textId="76ED06C4" w:rsidR="00917892" w:rsidRPr="00076D91" w:rsidRDefault="00076D91" w:rsidP="00917892">
            <w:pPr>
              <w:jc w:val="both"/>
            </w:pPr>
            <w:r w:rsidRPr="00076D91">
              <w:t>2022.gads</w:t>
            </w:r>
          </w:p>
        </w:tc>
      </w:tr>
      <w:tr w:rsidR="00917892" w:rsidRPr="00076D91" w14:paraId="6CAA0B77" w14:textId="77777777" w:rsidTr="00076D91">
        <w:tc>
          <w:tcPr>
            <w:tcW w:w="3823" w:type="dxa"/>
          </w:tcPr>
          <w:p w14:paraId="15C34D86" w14:textId="5E2542EF" w:rsidR="00917892" w:rsidRPr="00076D91" w:rsidRDefault="00917892" w:rsidP="00917892">
            <w:pPr>
              <w:jc w:val="both"/>
            </w:pPr>
            <w:r w:rsidRPr="00076D91">
              <w:t>Atvērti maršruti</w:t>
            </w:r>
          </w:p>
        </w:tc>
        <w:tc>
          <w:tcPr>
            <w:tcW w:w="1417" w:type="dxa"/>
            <w:vAlign w:val="center"/>
          </w:tcPr>
          <w:p w14:paraId="0081C32F" w14:textId="7904BEE9" w:rsidR="00917892" w:rsidRPr="00076D91" w:rsidRDefault="00076D91" w:rsidP="00076D91">
            <w:pPr>
              <w:jc w:val="center"/>
            </w:pPr>
            <w:r w:rsidRPr="00076D91">
              <w:t>6</w:t>
            </w:r>
          </w:p>
        </w:tc>
        <w:tc>
          <w:tcPr>
            <w:tcW w:w="1276" w:type="dxa"/>
            <w:vAlign w:val="center"/>
          </w:tcPr>
          <w:p w14:paraId="0D2989B7" w14:textId="3C32919A" w:rsidR="00917892" w:rsidRPr="00076D91" w:rsidRDefault="00076D91" w:rsidP="00076D91">
            <w:pPr>
              <w:jc w:val="center"/>
            </w:pPr>
            <w:r>
              <w:t>3</w:t>
            </w:r>
          </w:p>
        </w:tc>
        <w:tc>
          <w:tcPr>
            <w:tcW w:w="1417" w:type="dxa"/>
            <w:vAlign w:val="center"/>
          </w:tcPr>
          <w:p w14:paraId="0D94E855" w14:textId="40237475" w:rsidR="00917892" w:rsidRPr="00076D91" w:rsidRDefault="00076D91" w:rsidP="00076D91">
            <w:pPr>
              <w:jc w:val="center"/>
            </w:pPr>
            <w:r>
              <w:t>7</w:t>
            </w:r>
          </w:p>
        </w:tc>
        <w:tc>
          <w:tcPr>
            <w:tcW w:w="1276" w:type="dxa"/>
            <w:vAlign w:val="center"/>
          </w:tcPr>
          <w:p w14:paraId="24A1C25C" w14:textId="0EEF0B21" w:rsidR="00917892" w:rsidRPr="00076D91" w:rsidRDefault="00076D91" w:rsidP="00076D91">
            <w:pPr>
              <w:jc w:val="center"/>
            </w:pPr>
            <w:r>
              <w:t>16</w:t>
            </w:r>
          </w:p>
        </w:tc>
      </w:tr>
      <w:tr w:rsidR="00917892" w:rsidRPr="00076D91" w14:paraId="72365228" w14:textId="77777777" w:rsidTr="00076D91">
        <w:tc>
          <w:tcPr>
            <w:tcW w:w="3823" w:type="dxa"/>
          </w:tcPr>
          <w:p w14:paraId="5286B3BA" w14:textId="0A15E4CB" w:rsidR="00917892" w:rsidRPr="00076D91" w:rsidRDefault="00917892" w:rsidP="00917892">
            <w:pPr>
              <w:jc w:val="both"/>
            </w:pPr>
            <w:r w:rsidRPr="00076D91">
              <w:t xml:space="preserve">Atvērti reisi </w:t>
            </w:r>
          </w:p>
        </w:tc>
        <w:tc>
          <w:tcPr>
            <w:tcW w:w="1417" w:type="dxa"/>
            <w:vAlign w:val="center"/>
          </w:tcPr>
          <w:p w14:paraId="14A9C090" w14:textId="181A93E9" w:rsidR="00917892" w:rsidRPr="00076D91" w:rsidRDefault="00076D91" w:rsidP="00076D91">
            <w:pPr>
              <w:jc w:val="center"/>
            </w:pPr>
            <w:r>
              <w:t>963</w:t>
            </w:r>
          </w:p>
        </w:tc>
        <w:tc>
          <w:tcPr>
            <w:tcW w:w="1276" w:type="dxa"/>
            <w:vAlign w:val="center"/>
          </w:tcPr>
          <w:p w14:paraId="4F4D0D8F" w14:textId="7F6E7E77" w:rsidR="00917892" w:rsidRPr="00076D91" w:rsidRDefault="00076D91" w:rsidP="00076D91">
            <w:pPr>
              <w:jc w:val="center"/>
            </w:pPr>
            <w:r>
              <w:t>495</w:t>
            </w:r>
          </w:p>
        </w:tc>
        <w:tc>
          <w:tcPr>
            <w:tcW w:w="1417" w:type="dxa"/>
            <w:vAlign w:val="center"/>
          </w:tcPr>
          <w:p w14:paraId="5A0DF818" w14:textId="753170D3" w:rsidR="00917892" w:rsidRPr="00076D91" w:rsidRDefault="00076D91" w:rsidP="00076D91">
            <w:pPr>
              <w:jc w:val="center"/>
            </w:pPr>
            <w:r>
              <w:t>430</w:t>
            </w:r>
          </w:p>
        </w:tc>
        <w:tc>
          <w:tcPr>
            <w:tcW w:w="1276" w:type="dxa"/>
            <w:vAlign w:val="center"/>
          </w:tcPr>
          <w:p w14:paraId="64F3A60E" w14:textId="7948F90C" w:rsidR="00917892" w:rsidRPr="00076D91" w:rsidRDefault="00076D91" w:rsidP="00076D91">
            <w:pPr>
              <w:jc w:val="center"/>
            </w:pPr>
            <w:r>
              <w:t>542</w:t>
            </w:r>
          </w:p>
        </w:tc>
      </w:tr>
      <w:tr w:rsidR="00917892" w:rsidRPr="00076D91" w14:paraId="13A592EB" w14:textId="77777777" w:rsidTr="00076D91">
        <w:tc>
          <w:tcPr>
            <w:tcW w:w="3823" w:type="dxa"/>
          </w:tcPr>
          <w:p w14:paraId="28FAB807" w14:textId="482A2D8C" w:rsidR="00917892" w:rsidRPr="00076D91" w:rsidRDefault="00917892" w:rsidP="00917892">
            <w:pPr>
              <w:jc w:val="both"/>
            </w:pPr>
            <w:r w:rsidRPr="00076D91">
              <w:t>Slēgti maršruti</w:t>
            </w:r>
          </w:p>
        </w:tc>
        <w:tc>
          <w:tcPr>
            <w:tcW w:w="1417" w:type="dxa"/>
            <w:vAlign w:val="center"/>
          </w:tcPr>
          <w:p w14:paraId="3572A2CF" w14:textId="4EA90B90" w:rsidR="00917892" w:rsidRPr="00076D91" w:rsidRDefault="00076D91" w:rsidP="00076D91">
            <w:pPr>
              <w:jc w:val="center"/>
            </w:pPr>
            <w:r>
              <w:t>8</w:t>
            </w:r>
          </w:p>
        </w:tc>
        <w:tc>
          <w:tcPr>
            <w:tcW w:w="1276" w:type="dxa"/>
            <w:vAlign w:val="center"/>
          </w:tcPr>
          <w:p w14:paraId="09DCB6DE" w14:textId="4CF69E5B" w:rsidR="00917892" w:rsidRPr="00076D91" w:rsidRDefault="00076D91" w:rsidP="00076D91">
            <w:pPr>
              <w:jc w:val="center"/>
            </w:pPr>
            <w:r>
              <w:t>5</w:t>
            </w:r>
          </w:p>
        </w:tc>
        <w:tc>
          <w:tcPr>
            <w:tcW w:w="1417" w:type="dxa"/>
            <w:vAlign w:val="center"/>
          </w:tcPr>
          <w:p w14:paraId="73602A0D" w14:textId="2E3DEEF6" w:rsidR="00917892" w:rsidRPr="00076D91" w:rsidRDefault="00076D91" w:rsidP="00076D91">
            <w:pPr>
              <w:jc w:val="center"/>
            </w:pPr>
            <w:r>
              <w:t>24</w:t>
            </w:r>
          </w:p>
        </w:tc>
        <w:tc>
          <w:tcPr>
            <w:tcW w:w="1276" w:type="dxa"/>
            <w:vAlign w:val="center"/>
          </w:tcPr>
          <w:p w14:paraId="4B3A38E5" w14:textId="7F874CCC" w:rsidR="00917892" w:rsidRPr="00076D91" w:rsidRDefault="00076D91" w:rsidP="00076D91">
            <w:pPr>
              <w:jc w:val="center"/>
            </w:pPr>
            <w:r>
              <w:t>9</w:t>
            </w:r>
          </w:p>
        </w:tc>
      </w:tr>
      <w:tr w:rsidR="00917892" w:rsidRPr="00076D91" w14:paraId="7C41709B" w14:textId="77777777" w:rsidTr="00076D91">
        <w:tc>
          <w:tcPr>
            <w:tcW w:w="3823" w:type="dxa"/>
          </w:tcPr>
          <w:p w14:paraId="5848468B" w14:textId="6815D606" w:rsidR="00917892" w:rsidRPr="00076D91" w:rsidRDefault="00917892" w:rsidP="00917892">
            <w:pPr>
              <w:jc w:val="both"/>
            </w:pPr>
            <w:r w:rsidRPr="00076D91">
              <w:t>Slēgti reisi</w:t>
            </w:r>
          </w:p>
        </w:tc>
        <w:tc>
          <w:tcPr>
            <w:tcW w:w="1417" w:type="dxa"/>
            <w:vAlign w:val="center"/>
          </w:tcPr>
          <w:p w14:paraId="67C71E82" w14:textId="2EC94FBE" w:rsidR="00917892" w:rsidRPr="00076D91" w:rsidRDefault="00076D91" w:rsidP="00076D91">
            <w:pPr>
              <w:jc w:val="center"/>
            </w:pPr>
            <w:r>
              <w:t>1056</w:t>
            </w:r>
          </w:p>
        </w:tc>
        <w:tc>
          <w:tcPr>
            <w:tcW w:w="1276" w:type="dxa"/>
            <w:vAlign w:val="center"/>
          </w:tcPr>
          <w:p w14:paraId="5CEA3D2A" w14:textId="2E170875" w:rsidR="00917892" w:rsidRPr="00076D91" w:rsidRDefault="00076D91" w:rsidP="00076D91">
            <w:pPr>
              <w:jc w:val="center"/>
            </w:pPr>
            <w:r>
              <w:t>583</w:t>
            </w:r>
          </w:p>
        </w:tc>
        <w:tc>
          <w:tcPr>
            <w:tcW w:w="1417" w:type="dxa"/>
            <w:vAlign w:val="center"/>
          </w:tcPr>
          <w:p w14:paraId="2139493B" w14:textId="3D87FAE5" w:rsidR="00917892" w:rsidRPr="00076D91" w:rsidRDefault="00076D91" w:rsidP="00076D91">
            <w:pPr>
              <w:jc w:val="center"/>
            </w:pPr>
            <w:r>
              <w:t>450</w:t>
            </w:r>
          </w:p>
        </w:tc>
        <w:tc>
          <w:tcPr>
            <w:tcW w:w="1276" w:type="dxa"/>
            <w:vAlign w:val="center"/>
          </w:tcPr>
          <w:p w14:paraId="2DBB0F29" w14:textId="25BA4B97" w:rsidR="00917892" w:rsidRPr="00076D91" w:rsidRDefault="00076D91" w:rsidP="00076D91">
            <w:pPr>
              <w:jc w:val="center"/>
            </w:pPr>
            <w:r>
              <w:t>242</w:t>
            </w:r>
          </w:p>
        </w:tc>
      </w:tr>
      <w:tr w:rsidR="00076D91" w:rsidRPr="00076D91" w14:paraId="29A7B4A3" w14:textId="77777777" w:rsidTr="00076D91">
        <w:tc>
          <w:tcPr>
            <w:tcW w:w="3823" w:type="dxa"/>
          </w:tcPr>
          <w:p w14:paraId="71C70848" w14:textId="3FFC0DEF" w:rsidR="00076D91" w:rsidRPr="00076D91" w:rsidRDefault="00076D91" w:rsidP="00917892">
            <w:pPr>
              <w:jc w:val="both"/>
            </w:pPr>
            <w:r>
              <w:t>Citi grozījumi (piemēram, pieturvietas maiņa, izpildes dienas, atiešanas laiki, u.c.)</w:t>
            </w:r>
          </w:p>
        </w:tc>
        <w:tc>
          <w:tcPr>
            <w:tcW w:w="1417" w:type="dxa"/>
            <w:vAlign w:val="center"/>
          </w:tcPr>
          <w:p w14:paraId="7B95967B" w14:textId="6640BE6E" w:rsidR="00076D91" w:rsidRDefault="00076D91" w:rsidP="00076D91">
            <w:pPr>
              <w:jc w:val="center"/>
            </w:pPr>
            <w:r>
              <w:t>1816</w:t>
            </w:r>
          </w:p>
        </w:tc>
        <w:tc>
          <w:tcPr>
            <w:tcW w:w="1276" w:type="dxa"/>
            <w:vAlign w:val="center"/>
          </w:tcPr>
          <w:p w14:paraId="34BAF547" w14:textId="282F06D3" w:rsidR="00076D91" w:rsidRPr="00076D91" w:rsidRDefault="00076D91" w:rsidP="00076D91">
            <w:pPr>
              <w:jc w:val="center"/>
            </w:pPr>
            <w:r>
              <w:t>2589</w:t>
            </w:r>
          </w:p>
        </w:tc>
        <w:tc>
          <w:tcPr>
            <w:tcW w:w="1417" w:type="dxa"/>
            <w:vAlign w:val="center"/>
          </w:tcPr>
          <w:p w14:paraId="036083BB" w14:textId="041F20A2" w:rsidR="00076D91" w:rsidRPr="00076D91" w:rsidRDefault="00076D91" w:rsidP="00076D91">
            <w:pPr>
              <w:jc w:val="center"/>
            </w:pPr>
            <w:r>
              <w:t>2959</w:t>
            </w:r>
          </w:p>
        </w:tc>
        <w:tc>
          <w:tcPr>
            <w:tcW w:w="1276" w:type="dxa"/>
            <w:vAlign w:val="center"/>
          </w:tcPr>
          <w:p w14:paraId="28AA55BB" w14:textId="23F4137D" w:rsidR="00076D91" w:rsidRPr="00076D91" w:rsidRDefault="00076D91" w:rsidP="00076D91">
            <w:pPr>
              <w:jc w:val="center"/>
            </w:pPr>
            <w:r>
              <w:t>2513</w:t>
            </w:r>
          </w:p>
        </w:tc>
      </w:tr>
      <w:tr w:rsidR="00917892" w:rsidRPr="00076D91" w14:paraId="708D9DEF" w14:textId="77777777" w:rsidTr="00076D91">
        <w:tc>
          <w:tcPr>
            <w:tcW w:w="3823" w:type="dxa"/>
          </w:tcPr>
          <w:p w14:paraId="55E8DD9D" w14:textId="4604AB75" w:rsidR="00917892" w:rsidRPr="00076D91" w:rsidRDefault="00917892" w:rsidP="00917892">
            <w:pPr>
              <w:jc w:val="both"/>
            </w:pPr>
            <w:r w:rsidRPr="00076D91">
              <w:t xml:space="preserve">Izmaiņas </w:t>
            </w:r>
            <w:r w:rsidR="00076D91">
              <w:t xml:space="preserve">maršrutos, </w:t>
            </w:r>
            <w:r w:rsidRPr="00076D91">
              <w:t xml:space="preserve">pieskaņojot vai atverot reisus izglītības iestāžu vajadzībām </w:t>
            </w:r>
          </w:p>
        </w:tc>
        <w:tc>
          <w:tcPr>
            <w:tcW w:w="1417" w:type="dxa"/>
            <w:vAlign w:val="center"/>
          </w:tcPr>
          <w:p w14:paraId="618AC48C" w14:textId="26A3981D" w:rsidR="00917892" w:rsidRPr="00076D91" w:rsidRDefault="00076D91" w:rsidP="00076D91">
            <w:pPr>
              <w:jc w:val="center"/>
            </w:pPr>
            <w:r>
              <w:t>72</w:t>
            </w:r>
          </w:p>
        </w:tc>
        <w:tc>
          <w:tcPr>
            <w:tcW w:w="1276" w:type="dxa"/>
            <w:vAlign w:val="center"/>
          </w:tcPr>
          <w:p w14:paraId="23A31A02" w14:textId="37B80326" w:rsidR="00917892" w:rsidRPr="00076D91" w:rsidRDefault="00076D91" w:rsidP="00076D91">
            <w:pPr>
              <w:jc w:val="center"/>
            </w:pPr>
            <w:r>
              <w:t>52</w:t>
            </w:r>
          </w:p>
        </w:tc>
        <w:tc>
          <w:tcPr>
            <w:tcW w:w="1417" w:type="dxa"/>
            <w:vAlign w:val="center"/>
          </w:tcPr>
          <w:p w14:paraId="43298ED3" w14:textId="09A371FD" w:rsidR="00917892" w:rsidRPr="00076D91" w:rsidRDefault="00076D91" w:rsidP="00076D91">
            <w:pPr>
              <w:jc w:val="center"/>
            </w:pPr>
            <w:r>
              <w:t>34</w:t>
            </w:r>
          </w:p>
        </w:tc>
        <w:tc>
          <w:tcPr>
            <w:tcW w:w="1276" w:type="dxa"/>
            <w:vAlign w:val="center"/>
          </w:tcPr>
          <w:p w14:paraId="2C591529" w14:textId="3C15DA6D" w:rsidR="00917892" w:rsidRPr="00076D91" w:rsidRDefault="00076D91" w:rsidP="00076D91">
            <w:pPr>
              <w:jc w:val="center"/>
            </w:pPr>
            <w:r>
              <w:t>44</w:t>
            </w:r>
          </w:p>
        </w:tc>
      </w:tr>
    </w:tbl>
    <w:p w14:paraId="1647F1C4" w14:textId="6112982F" w:rsidR="00917892" w:rsidRDefault="00917892" w:rsidP="00917892">
      <w:pPr>
        <w:ind w:firstLine="709"/>
        <w:jc w:val="both"/>
        <w:rPr>
          <w:sz w:val="26"/>
          <w:szCs w:val="26"/>
        </w:rPr>
      </w:pPr>
    </w:p>
    <w:p w14:paraId="194AEAAE" w14:textId="40BA4E22" w:rsidR="001F1F09" w:rsidRDefault="001F1F09" w:rsidP="001F1F09">
      <w:pPr>
        <w:ind w:firstLine="709"/>
        <w:jc w:val="both"/>
        <w:rPr>
          <w:rFonts w:eastAsia="Calibri"/>
          <w:sz w:val="26"/>
          <w:szCs w:val="26"/>
        </w:rPr>
      </w:pPr>
      <w:r w:rsidRPr="001F1F09">
        <w:rPr>
          <w:sz w:val="26"/>
          <w:szCs w:val="26"/>
        </w:rPr>
        <w:t xml:space="preserve">Lai nodrošinātu </w:t>
      </w:r>
      <w:r w:rsidR="001A5DA4">
        <w:rPr>
          <w:sz w:val="26"/>
          <w:szCs w:val="26"/>
        </w:rPr>
        <w:t>STP Likumā</w:t>
      </w:r>
      <w:r w:rsidRPr="0053392A">
        <w:rPr>
          <w:sz w:val="26"/>
          <w:szCs w:val="26"/>
        </w:rPr>
        <w:t xml:space="preserve"> noteikto prasību izpildi, Satiksmes ministrija </w:t>
      </w:r>
      <w:r>
        <w:rPr>
          <w:sz w:val="26"/>
          <w:szCs w:val="26"/>
        </w:rPr>
        <w:t xml:space="preserve">sadarbībā </w:t>
      </w:r>
      <w:r w:rsidRPr="0053392A">
        <w:rPr>
          <w:sz w:val="26"/>
          <w:szCs w:val="26"/>
        </w:rPr>
        <w:t xml:space="preserve">ar Autotransporta direkciju turpina darbu pie sabiedriskā transporta pakalpojumu </w:t>
      </w:r>
      <w:r w:rsidR="0009405B">
        <w:rPr>
          <w:sz w:val="26"/>
          <w:szCs w:val="26"/>
        </w:rPr>
        <w:t>attīstības virzieniem laika periodā no</w:t>
      </w:r>
      <w:r w:rsidR="0009405B" w:rsidRPr="0053392A">
        <w:rPr>
          <w:sz w:val="26"/>
          <w:szCs w:val="26"/>
        </w:rPr>
        <w:t xml:space="preserve"> </w:t>
      </w:r>
      <w:r w:rsidRPr="0053392A">
        <w:rPr>
          <w:sz w:val="26"/>
          <w:szCs w:val="26"/>
        </w:rPr>
        <w:t>2021.-2030.gadam</w:t>
      </w:r>
      <w:r>
        <w:rPr>
          <w:rStyle w:val="FootnoteReference"/>
          <w:sz w:val="26"/>
          <w:szCs w:val="26"/>
        </w:rPr>
        <w:footnoteReference w:id="2"/>
      </w:r>
      <w:r w:rsidRPr="0053392A">
        <w:rPr>
          <w:sz w:val="26"/>
          <w:szCs w:val="26"/>
        </w:rPr>
        <w:t xml:space="preserve"> īstenošanas, </w:t>
      </w:r>
      <w:r w:rsidR="004E01DD">
        <w:rPr>
          <w:sz w:val="26"/>
          <w:szCs w:val="26"/>
        </w:rPr>
        <w:t xml:space="preserve">atbilstoši </w:t>
      </w:r>
      <w:r w:rsidRPr="0053392A">
        <w:rPr>
          <w:sz w:val="26"/>
          <w:szCs w:val="26"/>
        </w:rPr>
        <w:t>kur</w:t>
      </w:r>
      <w:r w:rsidR="005F2005">
        <w:rPr>
          <w:sz w:val="26"/>
          <w:szCs w:val="26"/>
        </w:rPr>
        <w:t>iem</w:t>
      </w:r>
      <w:r w:rsidRPr="0053392A">
        <w:rPr>
          <w:sz w:val="26"/>
          <w:szCs w:val="26"/>
        </w:rPr>
        <w:t xml:space="preserve"> </w:t>
      </w:r>
      <w:r w:rsidRPr="0053392A">
        <w:rPr>
          <w:rFonts w:eastAsia="Calibri"/>
          <w:sz w:val="26"/>
          <w:szCs w:val="26"/>
        </w:rPr>
        <w:t xml:space="preserve">galvenais pasažieru pārvadāšanas veids maršrutos ar lielu pasažieru plūsmu ir dzelzceļa pārvadājumi. Savukārt pārvadājumi ar autobusiem tiek veikti vietās, kur vilcieni nekursē, vai arī kā pārvadājumi, kas pieved pasažierus vilcienu satiksmei, tādējādi </w:t>
      </w:r>
      <w:r>
        <w:rPr>
          <w:rFonts w:eastAsia="Calibri"/>
          <w:sz w:val="26"/>
          <w:szCs w:val="26"/>
        </w:rPr>
        <w:t xml:space="preserve">nokļūšanai galamērķī </w:t>
      </w:r>
      <w:r w:rsidRPr="0053392A">
        <w:rPr>
          <w:rFonts w:eastAsia="Calibri"/>
          <w:sz w:val="26"/>
          <w:szCs w:val="26"/>
        </w:rPr>
        <w:t>integrējot vairākus sabiedriskā transporta veidus. Šāda saskaņota transportu kustība palielina pasažieru mobilitātes iespējas, kā arī dažos gadījumos galamērķī iespējams nokļūt ātrāk, izmantojot vilciena un autobusu savienojumu un šāds savienojums var būt līdzvērtīga vai pat labāka mobilitātes iespēja salīdzinājumā</w:t>
      </w:r>
      <w:r>
        <w:rPr>
          <w:rFonts w:eastAsia="Calibri"/>
          <w:sz w:val="26"/>
          <w:szCs w:val="26"/>
        </w:rPr>
        <w:t xml:space="preserve"> ar pārvietošanos</w:t>
      </w:r>
      <w:r w:rsidRPr="0053392A">
        <w:rPr>
          <w:rFonts w:eastAsia="Calibri"/>
          <w:sz w:val="26"/>
          <w:szCs w:val="26"/>
        </w:rPr>
        <w:t xml:space="preserve"> </w:t>
      </w:r>
      <w:r>
        <w:rPr>
          <w:rFonts w:eastAsia="Calibri"/>
          <w:sz w:val="26"/>
          <w:szCs w:val="26"/>
        </w:rPr>
        <w:t xml:space="preserve">tikai </w:t>
      </w:r>
      <w:r w:rsidRPr="0053392A">
        <w:rPr>
          <w:rFonts w:eastAsia="Calibri"/>
          <w:sz w:val="26"/>
          <w:szCs w:val="26"/>
        </w:rPr>
        <w:t>ar autobusu.</w:t>
      </w:r>
      <w:r w:rsidR="001A5DA4">
        <w:rPr>
          <w:rFonts w:eastAsia="Calibri"/>
          <w:sz w:val="26"/>
          <w:szCs w:val="26"/>
        </w:rPr>
        <w:t xml:space="preserve"> </w:t>
      </w:r>
    </w:p>
    <w:p w14:paraId="3FA2EE37" w14:textId="185EF688" w:rsidR="00673028" w:rsidRPr="00521A98" w:rsidRDefault="00673028" w:rsidP="00521A98">
      <w:pPr>
        <w:ind w:firstLine="709"/>
        <w:jc w:val="both"/>
        <w:rPr>
          <w:rFonts w:eastAsia="Calibri"/>
          <w:sz w:val="26"/>
          <w:szCs w:val="26"/>
        </w:rPr>
      </w:pPr>
      <w:r w:rsidRPr="004916D4">
        <w:rPr>
          <w:sz w:val="26"/>
          <w:szCs w:val="26"/>
        </w:rPr>
        <w:lastRenderedPageBreak/>
        <w:t xml:space="preserve">Atbilstoši </w:t>
      </w:r>
      <w:r w:rsidR="001A5DA4">
        <w:rPr>
          <w:sz w:val="26"/>
          <w:szCs w:val="26"/>
        </w:rPr>
        <w:t>STP Likuma</w:t>
      </w:r>
      <w:r w:rsidRPr="004916D4">
        <w:rPr>
          <w:sz w:val="26"/>
          <w:szCs w:val="26"/>
        </w:rPr>
        <w:t xml:space="preserve"> 8.</w:t>
      </w:r>
      <w:r w:rsidRPr="004916D4">
        <w:rPr>
          <w:sz w:val="26"/>
          <w:szCs w:val="26"/>
          <w:vertAlign w:val="superscript"/>
        </w:rPr>
        <w:t>1</w:t>
      </w:r>
      <w:r>
        <w:rPr>
          <w:sz w:val="26"/>
          <w:szCs w:val="26"/>
          <w:vertAlign w:val="superscript"/>
        </w:rPr>
        <w:t xml:space="preserve"> </w:t>
      </w:r>
      <w:r w:rsidRPr="004916D4">
        <w:rPr>
          <w:sz w:val="26"/>
          <w:szCs w:val="26"/>
        </w:rPr>
        <w:t xml:space="preserve">pantam un Ministru kabineta 2021.gada 6.jūlija noteikumiem Nr.486 “Noteikumi par iekšzemes regulārajiem pasažieru komerciālajiem pārvadājumiem ar autobusu”, kā arī </w:t>
      </w:r>
      <w:r w:rsidRPr="004916D4">
        <w:rPr>
          <w:rFonts w:eastAsia="Calibri"/>
          <w:sz w:val="26"/>
          <w:szCs w:val="26"/>
        </w:rPr>
        <w:t>Sabiedriskā transporta padomes lēmumam</w:t>
      </w:r>
      <w:r w:rsidR="00C935CC">
        <w:rPr>
          <w:rFonts w:eastAsia="Calibri"/>
          <w:sz w:val="26"/>
          <w:szCs w:val="26"/>
        </w:rPr>
        <w:t xml:space="preserve"> 2021. gada 9. jūlija</w:t>
      </w:r>
      <w:r w:rsidRPr="004916D4">
        <w:rPr>
          <w:rFonts w:eastAsia="Calibri"/>
          <w:sz w:val="26"/>
          <w:szCs w:val="26"/>
        </w:rPr>
        <w:t xml:space="preserve"> Nr.4 (prot.Nr.5</w:t>
      </w:r>
      <w:r>
        <w:rPr>
          <w:rFonts w:eastAsia="Calibri"/>
          <w:sz w:val="26"/>
          <w:szCs w:val="26"/>
        </w:rPr>
        <w:t xml:space="preserve">, </w:t>
      </w:r>
      <w:r w:rsidRPr="004916D4">
        <w:rPr>
          <w:rFonts w:eastAsia="Calibri"/>
          <w:sz w:val="26"/>
          <w:szCs w:val="26"/>
        </w:rPr>
        <w:t>4</w:t>
      </w:r>
      <w:r>
        <w:rPr>
          <w:rFonts w:eastAsia="Calibri"/>
          <w:sz w:val="26"/>
          <w:szCs w:val="26"/>
        </w:rPr>
        <w:t>.</w:t>
      </w:r>
      <w:r w:rsidRPr="004916D4">
        <w:rPr>
          <w:rFonts w:eastAsia="Calibri"/>
          <w:sz w:val="26"/>
          <w:szCs w:val="26"/>
        </w:rPr>
        <w:t xml:space="preserve">§) “Par iekšzemes regulāro pasažieru komerciālo pārvadājumu ar autobusiem ieviešanu”, </w:t>
      </w:r>
      <w:r w:rsidR="001A5DA4">
        <w:rPr>
          <w:rFonts w:eastAsia="Calibri"/>
          <w:sz w:val="26"/>
          <w:szCs w:val="26"/>
        </w:rPr>
        <w:t xml:space="preserve">2021.gadā </w:t>
      </w:r>
      <w:r w:rsidRPr="004916D4">
        <w:rPr>
          <w:rFonts w:eastAsia="Calibri"/>
          <w:sz w:val="26"/>
          <w:szCs w:val="26"/>
        </w:rPr>
        <w:t>tika atbalstīta komerciālo maršrutu</w:t>
      </w:r>
      <w:r>
        <w:rPr>
          <w:rFonts w:eastAsia="Calibri"/>
          <w:sz w:val="26"/>
          <w:szCs w:val="26"/>
        </w:rPr>
        <w:t xml:space="preserve"> ieviešana. </w:t>
      </w:r>
      <w:r>
        <w:rPr>
          <w:rFonts w:eastAsia="Calibri" w:cs="Calibri"/>
          <w:sz w:val="26"/>
          <w:szCs w:val="26"/>
        </w:rPr>
        <w:t>K</w:t>
      </w:r>
      <w:r w:rsidRPr="00EE6585">
        <w:rPr>
          <w:rFonts w:eastAsia="Calibri" w:cs="Calibri"/>
          <w:sz w:val="26"/>
          <w:szCs w:val="26"/>
        </w:rPr>
        <w:t xml:space="preserve">omerciālie maršruti ir izveidoti tajos virzienos, kur primāri kursē vilciens, </w:t>
      </w:r>
      <w:r w:rsidRPr="00521A98">
        <w:rPr>
          <w:rFonts w:eastAsia="Calibri" w:cs="Calibri"/>
          <w:sz w:val="26"/>
          <w:szCs w:val="26"/>
        </w:rPr>
        <w:t>liekot lielāku uzsvaru uz vilcienu satiksmi</w:t>
      </w:r>
      <w:r w:rsidR="00633347" w:rsidRPr="00521A98">
        <w:rPr>
          <w:rFonts w:eastAsia="Calibri" w:cs="Calibri"/>
          <w:sz w:val="26"/>
          <w:szCs w:val="26"/>
        </w:rPr>
        <w:t>.</w:t>
      </w:r>
      <w:r w:rsidRPr="00521A98">
        <w:rPr>
          <w:bCs/>
          <w:sz w:val="26"/>
          <w:szCs w:val="26"/>
        </w:rPr>
        <w:t xml:space="preserve"> Vienlaikus komerciālo maršrutu apkalpošanai nav paredzēts valsts budžeta finansējums, un pārvadātājam jānodrošina </w:t>
      </w:r>
      <w:r w:rsidR="00633347" w:rsidRPr="00521A98">
        <w:rPr>
          <w:bCs/>
          <w:sz w:val="26"/>
          <w:szCs w:val="26"/>
        </w:rPr>
        <w:t>normatīvajos aktos</w:t>
      </w:r>
      <w:r w:rsidRPr="00521A98">
        <w:rPr>
          <w:bCs/>
          <w:sz w:val="26"/>
          <w:szCs w:val="26"/>
        </w:rPr>
        <w:t xml:space="preserve"> noteiktās sabiedriskā transporta pakalpojumu kvalitātes prasības, kā arī valsts noteikto pasažieru ar braukšanas maksas atvieglojumiem pārvadāšana. </w:t>
      </w:r>
    </w:p>
    <w:p w14:paraId="3E1A1175" w14:textId="46543EE6" w:rsidR="00E243CE" w:rsidRPr="00521A98" w:rsidRDefault="00673028" w:rsidP="00253511">
      <w:pPr>
        <w:ind w:firstLine="709"/>
        <w:jc w:val="both"/>
        <w:rPr>
          <w:sz w:val="26"/>
          <w:szCs w:val="26"/>
        </w:rPr>
      </w:pPr>
      <w:r w:rsidRPr="00521A98">
        <w:rPr>
          <w:sz w:val="26"/>
          <w:szCs w:val="26"/>
        </w:rPr>
        <w:t>Īstenojot augstākminētos mērķus, p</w:t>
      </w:r>
      <w:r w:rsidR="00E243CE" w:rsidRPr="00521A98">
        <w:rPr>
          <w:sz w:val="26"/>
          <w:szCs w:val="26"/>
        </w:rPr>
        <w:t xml:space="preserve">ēdējo </w:t>
      </w:r>
      <w:r w:rsidR="00E33806" w:rsidRPr="00521A98">
        <w:rPr>
          <w:sz w:val="26"/>
          <w:szCs w:val="26"/>
        </w:rPr>
        <w:t>četru</w:t>
      </w:r>
      <w:r w:rsidR="00E243CE" w:rsidRPr="00521A98">
        <w:rPr>
          <w:sz w:val="26"/>
          <w:szCs w:val="26"/>
        </w:rPr>
        <w:t xml:space="preserve"> gadu tendences liecina, ka reģionālais maršrutu tīkls </w:t>
      </w:r>
      <w:r w:rsidR="001F1F09" w:rsidRPr="00521A98">
        <w:rPr>
          <w:sz w:val="26"/>
          <w:szCs w:val="26"/>
        </w:rPr>
        <w:t xml:space="preserve">ir būtiski </w:t>
      </w:r>
      <w:r w:rsidR="00E243CE" w:rsidRPr="00521A98">
        <w:rPr>
          <w:sz w:val="26"/>
          <w:szCs w:val="26"/>
        </w:rPr>
        <w:t>mainījies – vēl 201</w:t>
      </w:r>
      <w:r w:rsidR="001F1F09" w:rsidRPr="00521A98">
        <w:rPr>
          <w:sz w:val="26"/>
          <w:szCs w:val="26"/>
        </w:rPr>
        <w:t>9</w:t>
      </w:r>
      <w:r w:rsidR="00E243CE" w:rsidRPr="00521A98">
        <w:rPr>
          <w:sz w:val="26"/>
          <w:szCs w:val="26"/>
        </w:rPr>
        <w:t>. gad</w:t>
      </w:r>
      <w:r w:rsidR="007F4816" w:rsidRPr="00521A98">
        <w:rPr>
          <w:sz w:val="26"/>
          <w:szCs w:val="26"/>
        </w:rPr>
        <w:t>ā</w:t>
      </w:r>
      <w:r w:rsidR="00E243CE" w:rsidRPr="00521A98">
        <w:rPr>
          <w:sz w:val="26"/>
          <w:szCs w:val="26"/>
        </w:rPr>
        <w:t xml:space="preserve"> </w:t>
      </w:r>
      <w:r w:rsidR="001F1F09" w:rsidRPr="00521A98">
        <w:rPr>
          <w:sz w:val="26"/>
          <w:szCs w:val="26"/>
        </w:rPr>
        <w:t xml:space="preserve">nobraukums reģionālās nozīmes pārvadājumiem ar autobusiem ieņēma </w:t>
      </w:r>
      <w:r w:rsidR="00C9516E" w:rsidRPr="00521A98">
        <w:rPr>
          <w:sz w:val="26"/>
          <w:szCs w:val="26"/>
        </w:rPr>
        <w:t xml:space="preserve">lielu īpatsvaru </w:t>
      </w:r>
      <w:r w:rsidRPr="00521A98">
        <w:rPr>
          <w:sz w:val="26"/>
          <w:szCs w:val="26"/>
        </w:rPr>
        <w:t xml:space="preserve">kopējā reģionālās nozīmes maršrutu tīklā, bet jau 2022.gadā, veicot reģionālās nozīmes pārvadājumu ar autobusiem maršrutu un reisu slēgšanu, </w:t>
      </w:r>
      <w:r w:rsidR="0026495E" w:rsidRPr="00521A98">
        <w:rPr>
          <w:sz w:val="26"/>
          <w:szCs w:val="26"/>
        </w:rPr>
        <w:t>bet vilcienu segmentā atbilstoši vilcienu sastāvu kapacitātei</w:t>
      </w:r>
      <w:r w:rsidR="00771815" w:rsidRPr="00521A98">
        <w:rPr>
          <w:sz w:val="26"/>
          <w:szCs w:val="26"/>
        </w:rPr>
        <w:t xml:space="preserve"> palielināts reisu skaits un virzieni, </w:t>
      </w:r>
      <w:r w:rsidRPr="00521A98">
        <w:rPr>
          <w:sz w:val="26"/>
          <w:szCs w:val="26"/>
        </w:rPr>
        <w:t>kopumā nobraukum</w:t>
      </w:r>
      <w:r w:rsidR="007F4816" w:rsidRPr="00521A98">
        <w:rPr>
          <w:sz w:val="26"/>
          <w:szCs w:val="26"/>
        </w:rPr>
        <w:t>s</w:t>
      </w:r>
      <w:r w:rsidRPr="00521A98">
        <w:rPr>
          <w:sz w:val="26"/>
          <w:szCs w:val="26"/>
        </w:rPr>
        <w:t xml:space="preserve"> autobusu pārvadājum</w:t>
      </w:r>
      <w:r w:rsidR="007F4816" w:rsidRPr="00521A98">
        <w:rPr>
          <w:sz w:val="26"/>
          <w:szCs w:val="26"/>
        </w:rPr>
        <w:t>os</w:t>
      </w:r>
      <w:r w:rsidRPr="00521A98">
        <w:rPr>
          <w:sz w:val="26"/>
          <w:szCs w:val="26"/>
        </w:rPr>
        <w:t xml:space="preserve"> samazināts par 7,91 milj. kilometru, kas ir 10% no 2019.gada apjoma (skatīt 1.attēlu). </w:t>
      </w:r>
      <w:r w:rsidR="0013384B" w:rsidRPr="00521A98">
        <w:rPr>
          <w:sz w:val="26"/>
          <w:szCs w:val="26"/>
        </w:rPr>
        <w:t>Šāds reģionālās nozīmes pārvadājumos ar autobusiem maršrutu tīkla apjoma samazinājums ir sasniegts, galvenokārt</w:t>
      </w:r>
      <w:r w:rsidR="0013384B">
        <w:rPr>
          <w:sz w:val="26"/>
          <w:szCs w:val="26"/>
        </w:rPr>
        <w:t>, samazinot reisu skaitu virzienos</w:t>
      </w:r>
      <w:r w:rsidR="0013384B" w:rsidRPr="00EE6585">
        <w:rPr>
          <w:rFonts w:eastAsia="Calibri" w:cs="Calibri"/>
          <w:sz w:val="26"/>
          <w:szCs w:val="26"/>
        </w:rPr>
        <w:t>, kur primāri kursē vilciens</w:t>
      </w:r>
      <w:r w:rsidR="0013384B">
        <w:rPr>
          <w:rFonts w:eastAsia="Calibri" w:cs="Calibri"/>
          <w:sz w:val="26"/>
          <w:szCs w:val="26"/>
        </w:rPr>
        <w:t xml:space="preserve"> un potenciāli ir izveidoti komercmaršruti </w:t>
      </w:r>
      <w:r w:rsidR="0013384B">
        <w:rPr>
          <w:bCs/>
          <w:sz w:val="26"/>
          <w:szCs w:val="26"/>
        </w:rPr>
        <w:t xml:space="preserve">(piemēram, Jūrmalas, Jelgavas, Ogres, Siguldas, Salaspils, Daugavpils virzienos), samazinot reisu skaitu posmos, kurus var apkalpot ar vilcienu satiksmi, un, samazinot reisu skaitu maršrutos, kas apkalpo apdzīvotas vietas, kuras tiek apkalpotas arī ar pilsētas nozīmes sabiedrisko transportu, kā arī slēdzot reisus, </w:t>
      </w:r>
      <w:r w:rsidR="0013384B" w:rsidRPr="0075606F">
        <w:rPr>
          <w:sz w:val="26"/>
          <w:szCs w:val="26"/>
        </w:rPr>
        <w:t>kuros pasažieru skaits bija niecīgs, tajā skaitā arī</w:t>
      </w:r>
      <w:r w:rsidR="0013384B">
        <w:rPr>
          <w:sz w:val="26"/>
          <w:szCs w:val="26"/>
        </w:rPr>
        <w:t xml:space="preserve"> tā saucamos –</w:t>
      </w:r>
      <w:r w:rsidR="0013384B" w:rsidRPr="0075606F">
        <w:rPr>
          <w:sz w:val="26"/>
          <w:szCs w:val="26"/>
        </w:rPr>
        <w:t xml:space="preserve"> tehniskos reisus</w:t>
      </w:r>
      <w:r w:rsidR="0013384B">
        <w:rPr>
          <w:sz w:val="26"/>
          <w:szCs w:val="26"/>
        </w:rPr>
        <w:t xml:space="preserve"> (</w:t>
      </w:r>
      <w:r w:rsidR="0013384B" w:rsidRPr="00F47425">
        <w:rPr>
          <w:sz w:val="26"/>
          <w:szCs w:val="26"/>
        </w:rPr>
        <w:t>~4</w:t>
      </w:r>
      <w:r w:rsidR="0013384B">
        <w:rPr>
          <w:sz w:val="26"/>
          <w:szCs w:val="26"/>
        </w:rPr>
        <w:t>,</w:t>
      </w:r>
      <w:r w:rsidR="0013384B" w:rsidRPr="00F47425">
        <w:rPr>
          <w:sz w:val="26"/>
          <w:szCs w:val="26"/>
        </w:rPr>
        <w:t>3% no kopējā maršrutu tīkla apjoma samazināšanas</w:t>
      </w:r>
      <w:r w:rsidR="0013384B">
        <w:rPr>
          <w:sz w:val="26"/>
          <w:szCs w:val="26"/>
        </w:rPr>
        <w:t xml:space="preserve"> līgumos, kas noslēgti uz ilgtermiņa periodu).</w:t>
      </w:r>
    </w:p>
    <w:p w14:paraId="091C8FF2" w14:textId="77777777" w:rsidR="00E243CE" w:rsidRPr="00673028" w:rsidRDefault="00E243CE" w:rsidP="00E243CE">
      <w:pPr>
        <w:ind w:firstLine="709"/>
        <w:jc w:val="both"/>
        <w:rPr>
          <w:sz w:val="26"/>
          <w:szCs w:val="26"/>
        </w:rPr>
      </w:pPr>
    </w:p>
    <w:p w14:paraId="27CAF39C" w14:textId="46F585A1" w:rsidR="00E243CE" w:rsidRDefault="001F1F09" w:rsidP="00E243CE">
      <w:pPr>
        <w:jc w:val="center"/>
      </w:pPr>
      <w:r w:rsidRPr="001F1F09">
        <w:rPr>
          <w:noProof/>
        </w:rPr>
        <w:drawing>
          <wp:inline distT="0" distB="0" distL="0" distR="0" wp14:anchorId="54144016" wp14:editId="1C6C0616">
            <wp:extent cx="5133975" cy="2333625"/>
            <wp:effectExtent l="0" t="0" r="9525" b="9525"/>
            <wp:docPr id="6" name="Chart 6">
              <a:extLst xmlns:a="http://schemas.openxmlformats.org/drawingml/2006/main">
                <a:ext uri="{FF2B5EF4-FFF2-40B4-BE49-F238E27FC236}">
                  <a16:creationId xmlns:a16="http://schemas.microsoft.com/office/drawing/2014/main" id="{FEB0CA34-731A-2D53-5576-4D7489D2411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FF06018" w14:textId="1D4329EC" w:rsidR="00E243CE" w:rsidRDefault="00403277" w:rsidP="00E243CE">
      <w:pPr>
        <w:jc w:val="center"/>
      </w:pPr>
      <w:r>
        <w:t>1</w:t>
      </w:r>
      <w:r w:rsidR="00E243CE" w:rsidRPr="009936EF">
        <w:t>.attēls. Reģionālās nozīmes maršrutu tīkl</w:t>
      </w:r>
      <w:r w:rsidR="00E243CE">
        <w:t xml:space="preserve">ā </w:t>
      </w:r>
    </w:p>
    <w:p w14:paraId="33A349F1" w14:textId="08A14F33" w:rsidR="00E243CE" w:rsidRPr="009936EF" w:rsidRDefault="00E243CE" w:rsidP="00E243CE">
      <w:pPr>
        <w:jc w:val="center"/>
      </w:pPr>
      <w:r>
        <w:t>veiktais nobraukums</w:t>
      </w:r>
      <w:r w:rsidRPr="009936EF">
        <w:t xml:space="preserve"> 2019.</w:t>
      </w:r>
      <w:r w:rsidR="001F1F09">
        <w:t>-2022.</w:t>
      </w:r>
      <w:r w:rsidRPr="009936EF">
        <w:t>gads.</w:t>
      </w:r>
    </w:p>
    <w:p w14:paraId="1A58787F" w14:textId="77777777" w:rsidR="00E243CE" w:rsidRPr="000247C3" w:rsidRDefault="00E243CE" w:rsidP="00E243CE">
      <w:pPr>
        <w:ind w:firstLine="709"/>
        <w:jc w:val="both"/>
        <w:rPr>
          <w:sz w:val="28"/>
          <w:szCs w:val="28"/>
        </w:rPr>
      </w:pPr>
    </w:p>
    <w:p w14:paraId="4F1360B9" w14:textId="0E248B03" w:rsidR="00E243CE" w:rsidRPr="00C72E39" w:rsidRDefault="00157A42" w:rsidP="00F914D1">
      <w:pPr>
        <w:pStyle w:val="ListParagraph"/>
        <w:numPr>
          <w:ilvl w:val="1"/>
          <w:numId w:val="21"/>
        </w:numPr>
        <w:ind w:left="0" w:firstLine="709"/>
        <w:jc w:val="both"/>
        <w:rPr>
          <w:sz w:val="26"/>
          <w:szCs w:val="26"/>
        </w:rPr>
      </w:pPr>
      <w:r w:rsidRPr="00C72E39">
        <w:rPr>
          <w:b/>
          <w:sz w:val="26"/>
          <w:szCs w:val="26"/>
        </w:rPr>
        <w:t>R</w:t>
      </w:r>
      <w:r w:rsidR="00E243CE" w:rsidRPr="00C72E39">
        <w:rPr>
          <w:b/>
          <w:sz w:val="26"/>
          <w:szCs w:val="26"/>
        </w:rPr>
        <w:t>eģionālā maršrutu tīkl</w:t>
      </w:r>
      <w:r w:rsidRPr="00C72E39">
        <w:rPr>
          <w:b/>
          <w:sz w:val="26"/>
          <w:szCs w:val="26"/>
        </w:rPr>
        <w:t>a novērtējums</w:t>
      </w:r>
      <w:r w:rsidR="00C72E39" w:rsidRPr="00C72E39">
        <w:rPr>
          <w:b/>
          <w:sz w:val="26"/>
          <w:szCs w:val="26"/>
        </w:rPr>
        <w:t xml:space="preserve"> un</w:t>
      </w:r>
      <w:r w:rsidR="00C72E39">
        <w:rPr>
          <w:b/>
          <w:sz w:val="26"/>
          <w:szCs w:val="26"/>
        </w:rPr>
        <w:t xml:space="preserve"> tā</w:t>
      </w:r>
      <w:r w:rsidR="00C72E39" w:rsidRPr="00C72E39">
        <w:rPr>
          <w:b/>
          <w:sz w:val="26"/>
          <w:szCs w:val="26"/>
        </w:rPr>
        <w:t xml:space="preserve"> atbilstība iedzīvotāju pieprasījumam</w:t>
      </w:r>
    </w:p>
    <w:p w14:paraId="39BD60CA" w14:textId="6961A698" w:rsidR="00C72E39" w:rsidRPr="00C72E39" w:rsidRDefault="00C72E39" w:rsidP="00C72E39">
      <w:pPr>
        <w:ind w:firstLine="709"/>
        <w:jc w:val="both"/>
        <w:rPr>
          <w:sz w:val="26"/>
          <w:szCs w:val="26"/>
        </w:rPr>
      </w:pPr>
    </w:p>
    <w:p w14:paraId="483346E8" w14:textId="323A5F75" w:rsidR="00F914D1" w:rsidRPr="00F914D1" w:rsidRDefault="00F914D1" w:rsidP="00E243CE">
      <w:pPr>
        <w:ind w:firstLine="709"/>
        <w:jc w:val="both"/>
        <w:rPr>
          <w:b/>
          <w:bCs/>
          <w:sz w:val="26"/>
          <w:szCs w:val="26"/>
        </w:rPr>
      </w:pPr>
      <w:r w:rsidRPr="00F914D1">
        <w:rPr>
          <w:b/>
          <w:bCs/>
          <w:sz w:val="26"/>
          <w:szCs w:val="26"/>
        </w:rPr>
        <w:t>1.2.1. Minimālais garantētais apjoms</w:t>
      </w:r>
    </w:p>
    <w:p w14:paraId="403FC0D0" w14:textId="23672CED" w:rsidR="0056126E" w:rsidRPr="0056126E" w:rsidRDefault="0056126E" w:rsidP="00E243CE">
      <w:pPr>
        <w:ind w:firstLine="709"/>
        <w:jc w:val="both"/>
        <w:rPr>
          <w:sz w:val="26"/>
          <w:szCs w:val="26"/>
        </w:rPr>
      </w:pPr>
      <w:r w:rsidRPr="0056126E">
        <w:rPr>
          <w:sz w:val="26"/>
          <w:szCs w:val="26"/>
        </w:rPr>
        <w:lastRenderedPageBreak/>
        <w:t xml:space="preserve">Ievērojot to, ka sabiedriskā transporta rentabilitāte reģionālā maršrutu tīklā ir atkarīga no pasažieru plūsmas, reisu skaita un braukšanas maksas apmēra, tad attiecīgi maršrutu tīkla uzturēšana tiešā veidā ietekmē valsts budžeta izdevumus, kas nepieciešami sabiedriskā transporta pakalpojumu nodrošināšanai. </w:t>
      </w:r>
    </w:p>
    <w:p w14:paraId="315A010B" w14:textId="4D4F1B6E" w:rsidR="00C72E39" w:rsidRPr="0056126E" w:rsidRDefault="00917892" w:rsidP="00E243CE">
      <w:pPr>
        <w:ind w:firstLine="709"/>
        <w:jc w:val="both"/>
        <w:rPr>
          <w:sz w:val="26"/>
          <w:szCs w:val="26"/>
        </w:rPr>
      </w:pPr>
      <w:r w:rsidRPr="0056126E">
        <w:rPr>
          <w:sz w:val="26"/>
          <w:szCs w:val="26"/>
        </w:rPr>
        <w:t xml:space="preserve">Ar </w:t>
      </w:r>
      <w:r w:rsidR="00633347">
        <w:rPr>
          <w:sz w:val="26"/>
          <w:szCs w:val="26"/>
        </w:rPr>
        <w:t>STP L</w:t>
      </w:r>
      <w:r w:rsidR="00937830" w:rsidRPr="0056126E">
        <w:rPr>
          <w:sz w:val="26"/>
          <w:szCs w:val="26"/>
        </w:rPr>
        <w:t>ikum</w:t>
      </w:r>
      <w:r w:rsidRPr="0056126E">
        <w:rPr>
          <w:sz w:val="26"/>
          <w:szCs w:val="26"/>
        </w:rPr>
        <w:t>u</w:t>
      </w:r>
      <w:r w:rsidRPr="0056126E">
        <w:rPr>
          <w:rStyle w:val="FootnoteReference"/>
          <w:sz w:val="26"/>
          <w:szCs w:val="26"/>
        </w:rPr>
        <w:footnoteReference w:id="3"/>
      </w:r>
      <w:r w:rsidRPr="0056126E">
        <w:rPr>
          <w:sz w:val="26"/>
          <w:szCs w:val="26"/>
        </w:rPr>
        <w:t xml:space="preserve"> ir noteikts</w:t>
      </w:r>
      <w:r w:rsidR="00937830" w:rsidRPr="0056126E">
        <w:rPr>
          <w:sz w:val="26"/>
          <w:szCs w:val="26"/>
        </w:rPr>
        <w:t xml:space="preserve"> minimāl</w:t>
      </w:r>
      <w:r w:rsidRPr="0056126E">
        <w:rPr>
          <w:sz w:val="26"/>
          <w:szCs w:val="26"/>
        </w:rPr>
        <w:t>ais</w:t>
      </w:r>
      <w:r w:rsidR="00937830" w:rsidRPr="0056126E">
        <w:rPr>
          <w:sz w:val="26"/>
          <w:szCs w:val="26"/>
        </w:rPr>
        <w:t xml:space="preserve"> valsts garantēt</w:t>
      </w:r>
      <w:r w:rsidR="00633347">
        <w:rPr>
          <w:sz w:val="26"/>
          <w:szCs w:val="26"/>
        </w:rPr>
        <w:t>s</w:t>
      </w:r>
      <w:r w:rsidR="00937830" w:rsidRPr="0056126E">
        <w:rPr>
          <w:sz w:val="26"/>
          <w:szCs w:val="26"/>
        </w:rPr>
        <w:t xml:space="preserve"> sabiedriskā transporta pakalpojumu apjom</w:t>
      </w:r>
      <w:r w:rsidRPr="0056126E">
        <w:rPr>
          <w:sz w:val="26"/>
          <w:szCs w:val="26"/>
        </w:rPr>
        <w:t>s</w:t>
      </w:r>
      <w:r w:rsidR="00937830" w:rsidRPr="0056126E">
        <w:rPr>
          <w:sz w:val="26"/>
          <w:szCs w:val="26"/>
        </w:rPr>
        <w:t xml:space="preserve"> </w:t>
      </w:r>
      <w:r w:rsidRPr="0056126E">
        <w:rPr>
          <w:sz w:val="26"/>
          <w:szCs w:val="26"/>
        </w:rPr>
        <w:t>reģionālās nozīmes</w:t>
      </w:r>
      <w:r w:rsidRPr="0018158A">
        <w:rPr>
          <w:sz w:val="26"/>
          <w:szCs w:val="26"/>
        </w:rPr>
        <w:t xml:space="preserve"> maršrutu tīkla valsts pasūtītajā daļā, kurā sabiedriskā transporta pakalpojumi tiek sniegti ar autobusiem, darbdienās, </w:t>
      </w:r>
      <w:r w:rsidR="0018158A" w:rsidRPr="0018158A">
        <w:rPr>
          <w:sz w:val="26"/>
          <w:szCs w:val="26"/>
        </w:rPr>
        <w:t xml:space="preserve">un to intensitāte ir vismaz 8 reisi dienā, ja </w:t>
      </w:r>
      <w:r w:rsidR="0018158A" w:rsidRPr="0018158A">
        <w:rPr>
          <w:sz w:val="26"/>
          <w:szCs w:val="26"/>
          <w:shd w:val="clear" w:color="auto" w:fill="FFFFFF"/>
        </w:rPr>
        <w:t>novada pilsētu, kur iedzīvotāju skaits pārsniedz 5000, pilsētas centra savienojumus ar citām pilsētas daļām</w:t>
      </w:r>
      <w:r w:rsidR="0018158A">
        <w:rPr>
          <w:sz w:val="26"/>
          <w:szCs w:val="26"/>
          <w:shd w:val="clear" w:color="auto" w:fill="FFFFFF"/>
        </w:rPr>
        <w:t>. Savukārt ar intensitāti</w:t>
      </w:r>
      <w:r w:rsidR="0018158A" w:rsidRPr="0018158A">
        <w:rPr>
          <w:sz w:val="26"/>
          <w:szCs w:val="26"/>
          <w:shd w:val="clear" w:color="auto" w:fill="FFFFFF"/>
        </w:rPr>
        <w:t xml:space="preserve"> vismaz 4 reisi dienā</w:t>
      </w:r>
      <w:r w:rsidR="0018158A">
        <w:rPr>
          <w:sz w:val="26"/>
          <w:szCs w:val="26"/>
          <w:shd w:val="clear" w:color="auto" w:fill="FFFFFF"/>
        </w:rPr>
        <w:t xml:space="preserve"> ir garantējami savienojumi</w:t>
      </w:r>
      <w:r w:rsidR="0018158A" w:rsidRPr="0018158A">
        <w:rPr>
          <w:sz w:val="26"/>
          <w:szCs w:val="26"/>
          <w:shd w:val="clear" w:color="auto" w:fill="FFFFFF"/>
        </w:rPr>
        <w:t xml:space="preserve"> novada pilsēt</w:t>
      </w:r>
      <w:r w:rsidR="0018158A">
        <w:rPr>
          <w:sz w:val="26"/>
          <w:szCs w:val="26"/>
          <w:shd w:val="clear" w:color="auto" w:fill="FFFFFF"/>
        </w:rPr>
        <w:t>ai</w:t>
      </w:r>
      <w:r w:rsidR="0018158A" w:rsidRPr="0018158A">
        <w:rPr>
          <w:sz w:val="26"/>
          <w:szCs w:val="26"/>
          <w:shd w:val="clear" w:color="auto" w:fill="FFFFFF"/>
        </w:rPr>
        <w:t xml:space="preserve">, kur </w:t>
      </w:r>
      <w:r w:rsidR="0018158A" w:rsidRPr="0056126E">
        <w:rPr>
          <w:sz w:val="26"/>
          <w:szCs w:val="26"/>
          <w:shd w:val="clear" w:color="auto" w:fill="FFFFFF"/>
        </w:rPr>
        <w:t xml:space="preserve">iedzīvotāju skaits pārsniedz 5000, ar novada pilsētām un ciemiem, kur iedzīvotāju skaits ir mazāks par 3000, un savienojumos ar tuvējie novadiem, kā arī savienojumos ar novada pagastiem un centru, un novada centriem ar tuvāko novada pilsētu. </w:t>
      </w:r>
    </w:p>
    <w:p w14:paraId="2B6DC279" w14:textId="2AF5B022" w:rsidR="00C72E39" w:rsidRDefault="0056126E" w:rsidP="00E243CE">
      <w:pPr>
        <w:ind w:firstLine="709"/>
        <w:jc w:val="both"/>
        <w:rPr>
          <w:sz w:val="26"/>
          <w:szCs w:val="26"/>
          <w:shd w:val="clear" w:color="auto" w:fill="FFFFFF"/>
        </w:rPr>
      </w:pPr>
      <w:r w:rsidRPr="0056126E">
        <w:rPr>
          <w:sz w:val="26"/>
          <w:szCs w:val="26"/>
          <w:shd w:val="clear" w:color="auto" w:fill="FFFFFF"/>
        </w:rPr>
        <w:t xml:space="preserve">Minimālo </w:t>
      </w:r>
      <w:r w:rsidR="007F4816">
        <w:rPr>
          <w:sz w:val="26"/>
          <w:szCs w:val="26"/>
          <w:shd w:val="clear" w:color="auto" w:fill="FFFFFF"/>
        </w:rPr>
        <w:t xml:space="preserve">pakalpojumu </w:t>
      </w:r>
      <w:r w:rsidRPr="0056126E">
        <w:rPr>
          <w:sz w:val="26"/>
          <w:szCs w:val="26"/>
          <w:shd w:val="clear" w:color="auto" w:fill="FFFFFF"/>
        </w:rPr>
        <w:t>apjomu nodrošina, ņemot vērā iedzīvotāju pieprasījumu un ekonomiskos rādītājus, ja pakalpojumu sniedzēja kalendāra gada faktiskie vai plānotie ieņēmumi (ieskaitot ieņēmumus, kas gūti, pārvadājot personas ar braukšanas maksas atvieglojumiem) veido vismaz 25 </w:t>
      </w:r>
      <w:r w:rsidR="004C02AD">
        <w:rPr>
          <w:sz w:val="26"/>
          <w:szCs w:val="26"/>
          <w:shd w:val="clear" w:color="auto" w:fill="FFFFFF"/>
        </w:rPr>
        <w:t>%</w:t>
      </w:r>
      <w:r w:rsidR="004C02AD" w:rsidRPr="0056126E">
        <w:rPr>
          <w:sz w:val="26"/>
          <w:szCs w:val="26"/>
          <w:shd w:val="clear" w:color="auto" w:fill="FFFFFF"/>
        </w:rPr>
        <w:t xml:space="preserve"> </w:t>
      </w:r>
      <w:r w:rsidRPr="0056126E">
        <w:rPr>
          <w:sz w:val="26"/>
          <w:szCs w:val="26"/>
          <w:shd w:val="clear" w:color="auto" w:fill="FFFFFF"/>
        </w:rPr>
        <w:t>no pakalpojumu sniedzēja kalendāra gada faktiskajām vai plānotajām izmaksām.</w:t>
      </w:r>
    </w:p>
    <w:p w14:paraId="22F0B220" w14:textId="35DF6885" w:rsidR="00E90570" w:rsidRDefault="00D061E2" w:rsidP="00E90570">
      <w:pPr>
        <w:ind w:firstLine="709"/>
        <w:jc w:val="both"/>
        <w:rPr>
          <w:sz w:val="26"/>
          <w:szCs w:val="26"/>
        </w:rPr>
      </w:pPr>
      <w:r>
        <w:rPr>
          <w:sz w:val="26"/>
          <w:szCs w:val="26"/>
          <w:shd w:val="clear" w:color="auto" w:fill="FFFFFF"/>
        </w:rPr>
        <w:t xml:space="preserve">Apkopjot un analizējot datus par 2022.gadu, kad pēc divu gadu pandēmijas ietekmes ir stabilizējusies pasažieru plūsma un ir </w:t>
      </w:r>
      <w:r w:rsidR="007F4816">
        <w:rPr>
          <w:sz w:val="26"/>
          <w:szCs w:val="26"/>
          <w:shd w:val="clear" w:color="auto" w:fill="FFFFFF"/>
        </w:rPr>
        <w:t xml:space="preserve">vērojams </w:t>
      </w:r>
      <w:r>
        <w:rPr>
          <w:sz w:val="26"/>
          <w:szCs w:val="26"/>
          <w:shd w:val="clear" w:color="auto" w:fill="FFFFFF"/>
        </w:rPr>
        <w:t xml:space="preserve">iedzīvotāju pieprasījums reģionālās nozīmes maršrutu tīklā pārvadājumos ar autobusiem, ir secināms, ka tikai 2,96% no reģionālās nozīmes maršrutiem ar autobusiem bija ar biļešu ieņēmumu rentabilitāti virs 50% no kompensējamām izmaksām. Savukārt ar biļešu ieņēmumu rentabilitāti zem 30% veido 81,59% maršrutu, kas attiecīgi no kopējā maršrutu tīkla </w:t>
      </w:r>
      <w:r w:rsidR="00735767">
        <w:rPr>
          <w:sz w:val="26"/>
          <w:szCs w:val="26"/>
          <w:shd w:val="clear" w:color="auto" w:fill="FFFFFF"/>
        </w:rPr>
        <w:t>sastāda 37,72 milj. kilometru</w:t>
      </w:r>
      <w:r w:rsidR="00444055">
        <w:rPr>
          <w:sz w:val="26"/>
          <w:szCs w:val="26"/>
          <w:shd w:val="clear" w:color="auto" w:fill="FFFFFF"/>
        </w:rPr>
        <w:t>.</w:t>
      </w:r>
      <w:r w:rsidR="00E90570">
        <w:rPr>
          <w:sz w:val="26"/>
          <w:szCs w:val="26"/>
          <w:shd w:val="clear" w:color="auto" w:fill="FFFFFF"/>
        </w:rPr>
        <w:t xml:space="preserve"> Attiecīgi minētie maršruti atbilst </w:t>
      </w:r>
      <w:r w:rsidR="00875A13">
        <w:rPr>
          <w:sz w:val="26"/>
          <w:szCs w:val="26"/>
          <w:shd w:val="clear" w:color="auto" w:fill="FFFFFF"/>
        </w:rPr>
        <w:t>STP L</w:t>
      </w:r>
      <w:r w:rsidR="00E90570">
        <w:rPr>
          <w:sz w:val="26"/>
          <w:szCs w:val="26"/>
          <w:shd w:val="clear" w:color="auto" w:fill="FFFFFF"/>
        </w:rPr>
        <w:t xml:space="preserve">ikumā noteiktajam </w:t>
      </w:r>
      <w:r w:rsidR="00E90570" w:rsidRPr="0056126E">
        <w:rPr>
          <w:sz w:val="26"/>
          <w:szCs w:val="26"/>
        </w:rPr>
        <w:t>minimāla</w:t>
      </w:r>
      <w:r w:rsidR="00E90570">
        <w:rPr>
          <w:sz w:val="26"/>
          <w:szCs w:val="26"/>
        </w:rPr>
        <w:t>jam</w:t>
      </w:r>
      <w:r w:rsidR="00E90570" w:rsidRPr="0056126E">
        <w:rPr>
          <w:sz w:val="26"/>
          <w:szCs w:val="26"/>
        </w:rPr>
        <w:t xml:space="preserve"> valsts garantēto sabiedriskā transporta pakalpojumu apjom</w:t>
      </w:r>
      <w:r w:rsidR="00E90570">
        <w:rPr>
          <w:sz w:val="26"/>
          <w:szCs w:val="26"/>
        </w:rPr>
        <w:t xml:space="preserve">am. </w:t>
      </w:r>
    </w:p>
    <w:p w14:paraId="56B9891C" w14:textId="6D707933" w:rsidR="005F2005" w:rsidRDefault="005F2005" w:rsidP="00E90570">
      <w:pPr>
        <w:ind w:firstLine="709"/>
        <w:jc w:val="both"/>
        <w:rPr>
          <w:sz w:val="26"/>
          <w:szCs w:val="26"/>
        </w:rPr>
      </w:pPr>
    </w:p>
    <w:p w14:paraId="0EE68A5F" w14:textId="2DFB7FF4" w:rsidR="005F2005" w:rsidRDefault="005F2005" w:rsidP="00E90570">
      <w:pPr>
        <w:ind w:firstLine="709"/>
        <w:jc w:val="both"/>
        <w:rPr>
          <w:sz w:val="26"/>
          <w:szCs w:val="26"/>
        </w:rPr>
      </w:pPr>
    </w:p>
    <w:p w14:paraId="24687295" w14:textId="61F6C47E" w:rsidR="005F2005" w:rsidRDefault="005F2005" w:rsidP="00E90570">
      <w:pPr>
        <w:ind w:firstLine="709"/>
        <w:jc w:val="both"/>
        <w:rPr>
          <w:sz w:val="26"/>
          <w:szCs w:val="26"/>
        </w:rPr>
      </w:pPr>
    </w:p>
    <w:p w14:paraId="52DCFD8C" w14:textId="5A6236A8" w:rsidR="005F2005" w:rsidRDefault="005F2005" w:rsidP="00E90570">
      <w:pPr>
        <w:ind w:firstLine="709"/>
        <w:jc w:val="both"/>
        <w:rPr>
          <w:sz w:val="26"/>
          <w:szCs w:val="26"/>
        </w:rPr>
      </w:pPr>
    </w:p>
    <w:p w14:paraId="04D7B881" w14:textId="1B97D052" w:rsidR="005F2005" w:rsidRDefault="005F2005" w:rsidP="00E90570">
      <w:pPr>
        <w:ind w:firstLine="709"/>
        <w:jc w:val="both"/>
        <w:rPr>
          <w:sz w:val="26"/>
          <w:szCs w:val="26"/>
        </w:rPr>
      </w:pPr>
    </w:p>
    <w:p w14:paraId="2A1F9775" w14:textId="0969E3CE" w:rsidR="005F2005" w:rsidRDefault="005F2005" w:rsidP="00E90570">
      <w:pPr>
        <w:ind w:firstLine="709"/>
        <w:jc w:val="both"/>
        <w:rPr>
          <w:sz w:val="26"/>
          <w:szCs w:val="26"/>
        </w:rPr>
      </w:pPr>
    </w:p>
    <w:p w14:paraId="3E550AA9" w14:textId="28B2DF61" w:rsidR="005F2005" w:rsidRDefault="005F2005" w:rsidP="00E90570">
      <w:pPr>
        <w:ind w:firstLine="709"/>
        <w:jc w:val="both"/>
        <w:rPr>
          <w:sz w:val="26"/>
          <w:szCs w:val="26"/>
        </w:rPr>
      </w:pPr>
    </w:p>
    <w:p w14:paraId="713041E2" w14:textId="33B6825F" w:rsidR="005F2005" w:rsidRDefault="005F2005" w:rsidP="00E90570">
      <w:pPr>
        <w:ind w:firstLine="709"/>
        <w:jc w:val="both"/>
        <w:rPr>
          <w:sz w:val="26"/>
          <w:szCs w:val="26"/>
        </w:rPr>
      </w:pPr>
    </w:p>
    <w:p w14:paraId="7BB4542B" w14:textId="119DCC9D" w:rsidR="005F2005" w:rsidRDefault="005F2005" w:rsidP="00E90570">
      <w:pPr>
        <w:ind w:firstLine="709"/>
        <w:jc w:val="both"/>
        <w:rPr>
          <w:sz w:val="26"/>
          <w:szCs w:val="26"/>
        </w:rPr>
      </w:pPr>
    </w:p>
    <w:p w14:paraId="6DBF5A68" w14:textId="0883EC86" w:rsidR="005F2005" w:rsidRDefault="005F2005" w:rsidP="00E90570">
      <w:pPr>
        <w:ind w:firstLine="709"/>
        <w:jc w:val="both"/>
        <w:rPr>
          <w:sz w:val="26"/>
          <w:szCs w:val="26"/>
        </w:rPr>
      </w:pPr>
    </w:p>
    <w:p w14:paraId="4815759F" w14:textId="27747673" w:rsidR="005F2005" w:rsidRDefault="005F2005" w:rsidP="00E90570">
      <w:pPr>
        <w:ind w:firstLine="709"/>
        <w:jc w:val="both"/>
        <w:rPr>
          <w:sz w:val="26"/>
          <w:szCs w:val="26"/>
        </w:rPr>
      </w:pPr>
    </w:p>
    <w:p w14:paraId="39F0F018" w14:textId="1EBCB70E" w:rsidR="005F2005" w:rsidRDefault="005F2005" w:rsidP="00E90570">
      <w:pPr>
        <w:ind w:firstLine="709"/>
        <w:jc w:val="both"/>
        <w:rPr>
          <w:sz w:val="26"/>
          <w:szCs w:val="26"/>
        </w:rPr>
      </w:pPr>
    </w:p>
    <w:p w14:paraId="48C75520" w14:textId="7A5ED931" w:rsidR="005F2005" w:rsidRDefault="005F2005" w:rsidP="00E90570">
      <w:pPr>
        <w:ind w:firstLine="709"/>
        <w:jc w:val="both"/>
        <w:rPr>
          <w:sz w:val="26"/>
          <w:szCs w:val="26"/>
        </w:rPr>
      </w:pPr>
    </w:p>
    <w:p w14:paraId="23BF2AAF" w14:textId="781F4AC6" w:rsidR="005F2005" w:rsidRDefault="005F2005" w:rsidP="00E90570">
      <w:pPr>
        <w:ind w:firstLine="709"/>
        <w:jc w:val="both"/>
        <w:rPr>
          <w:sz w:val="26"/>
          <w:szCs w:val="26"/>
        </w:rPr>
      </w:pPr>
    </w:p>
    <w:p w14:paraId="638475A1" w14:textId="1A87EE19" w:rsidR="005F2005" w:rsidRDefault="005F2005" w:rsidP="00E90570">
      <w:pPr>
        <w:ind w:firstLine="709"/>
        <w:jc w:val="both"/>
        <w:rPr>
          <w:sz w:val="26"/>
          <w:szCs w:val="26"/>
        </w:rPr>
      </w:pPr>
    </w:p>
    <w:p w14:paraId="6BC5EEA0" w14:textId="6756DDEF" w:rsidR="005F2005" w:rsidRDefault="005F2005" w:rsidP="00E90570">
      <w:pPr>
        <w:ind w:firstLine="709"/>
        <w:jc w:val="both"/>
        <w:rPr>
          <w:sz w:val="26"/>
          <w:szCs w:val="26"/>
        </w:rPr>
      </w:pPr>
    </w:p>
    <w:p w14:paraId="0A8D0BA5" w14:textId="10D77D88" w:rsidR="005F2005" w:rsidRDefault="005F2005" w:rsidP="00E90570">
      <w:pPr>
        <w:ind w:firstLine="709"/>
        <w:jc w:val="both"/>
        <w:rPr>
          <w:sz w:val="26"/>
          <w:szCs w:val="26"/>
        </w:rPr>
      </w:pPr>
    </w:p>
    <w:p w14:paraId="35F7768A" w14:textId="77777777" w:rsidR="005F2005" w:rsidRDefault="005F2005" w:rsidP="00E90570">
      <w:pPr>
        <w:ind w:firstLine="709"/>
        <w:jc w:val="both"/>
        <w:rPr>
          <w:sz w:val="26"/>
          <w:szCs w:val="26"/>
        </w:rPr>
      </w:pPr>
    </w:p>
    <w:p w14:paraId="241581A9" w14:textId="01F52501" w:rsidR="00D061E2" w:rsidRDefault="00D061E2" w:rsidP="00E243CE">
      <w:pPr>
        <w:ind w:firstLine="709"/>
        <w:jc w:val="both"/>
        <w:rPr>
          <w:sz w:val="26"/>
          <w:szCs w:val="26"/>
          <w:shd w:val="clear" w:color="auto" w:fill="FFFFFF"/>
        </w:rPr>
      </w:pPr>
    </w:p>
    <w:p w14:paraId="05E42E7D" w14:textId="7FF22C51" w:rsidR="00E90570" w:rsidRPr="002E25F7" w:rsidRDefault="00E90570" w:rsidP="00E90570">
      <w:pPr>
        <w:ind w:firstLine="709"/>
        <w:jc w:val="right"/>
      </w:pPr>
      <w:r w:rsidRPr="002E25F7">
        <w:lastRenderedPageBreak/>
        <w:t>Tabula</w:t>
      </w:r>
      <w:r w:rsidR="00875A13" w:rsidRPr="002E25F7">
        <w:t xml:space="preserve"> Nr.2</w:t>
      </w:r>
      <w:r w:rsidRPr="002E25F7">
        <w:br/>
        <w:t xml:space="preserve">Maršrutu skaita sadalījums atbilstoši </w:t>
      </w:r>
    </w:p>
    <w:p w14:paraId="525CADC5" w14:textId="1A27DA08" w:rsidR="00E90570" w:rsidRPr="002E25F7" w:rsidRDefault="00E90570" w:rsidP="00E90570">
      <w:pPr>
        <w:ind w:firstLine="709"/>
        <w:jc w:val="right"/>
      </w:pPr>
      <w:r w:rsidRPr="002E25F7">
        <w:t>rentabilitātes rādītājiem un teritorijām</w:t>
      </w:r>
    </w:p>
    <w:p w14:paraId="5275D74B" w14:textId="5A2958C4" w:rsidR="00E90570" w:rsidRPr="002E25F7" w:rsidRDefault="00E90570" w:rsidP="002E25F7">
      <w:pPr>
        <w:jc w:val="center"/>
        <w:rPr>
          <w:sz w:val="26"/>
          <w:szCs w:val="26"/>
          <w:shd w:val="clear" w:color="auto" w:fill="FFFFFF"/>
        </w:rPr>
      </w:pPr>
    </w:p>
    <w:p w14:paraId="2E27BFE8" w14:textId="0C5911E9" w:rsidR="00E90570" w:rsidRPr="002E25F7" w:rsidRDefault="0012648C" w:rsidP="0012648C">
      <w:pPr>
        <w:jc w:val="center"/>
        <w:rPr>
          <w:sz w:val="26"/>
          <w:szCs w:val="26"/>
          <w:shd w:val="clear" w:color="auto" w:fill="FFFFFF"/>
        </w:rPr>
      </w:pPr>
      <w:r w:rsidRPr="0012648C">
        <w:rPr>
          <w:noProof/>
          <w:sz w:val="26"/>
          <w:szCs w:val="26"/>
          <w:shd w:val="clear" w:color="auto" w:fill="FFFFFF"/>
        </w:rPr>
        <w:drawing>
          <wp:inline distT="0" distB="0" distL="0" distR="0" wp14:anchorId="5010C760" wp14:editId="2CC673BB">
            <wp:extent cx="5143500" cy="3577939"/>
            <wp:effectExtent l="0" t="0" r="0" b="3810"/>
            <wp:docPr id="2" name="Picture 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able&#10;&#10;Description automatically generated"/>
                    <pic:cNvPicPr/>
                  </pic:nvPicPr>
                  <pic:blipFill>
                    <a:blip r:embed="rId9"/>
                    <a:stretch>
                      <a:fillRect/>
                    </a:stretch>
                  </pic:blipFill>
                  <pic:spPr>
                    <a:xfrm>
                      <a:off x="0" y="0"/>
                      <a:ext cx="5159169" cy="3588839"/>
                    </a:xfrm>
                    <a:prstGeom prst="rect">
                      <a:avLst/>
                    </a:prstGeom>
                  </pic:spPr>
                </pic:pic>
              </a:graphicData>
            </a:graphic>
          </wp:inline>
        </w:drawing>
      </w:r>
    </w:p>
    <w:p w14:paraId="0D3B8255" w14:textId="2181082C" w:rsidR="00E90570" w:rsidRPr="002E25F7" w:rsidRDefault="00875A13" w:rsidP="00E90570">
      <w:pPr>
        <w:jc w:val="right"/>
      </w:pPr>
      <w:r w:rsidRPr="002E25F7">
        <w:t>T</w:t>
      </w:r>
      <w:r w:rsidR="00E90570" w:rsidRPr="002E25F7">
        <w:t>abula</w:t>
      </w:r>
      <w:r w:rsidRPr="002E25F7">
        <w:t xml:space="preserve"> Nr.3</w:t>
      </w:r>
      <w:r w:rsidR="00E90570" w:rsidRPr="002E25F7">
        <w:t xml:space="preserve"> </w:t>
      </w:r>
      <w:r w:rsidR="00E90570" w:rsidRPr="002E25F7">
        <w:br/>
        <w:t>Rentabilitātes rādītāji plānošanas reģionos</w:t>
      </w:r>
    </w:p>
    <w:p w14:paraId="3F03AB41" w14:textId="70D510F9" w:rsidR="00E90570" w:rsidRDefault="002E25F7" w:rsidP="00E90570">
      <w:pPr>
        <w:jc w:val="center"/>
        <w:rPr>
          <w:sz w:val="26"/>
          <w:szCs w:val="26"/>
        </w:rPr>
      </w:pPr>
      <w:r w:rsidRPr="002E25F7">
        <w:rPr>
          <w:noProof/>
          <w:sz w:val="26"/>
          <w:szCs w:val="26"/>
        </w:rPr>
        <w:drawing>
          <wp:inline distT="0" distB="0" distL="0" distR="0" wp14:anchorId="38F90E61" wp14:editId="45A964B2">
            <wp:extent cx="4239217" cy="1781424"/>
            <wp:effectExtent l="0" t="0" r="0" b="9525"/>
            <wp:docPr id="13" name="Picture 1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able&#10;&#10;Description automatically generated"/>
                    <pic:cNvPicPr/>
                  </pic:nvPicPr>
                  <pic:blipFill>
                    <a:blip r:embed="rId10"/>
                    <a:stretch>
                      <a:fillRect/>
                    </a:stretch>
                  </pic:blipFill>
                  <pic:spPr>
                    <a:xfrm>
                      <a:off x="0" y="0"/>
                      <a:ext cx="4239217" cy="1781424"/>
                    </a:xfrm>
                    <a:prstGeom prst="rect">
                      <a:avLst/>
                    </a:prstGeom>
                  </pic:spPr>
                </pic:pic>
              </a:graphicData>
            </a:graphic>
          </wp:inline>
        </w:drawing>
      </w:r>
    </w:p>
    <w:p w14:paraId="4509A30B" w14:textId="77777777" w:rsidR="00160AC1" w:rsidRDefault="00160AC1" w:rsidP="00160AC1">
      <w:pPr>
        <w:ind w:firstLine="709"/>
        <w:jc w:val="both"/>
        <w:rPr>
          <w:sz w:val="26"/>
          <w:szCs w:val="26"/>
        </w:rPr>
      </w:pPr>
      <w:bookmarkStart w:id="3" w:name="_Hlk129160782"/>
    </w:p>
    <w:p w14:paraId="6EB2F3DE" w14:textId="2E72CB1D" w:rsidR="00E9064B" w:rsidRPr="001A702F" w:rsidRDefault="00160AC1" w:rsidP="00E9064B">
      <w:pPr>
        <w:ind w:firstLine="686"/>
        <w:jc w:val="both"/>
        <w:rPr>
          <w:sz w:val="26"/>
          <w:szCs w:val="26"/>
        </w:rPr>
      </w:pPr>
      <w:r>
        <w:rPr>
          <w:sz w:val="26"/>
          <w:szCs w:val="26"/>
        </w:rPr>
        <w:t xml:space="preserve">Veikt </w:t>
      </w:r>
      <w:r w:rsidRPr="00160AC1">
        <w:rPr>
          <w:sz w:val="26"/>
          <w:szCs w:val="26"/>
        </w:rPr>
        <w:t xml:space="preserve">objektīvu vērtējumu par maršrutu tīkla atbilstību minimālajam valsts garantētajam sabiedriskā transporta pakalpojumu apjomam, </w:t>
      </w:r>
      <w:r w:rsidR="004C02AD">
        <w:rPr>
          <w:sz w:val="26"/>
          <w:szCs w:val="26"/>
        </w:rPr>
        <w:t>tostarp</w:t>
      </w:r>
      <w:r w:rsidRPr="00160AC1">
        <w:rPr>
          <w:sz w:val="26"/>
          <w:szCs w:val="26"/>
        </w:rPr>
        <w:t xml:space="preserve"> </w:t>
      </w:r>
      <w:r w:rsidR="00633347">
        <w:rPr>
          <w:sz w:val="26"/>
          <w:szCs w:val="26"/>
        </w:rPr>
        <w:t>STP L</w:t>
      </w:r>
      <w:r w:rsidRPr="00160AC1">
        <w:rPr>
          <w:sz w:val="26"/>
          <w:szCs w:val="26"/>
        </w:rPr>
        <w:t>ikumā norādītajai maršrutu rentabilitātei (</w:t>
      </w:r>
      <w:r w:rsidRPr="00160AC1">
        <w:rPr>
          <w:sz w:val="26"/>
          <w:szCs w:val="26"/>
          <w:shd w:val="clear" w:color="auto" w:fill="FFFFFF"/>
        </w:rPr>
        <w:t>pakalpojumu sniedzēja kalendāra gada faktiskie vai plānotie ieņēmumi (ieskaitot ieņēmumus, kas gūti, pārvadājot personas ar braukšanas maksas atvieglojumiem) veido vismaz 25 </w:t>
      </w:r>
      <w:r w:rsidR="0084287F">
        <w:rPr>
          <w:sz w:val="26"/>
          <w:szCs w:val="26"/>
          <w:shd w:val="clear" w:color="auto" w:fill="FFFFFF"/>
        </w:rPr>
        <w:t>%</w:t>
      </w:r>
      <w:r w:rsidRPr="00160AC1">
        <w:rPr>
          <w:sz w:val="26"/>
          <w:szCs w:val="26"/>
          <w:shd w:val="clear" w:color="auto" w:fill="FFFFFF"/>
        </w:rPr>
        <w:t xml:space="preserve"> no pakalpojumu sniedzēja kalendāra gada faktiskajām vai plānotajām izmaksām)</w:t>
      </w:r>
      <w:r w:rsidRPr="00160AC1">
        <w:rPr>
          <w:sz w:val="26"/>
          <w:szCs w:val="26"/>
        </w:rPr>
        <w:t xml:space="preserve"> apgrūtina fakts, ka pasažieru plūsma sabiedriskā transporta maršrutos vēl tikai turpina atgriezties ierastajā apmērā (kopējais pasažieru skaits samazinājās </w:t>
      </w:r>
      <w:r>
        <w:rPr>
          <w:sz w:val="26"/>
          <w:szCs w:val="26"/>
        </w:rPr>
        <w:t xml:space="preserve">vidēji </w:t>
      </w:r>
      <w:r w:rsidRPr="00160AC1">
        <w:rPr>
          <w:sz w:val="26"/>
          <w:szCs w:val="26"/>
        </w:rPr>
        <w:t>vairāk kā</w:t>
      </w:r>
      <w:r w:rsidRPr="0014763F">
        <w:rPr>
          <w:sz w:val="26"/>
          <w:szCs w:val="26"/>
        </w:rPr>
        <w:t xml:space="preserve"> par </w:t>
      </w:r>
      <w:r w:rsidRPr="00160AC1">
        <w:rPr>
          <w:sz w:val="26"/>
          <w:szCs w:val="26"/>
        </w:rPr>
        <w:t>36%</w:t>
      </w:r>
      <w:r w:rsidRPr="0014763F">
        <w:rPr>
          <w:sz w:val="26"/>
          <w:szCs w:val="26"/>
        </w:rPr>
        <w:t xml:space="preserve"> salīdzinājumā ar pirmspandēmijas </w:t>
      </w:r>
      <w:r w:rsidRPr="00A10347">
        <w:rPr>
          <w:sz w:val="26"/>
          <w:szCs w:val="26"/>
        </w:rPr>
        <w:t>periodu</w:t>
      </w:r>
      <w:r>
        <w:rPr>
          <w:sz w:val="26"/>
          <w:szCs w:val="26"/>
        </w:rPr>
        <w:t xml:space="preserve">, </w:t>
      </w:r>
      <w:r w:rsidRPr="003D4821">
        <w:rPr>
          <w:sz w:val="26"/>
          <w:szCs w:val="26"/>
        </w:rPr>
        <w:t>pandēmijas pirmajā vilnī pasažieru skaita kritums brīžiem</w:t>
      </w:r>
      <w:r>
        <w:rPr>
          <w:sz w:val="26"/>
          <w:szCs w:val="26"/>
        </w:rPr>
        <w:t xml:space="preserve"> </w:t>
      </w:r>
      <w:r w:rsidRPr="003D4821">
        <w:rPr>
          <w:sz w:val="26"/>
          <w:szCs w:val="26"/>
        </w:rPr>
        <w:t>sasniedza pat aptuveni 70 %</w:t>
      </w:r>
      <w:r>
        <w:rPr>
          <w:sz w:val="26"/>
          <w:szCs w:val="26"/>
        </w:rPr>
        <w:t xml:space="preserve">). Tajā pašā laikā pakalpojumu sniegšanas izmaksas 2022.gada laikā ir būtiski palielinājušās (vairāk informācijas turpmākajās sadaļās). Abu šo faktoru ietekmē maršrutu biļešu rentabilitāte pēdējos gados ir būtiski samazinājusies un nav tiešā veidā </w:t>
      </w:r>
      <w:r>
        <w:rPr>
          <w:sz w:val="26"/>
          <w:szCs w:val="26"/>
        </w:rPr>
        <w:lastRenderedPageBreak/>
        <w:t>objektīvi vērtējama. Šajā sakarā Sabiedriskā transporta padome 2023.gada 3.marta sēdē uzdeva Autotransporta direkcija</w:t>
      </w:r>
      <w:r w:rsidR="003821BD">
        <w:rPr>
          <w:sz w:val="26"/>
          <w:szCs w:val="26"/>
        </w:rPr>
        <w:t>i</w:t>
      </w:r>
      <w:r>
        <w:rPr>
          <w:sz w:val="26"/>
          <w:szCs w:val="26"/>
        </w:rPr>
        <w:t xml:space="preserve"> sadarbībā ar attiecīgajiem plānošanas reģioniem uzsākt reģionālās </w:t>
      </w:r>
      <w:r w:rsidRPr="00160AC1">
        <w:rPr>
          <w:sz w:val="26"/>
          <w:szCs w:val="26"/>
        </w:rPr>
        <w:t>nozīmes autobusu maršrutu tīkla izvērtēšanu, sākot ar nerentablākajiem reisiem. Nerentablo maršrutu (reisu) slēgšana bez padziļināta izvērtējuma nav iespējama, jo Latvijā sabiedriskais transports pilda sociālu funkciju, daudzviet tas ir vienīgais savienojums ar novada centru, iespējams, reisu izmanto izglītojamie, lai nokļūtu mācību iestādē</w:t>
      </w:r>
      <w:r w:rsidR="00E9064B">
        <w:rPr>
          <w:sz w:val="26"/>
          <w:szCs w:val="26"/>
        </w:rPr>
        <w:t>, kā arī jāvērtē visa maršrutu rentabilitāte</w:t>
      </w:r>
      <w:r w:rsidR="00E9064B" w:rsidRPr="001A702F">
        <w:rPr>
          <w:sz w:val="26"/>
          <w:szCs w:val="26"/>
        </w:rPr>
        <w:t>,</w:t>
      </w:r>
      <w:r w:rsidR="00E9064B">
        <w:rPr>
          <w:sz w:val="26"/>
          <w:szCs w:val="26"/>
        </w:rPr>
        <w:t xml:space="preserve"> </w:t>
      </w:r>
      <w:r w:rsidR="00E9064B" w:rsidRPr="001A702F">
        <w:rPr>
          <w:sz w:val="26"/>
          <w:szCs w:val="26"/>
        </w:rPr>
        <w:t xml:space="preserve">kur ilgstošā laikā visa maršruta garumā netiktu pārvadāts neviens pasažieris, jo pieprasījums pēc sabiedriskā transporta pakalpojumiem faktiski nav tikai atsevišķos maršruta posmos. Lielā daļā maršrutu ir gan reisi, kur pārvadāto pasažieru skaits ir liels, gan reisi, kur tiek pārvadāti divi / trīs pasažieri. </w:t>
      </w:r>
    </w:p>
    <w:bookmarkEnd w:id="3"/>
    <w:p w14:paraId="54E32F34" w14:textId="1BB53C80" w:rsidR="00160AC1" w:rsidRDefault="00160AC1" w:rsidP="00160AC1">
      <w:pPr>
        <w:ind w:firstLine="709"/>
        <w:jc w:val="both"/>
        <w:rPr>
          <w:sz w:val="26"/>
          <w:szCs w:val="26"/>
          <w:shd w:val="clear" w:color="auto" w:fill="FFFFFF"/>
        </w:rPr>
      </w:pPr>
      <w:r>
        <w:rPr>
          <w:sz w:val="26"/>
          <w:szCs w:val="26"/>
        </w:rPr>
        <w:t xml:space="preserve">Taču vienlaikus maršrutiem, kuriem rentabilitāte ir zem 10% kopējais nobraukumus varētu sastādīt ap </w:t>
      </w:r>
      <w:r w:rsidRPr="00B14789">
        <w:rPr>
          <w:sz w:val="26"/>
          <w:szCs w:val="26"/>
        </w:rPr>
        <w:t>3</w:t>
      </w:r>
      <w:r>
        <w:rPr>
          <w:sz w:val="26"/>
          <w:szCs w:val="26"/>
        </w:rPr>
        <w:t> </w:t>
      </w:r>
      <w:r w:rsidRPr="00B14789">
        <w:rPr>
          <w:sz w:val="26"/>
          <w:szCs w:val="26"/>
        </w:rPr>
        <w:t>458</w:t>
      </w:r>
      <w:r>
        <w:rPr>
          <w:sz w:val="26"/>
          <w:szCs w:val="26"/>
        </w:rPr>
        <w:t xml:space="preserve"> </w:t>
      </w:r>
      <w:r w:rsidRPr="00B14789">
        <w:rPr>
          <w:sz w:val="26"/>
          <w:szCs w:val="26"/>
        </w:rPr>
        <w:t>360</w:t>
      </w:r>
      <w:r>
        <w:rPr>
          <w:sz w:val="26"/>
          <w:szCs w:val="26"/>
        </w:rPr>
        <w:t xml:space="preserve"> kilometri gadā, kas lēšams aptuveni </w:t>
      </w:r>
      <w:r w:rsidRPr="00B14789">
        <w:rPr>
          <w:sz w:val="26"/>
          <w:szCs w:val="26"/>
        </w:rPr>
        <w:t>3</w:t>
      </w:r>
      <w:r>
        <w:rPr>
          <w:sz w:val="26"/>
          <w:szCs w:val="26"/>
        </w:rPr>
        <w:t> </w:t>
      </w:r>
      <w:r w:rsidRPr="00B14789">
        <w:rPr>
          <w:sz w:val="26"/>
          <w:szCs w:val="26"/>
        </w:rPr>
        <w:t>866</w:t>
      </w:r>
      <w:r>
        <w:rPr>
          <w:sz w:val="26"/>
          <w:szCs w:val="26"/>
        </w:rPr>
        <w:t> </w:t>
      </w:r>
      <w:r w:rsidRPr="00B14789">
        <w:rPr>
          <w:sz w:val="26"/>
          <w:szCs w:val="26"/>
        </w:rPr>
        <w:t>527</w:t>
      </w:r>
      <w:r>
        <w:rPr>
          <w:sz w:val="26"/>
          <w:szCs w:val="26"/>
        </w:rPr>
        <w:t xml:space="preserve"> EUR apmērā zaudējumu kompensēšanai, un pirmsšķietami potenciālai valsts budžeta izdevumu samazināšanai.</w:t>
      </w:r>
      <w:r w:rsidR="0012648C">
        <w:rPr>
          <w:sz w:val="26"/>
          <w:szCs w:val="26"/>
        </w:rPr>
        <w:t xml:space="preserve"> </w:t>
      </w:r>
      <w:r w:rsidR="006256FB">
        <w:rPr>
          <w:sz w:val="26"/>
          <w:szCs w:val="26"/>
        </w:rPr>
        <w:t xml:space="preserve">Tādējādi objektīva un uz vairākos gados iegūto pieredzi balstīta maršrutu </w:t>
      </w:r>
      <w:r w:rsidR="0012648C">
        <w:rPr>
          <w:sz w:val="26"/>
          <w:szCs w:val="26"/>
        </w:rPr>
        <w:t xml:space="preserve">tīkla </w:t>
      </w:r>
      <w:r w:rsidR="006256FB">
        <w:rPr>
          <w:sz w:val="26"/>
          <w:szCs w:val="26"/>
        </w:rPr>
        <w:t xml:space="preserve">pārskatīšana, kas neradītu </w:t>
      </w:r>
      <w:r w:rsidR="0012648C">
        <w:rPr>
          <w:sz w:val="26"/>
          <w:szCs w:val="26"/>
        </w:rPr>
        <w:t>atsevišķās apdzīvotās vietās negatīvas sociālās un ekonomiskās sekas</w:t>
      </w:r>
      <w:r w:rsidR="006256FB">
        <w:rPr>
          <w:sz w:val="26"/>
          <w:szCs w:val="26"/>
        </w:rPr>
        <w:t>, varētu sniegt valsts budžeta izdevumu</w:t>
      </w:r>
      <w:r w:rsidR="0039611B">
        <w:rPr>
          <w:sz w:val="26"/>
          <w:szCs w:val="26"/>
        </w:rPr>
        <w:t xml:space="preserve"> ekonomiju</w:t>
      </w:r>
      <w:r w:rsidR="006256FB">
        <w:rPr>
          <w:sz w:val="26"/>
          <w:szCs w:val="26"/>
        </w:rPr>
        <w:t xml:space="preserve"> ne vairāk kā 322 211 EUR</w:t>
      </w:r>
      <w:r w:rsidR="006256FB">
        <w:rPr>
          <w:rStyle w:val="FootnoteReference"/>
          <w:sz w:val="26"/>
          <w:szCs w:val="26"/>
        </w:rPr>
        <w:footnoteReference w:id="4"/>
      </w:r>
      <w:r w:rsidR="006256FB">
        <w:rPr>
          <w:sz w:val="26"/>
          <w:szCs w:val="26"/>
        </w:rPr>
        <w:t>.</w:t>
      </w:r>
    </w:p>
    <w:p w14:paraId="666D7396" w14:textId="0FF83303" w:rsidR="00735767" w:rsidRDefault="00735767" w:rsidP="00E243CE">
      <w:pPr>
        <w:ind w:firstLine="709"/>
        <w:jc w:val="both"/>
        <w:rPr>
          <w:sz w:val="26"/>
          <w:szCs w:val="26"/>
          <w:shd w:val="clear" w:color="auto" w:fill="FFFFFF"/>
        </w:rPr>
      </w:pPr>
    </w:p>
    <w:p w14:paraId="3FC9B4AF" w14:textId="6A1B06C8" w:rsidR="00735767" w:rsidRDefault="00735767" w:rsidP="00E243CE">
      <w:pPr>
        <w:ind w:firstLine="709"/>
        <w:jc w:val="both"/>
        <w:rPr>
          <w:sz w:val="26"/>
          <w:szCs w:val="26"/>
          <w:shd w:val="clear" w:color="auto" w:fill="FFFFFF"/>
        </w:rPr>
      </w:pPr>
      <w:r>
        <w:rPr>
          <w:noProof/>
        </w:rPr>
        <w:drawing>
          <wp:inline distT="0" distB="0" distL="0" distR="0" wp14:anchorId="29E01015" wp14:editId="218AB67B">
            <wp:extent cx="5057775" cy="2495550"/>
            <wp:effectExtent l="0" t="0" r="9525" b="0"/>
            <wp:docPr id="3" name="Chart 3">
              <a:extLst xmlns:a="http://schemas.openxmlformats.org/drawingml/2006/main">
                <a:ext uri="{FF2B5EF4-FFF2-40B4-BE49-F238E27FC236}">
                  <a16:creationId xmlns:a16="http://schemas.microsoft.com/office/drawing/2014/main" id="{00000000-0008-0000-04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287D79F" w14:textId="63FC3C23" w:rsidR="00735767" w:rsidRDefault="00403277" w:rsidP="00735767">
      <w:pPr>
        <w:jc w:val="center"/>
        <w:rPr>
          <w:shd w:val="clear" w:color="auto" w:fill="FFFFFF"/>
        </w:rPr>
      </w:pPr>
      <w:r w:rsidRPr="00403277">
        <w:rPr>
          <w:shd w:val="clear" w:color="auto" w:fill="FFFFFF"/>
        </w:rPr>
        <w:t>2</w:t>
      </w:r>
      <w:r w:rsidR="00735767" w:rsidRPr="00403277">
        <w:rPr>
          <w:shd w:val="clear" w:color="auto" w:fill="FFFFFF"/>
        </w:rPr>
        <w:t>.attēls</w:t>
      </w:r>
      <w:r>
        <w:rPr>
          <w:shd w:val="clear" w:color="auto" w:fill="FFFFFF"/>
        </w:rPr>
        <w:t xml:space="preserve">. </w:t>
      </w:r>
      <w:r w:rsidR="00735767" w:rsidRPr="00735767">
        <w:rPr>
          <w:shd w:val="clear" w:color="auto" w:fill="FFFFFF"/>
        </w:rPr>
        <w:t>Biļešu ieņēmum</w:t>
      </w:r>
      <w:r>
        <w:rPr>
          <w:shd w:val="clear" w:color="auto" w:fill="FFFFFF"/>
        </w:rPr>
        <w:t>u</w:t>
      </w:r>
      <w:r w:rsidR="00735767" w:rsidRPr="00735767">
        <w:rPr>
          <w:shd w:val="clear" w:color="auto" w:fill="FFFFFF"/>
        </w:rPr>
        <w:t xml:space="preserve"> rentabilitāte </w:t>
      </w:r>
    </w:p>
    <w:p w14:paraId="2BB02034" w14:textId="3F184E7D" w:rsidR="00735767" w:rsidRPr="00735767" w:rsidRDefault="00735767" w:rsidP="00735767">
      <w:pPr>
        <w:jc w:val="center"/>
        <w:rPr>
          <w:shd w:val="clear" w:color="auto" w:fill="FFFFFF"/>
        </w:rPr>
      </w:pPr>
      <w:r w:rsidRPr="00735767">
        <w:rPr>
          <w:shd w:val="clear" w:color="auto" w:fill="FFFFFF"/>
        </w:rPr>
        <w:t>reģionālās nozīmes maršrutu tīklā ar autobusiem</w:t>
      </w:r>
    </w:p>
    <w:p w14:paraId="1DE32B84" w14:textId="77777777" w:rsidR="00735767" w:rsidRDefault="00735767" w:rsidP="00E243CE">
      <w:pPr>
        <w:ind w:firstLine="709"/>
        <w:jc w:val="both"/>
        <w:rPr>
          <w:sz w:val="26"/>
          <w:szCs w:val="26"/>
          <w:shd w:val="clear" w:color="auto" w:fill="FFFFFF"/>
        </w:rPr>
      </w:pPr>
    </w:p>
    <w:p w14:paraId="537A2E03" w14:textId="127F5343" w:rsidR="00160AC1" w:rsidRPr="001A702F" w:rsidRDefault="00160AC1" w:rsidP="00160AC1">
      <w:pPr>
        <w:ind w:firstLine="686"/>
        <w:jc w:val="both"/>
        <w:rPr>
          <w:sz w:val="26"/>
          <w:szCs w:val="26"/>
        </w:rPr>
      </w:pPr>
      <w:r w:rsidRPr="006C7835">
        <w:rPr>
          <w:sz w:val="26"/>
          <w:szCs w:val="26"/>
        </w:rPr>
        <w:t xml:space="preserve">Meklējot risinājumu nerentablo maršrutu izmaksu mazināšanai, tika veikti grozījumi Ministru kabineta </w:t>
      </w:r>
      <w:r w:rsidR="00402005" w:rsidRPr="006C7835">
        <w:rPr>
          <w:sz w:val="26"/>
          <w:szCs w:val="26"/>
        </w:rPr>
        <w:t xml:space="preserve">2010.gada 13.jūlija </w:t>
      </w:r>
      <w:r w:rsidRPr="006C7835">
        <w:rPr>
          <w:sz w:val="26"/>
          <w:szCs w:val="26"/>
        </w:rPr>
        <w:t>noteikumos Nr.634 “Sabiedriskā transporta pakalpojumu organizēšanas kārtība maršrutu tīklā”</w:t>
      </w:r>
      <w:r w:rsidR="00402005">
        <w:rPr>
          <w:sz w:val="26"/>
          <w:szCs w:val="26"/>
        </w:rPr>
        <w:t xml:space="preserve"> (turpmāk – Ministru kabineta noteikumi Nr. 634)</w:t>
      </w:r>
      <w:r w:rsidRPr="006C7835">
        <w:rPr>
          <w:sz w:val="26"/>
          <w:szCs w:val="26"/>
        </w:rPr>
        <w:t xml:space="preserve">, paredzot, ka maršrutos, kur pasažieru plūsma ir ļoti zema un nav regulāra, var ieviest transportu pēc </w:t>
      </w:r>
      <w:r w:rsidRPr="001A702F">
        <w:rPr>
          <w:sz w:val="26"/>
          <w:szCs w:val="26"/>
        </w:rPr>
        <w:t xml:space="preserve">pieprasījuma. 2018.gadā tika ieviests pirmais pilotprojekts reisam pēc pieprasījuma visā reisa garumā. Tas nozīmē, ka autobuss konkrētā reisā vai reisa daļā brauks tikai tad, ja pasažieris būs pieteicis pakalpojumu, iepriekš iegādājoties biļeti vai sazinoties ar pārvadātāju. Tomēr 2018.gadā sakarā ar pasažieru pieprasījuma trūkumu, šie reisi no 2018.gada 16.septembra tika slēgti. </w:t>
      </w:r>
    </w:p>
    <w:p w14:paraId="11441C2F" w14:textId="77777777" w:rsidR="00160AC1" w:rsidRPr="001A702F" w:rsidRDefault="00160AC1" w:rsidP="00160AC1">
      <w:pPr>
        <w:ind w:firstLine="686"/>
        <w:jc w:val="both"/>
        <w:rPr>
          <w:sz w:val="26"/>
          <w:szCs w:val="26"/>
        </w:rPr>
      </w:pPr>
      <w:r w:rsidRPr="001A702F">
        <w:rPr>
          <w:sz w:val="26"/>
          <w:szCs w:val="26"/>
        </w:rPr>
        <w:lastRenderedPageBreak/>
        <w:t xml:space="preserve">No 2020.gada 1.marta autobusu maršrutā Nr.5614 reisam Nr. 15 Cēsis – Rāmnieki – Strīķi – Cēsis plkst. 15:30 – 16:00 sestdienās izpilde tika noteikta pēc pieprasījuma, bet  sakarā ar pieprasījuma trūkumu, 2020.gada 8.novembrī reiss tika slēgts. Līdzīgi no 2020.gada 6.janvāra maršrutā Nr.6600 reiss Smiltene–Šķipeles–Smiltene plkst. 14:15 – 14:44 darba dienās ar sezonalitāti no 1.septembra līdz 31.maijam tika noteikts pēc pieprasījuma. Tā kā reiss netika pieprasīts, 2020.gada 8.novembrī arī šis reiss tika slēgts. </w:t>
      </w:r>
    </w:p>
    <w:p w14:paraId="7CF9EA8C" w14:textId="7C0D1332" w:rsidR="00160AC1" w:rsidRPr="001A702F" w:rsidRDefault="00160AC1" w:rsidP="001A702F">
      <w:pPr>
        <w:ind w:firstLine="686"/>
        <w:jc w:val="both"/>
        <w:rPr>
          <w:sz w:val="26"/>
          <w:szCs w:val="26"/>
        </w:rPr>
      </w:pPr>
      <w:r w:rsidRPr="001A702F">
        <w:rPr>
          <w:sz w:val="26"/>
          <w:szCs w:val="26"/>
        </w:rPr>
        <w:t>Veiksmīgāk darbojas transporta pēc pieprasījuma ieviešana kādā reisa posmā. No 2019.gada 1.augusta maršruta Nr.6818 Liepāja-Rucava-Nida reisos Nr.9 Liepāja-Rucava-Nida plkst. 06:10 – 07:15, Nr.10 Nida-Rucava-Liepāja plkst.07:34 – 08:49, Nr.13 Liepāja-Rucava-Nida plkst.17:09 – 18:14 un Nr.12 Nida-Rucava-Liepāja 18:24 – 19:29 darba dienās posms starp pieturām Rucava un Latvijas Lietuvas robeža tiek apkalpots pēc pieprasījuma. Līdzīgs piemērs arī no 2019.gada 1.augusta ieviests maršrutā Nr.6783 Dobele - Bukaiši reisos Nr.31 Dobele-Bukaiši-Gundegas</w:t>
      </w:r>
      <w:r w:rsidR="00F9730D">
        <w:rPr>
          <w:sz w:val="26"/>
          <w:szCs w:val="26"/>
        </w:rPr>
        <w:t xml:space="preserve"> </w:t>
      </w:r>
      <w:r w:rsidRPr="001A702F">
        <w:rPr>
          <w:sz w:val="26"/>
          <w:szCs w:val="26"/>
        </w:rPr>
        <w:t>plkst. 07:35 – 08:42, Nr.28 Gundegas-Bukaiši-Dobele plkst.08:49 – 09.57, Nr.17 Dobele-Bukaiši-Gundegas plkst. 14:10 – 15:21 un Nr.18 Gundegas-Bukaiši-Dobele plkst. 15:39 – 16:47 otrdienās, kur posms</w:t>
      </w:r>
      <w:r w:rsidRPr="001A702F">
        <w:rPr>
          <w:b/>
          <w:bCs/>
          <w:sz w:val="26"/>
          <w:szCs w:val="26"/>
        </w:rPr>
        <w:t xml:space="preserve"> </w:t>
      </w:r>
      <w:r w:rsidRPr="001A702F">
        <w:rPr>
          <w:sz w:val="26"/>
          <w:szCs w:val="26"/>
        </w:rPr>
        <w:t>starp pieturām Bukaišu skola un Gundegas tiek apkalpots tikai pēc pieprasījuma.</w:t>
      </w:r>
    </w:p>
    <w:p w14:paraId="7489B818" w14:textId="77777777" w:rsidR="00160AC1" w:rsidRDefault="00160AC1" w:rsidP="00160AC1">
      <w:pPr>
        <w:ind w:firstLine="686"/>
        <w:jc w:val="both"/>
        <w:rPr>
          <w:bCs/>
          <w:sz w:val="26"/>
          <w:szCs w:val="26"/>
        </w:rPr>
      </w:pPr>
      <w:r w:rsidRPr="00600BA6">
        <w:rPr>
          <w:bCs/>
          <w:sz w:val="26"/>
          <w:szCs w:val="26"/>
        </w:rPr>
        <w:t xml:space="preserve">No 2022. gada 18. aprīļa maršruta Nr.7958 Rīga–Vaiņode–Priekule reisa Nr.03 plkst.16.45 no Rīgas posms Priekule – Liepājas AO tiek nodrošināts </w:t>
      </w:r>
      <w:r>
        <w:rPr>
          <w:bCs/>
          <w:sz w:val="26"/>
          <w:szCs w:val="26"/>
        </w:rPr>
        <w:t xml:space="preserve">tikai </w:t>
      </w:r>
      <w:r w:rsidRPr="00600BA6">
        <w:rPr>
          <w:bCs/>
          <w:sz w:val="26"/>
          <w:szCs w:val="26"/>
        </w:rPr>
        <w:t xml:space="preserve">pēc </w:t>
      </w:r>
      <w:r>
        <w:rPr>
          <w:bCs/>
          <w:sz w:val="26"/>
          <w:szCs w:val="26"/>
        </w:rPr>
        <w:t xml:space="preserve">pasažieru </w:t>
      </w:r>
      <w:r w:rsidRPr="00600BA6">
        <w:rPr>
          <w:bCs/>
          <w:sz w:val="26"/>
          <w:szCs w:val="26"/>
        </w:rPr>
        <w:t>pieprasījuma.</w:t>
      </w:r>
    </w:p>
    <w:p w14:paraId="2A9ECF1F" w14:textId="4E19B663" w:rsidR="001A702F" w:rsidRDefault="00160AC1" w:rsidP="00160AC1">
      <w:pPr>
        <w:ind w:firstLine="709"/>
        <w:jc w:val="both"/>
        <w:rPr>
          <w:sz w:val="26"/>
          <w:szCs w:val="26"/>
        </w:rPr>
      </w:pPr>
      <w:r>
        <w:rPr>
          <w:rStyle w:val="markedcontent"/>
          <w:rFonts w:eastAsia="Calibri"/>
          <w:sz w:val="26"/>
          <w:szCs w:val="26"/>
        </w:rPr>
        <w:t>Lai nodrošinātu iedzīvotāju mobilitāti mazapdzīvotās vietās, s</w:t>
      </w:r>
      <w:r w:rsidRPr="00B304F5">
        <w:rPr>
          <w:rStyle w:val="markedcontent"/>
          <w:rFonts w:eastAsia="Calibri"/>
          <w:sz w:val="26"/>
          <w:szCs w:val="26"/>
        </w:rPr>
        <w:t xml:space="preserve">askaņā ar </w:t>
      </w:r>
      <w:r w:rsidR="00633347">
        <w:rPr>
          <w:sz w:val="26"/>
          <w:szCs w:val="26"/>
        </w:rPr>
        <w:t>STP</w:t>
      </w:r>
      <w:r w:rsidRPr="00B304F5">
        <w:rPr>
          <w:sz w:val="26"/>
          <w:szCs w:val="26"/>
        </w:rPr>
        <w:t xml:space="preserve"> </w:t>
      </w:r>
      <w:r w:rsidR="00633347">
        <w:rPr>
          <w:sz w:val="26"/>
          <w:szCs w:val="26"/>
        </w:rPr>
        <w:t>L</w:t>
      </w:r>
      <w:r w:rsidRPr="00B304F5">
        <w:rPr>
          <w:sz w:val="26"/>
          <w:szCs w:val="26"/>
        </w:rPr>
        <w:t>ikuma 14.panta 2.</w:t>
      </w:r>
      <w:r w:rsidRPr="00B304F5">
        <w:rPr>
          <w:sz w:val="26"/>
          <w:szCs w:val="26"/>
          <w:vertAlign w:val="superscript"/>
        </w:rPr>
        <w:t xml:space="preserve">1 </w:t>
      </w:r>
      <w:r w:rsidRPr="00B304F5">
        <w:rPr>
          <w:sz w:val="26"/>
          <w:szCs w:val="26"/>
        </w:rPr>
        <w:t>daļu un Ministru kabineta noteikumu Nr.634 V.</w:t>
      </w:r>
      <w:r w:rsidRPr="00B304F5">
        <w:rPr>
          <w:sz w:val="26"/>
          <w:szCs w:val="26"/>
          <w:vertAlign w:val="superscript"/>
        </w:rPr>
        <w:t>2</w:t>
      </w:r>
      <w:r w:rsidRPr="00B304F5">
        <w:rPr>
          <w:sz w:val="26"/>
          <w:szCs w:val="26"/>
        </w:rPr>
        <w:t xml:space="preserve"> nodaļu, kā arī </w:t>
      </w:r>
      <w:r w:rsidRPr="00B304F5">
        <w:rPr>
          <w:rStyle w:val="markedcontent"/>
          <w:rFonts w:eastAsia="Calibri"/>
          <w:sz w:val="26"/>
          <w:szCs w:val="26"/>
        </w:rPr>
        <w:t>Sabiedriskā transporta padomes 2021.gada 6.augusta sēdes lēmumu (prot. Nr.6</w:t>
      </w:r>
      <w:r>
        <w:rPr>
          <w:rStyle w:val="markedcontent"/>
          <w:rFonts w:eastAsia="Calibri"/>
          <w:sz w:val="26"/>
          <w:szCs w:val="26"/>
        </w:rPr>
        <w:t xml:space="preserve">, </w:t>
      </w:r>
      <w:r w:rsidRPr="00B304F5">
        <w:rPr>
          <w:rStyle w:val="markedcontent"/>
          <w:rFonts w:eastAsia="Calibri"/>
          <w:sz w:val="26"/>
          <w:szCs w:val="26"/>
        </w:rPr>
        <w:t>5</w:t>
      </w:r>
      <w:r>
        <w:rPr>
          <w:rStyle w:val="markedcontent"/>
          <w:rFonts w:eastAsia="Calibri"/>
          <w:sz w:val="26"/>
          <w:szCs w:val="26"/>
        </w:rPr>
        <w:t>.</w:t>
      </w:r>
      <w:r w:rsidRPr="00B304F5">
        <w:rPr>
          <w:rStyle w:val="markedcontent"/>
          <w:rFonts w:eastAsia="Calibri"/>
          <w:sz w:val="26"/>
          <w:szCs w:val="26"/>
        </w:rPr>
        <w:t xml:space="preserve">§), no 2021.gada 1.oktobra </w:t>
      </w:r>
      <w:r>
        <w:rPr>
          <w:rStyle w:val="markedcontent"/>
          <w:rFonts w:eastAsia="Calibri"/>
          <w:sz w:val="26"/>
          <w:szCs w:val="26"/>
        </w:rPr>
        <w:t xml:space="preserve">ir pieejams </w:t>
      </w:r>
      <w:r w:rsidRPr="00B304F5">
        <w:rPr>
          <w:rStyle w:val="markedcontent"/>
          <w:rFonts w:eastAsia="Calibri"/>
          <w:sz w:val="26"/>
          <w:szCs w:val="26"/>
        </w:rPr>
        <w:t>bezmaksas sabiedriskais transports visos vai tikai atsevišķos reisos</w:t>
      </w:r>
      <w:r>
        <w:rPr>
          <w:rStyle w:val="markedcontent"/>
          <w:rFonts w:eastAsia="Calibri"/>
          <w:sz w:val="26"/>
          <w:szCs w:val="26"/>
        </w:rPr>
        <w:t xml:space="preserve">. Šādi maršruti vai to atsevišķi reisi ir </w:t>
      </w:r>
      <w:r w:rsidRPr="00B304F5">
        <w:rPr>
          <w:rStyle w:val="markedcontent"/>
          <w:rFonts w:eastAsia="Calibri"/>
          <w:sz w:val="26"/>
          <w:szCs w:val="26"/>
        </w:rPr>
        <w:t>ieviest</w:t>
      </w:r>
      <w:r>
        <w:rPr>
          <w:rStyle w:val="markedcontent"/>
          <w:rFonts w:eastAsia="Calibri"/>
          <w:sz w:val="26"/>
          <w:szCs w:val="26"/>
        </w:rPr>
        <w:t>i</w:t>
      </w:r>
      <w:r w:rsidRPr="00B304F5">
        <w:rPr>
          <w:rStyle w:val="markedcontent"/>
          <w:rFonts w:eastAsia="Calibri"/>
          <w:sz w:val="26"/>
          <w:szCs w:val="26"/>
        </w:rPr>
        <w:t xml:space="preserve"> </w:t>
      </w:r>
      <w:r w:rsidRPr="00B304F5">
        <w:rPr>
          <w:sz w:val="26"/>
          <w:szCs w:val="26"/>
        </w:rPr>
        <w:t>Alūksnes, Rūjienas, Smiltenes, Strenču, Valkas, Ciblas, Ludzas, Dagdas, Balvu, Rugāju, Viļakas, Jēkabpils, Jaunjelgavas, Ērgļu un Saldus novadā. No 2022.gada 1.maija bezmaksas sabiedriskais transports tika ieviests arī Blontu pagastā, maršruta Nr.6572 Ludza–Blonti–Degļeva visos reisos.</w:t>
      </w:r>
      <w:r>
        <w:rPr>
          <w:sz w:val="26"/>
          <w:szCs w:val="26"/>
        </w:rPr>
        <w:t xml:space="preserve"> </w:t>
      </w:r>
    </w:p>
    <w:p w14:paraId="16590237" w14:textId="77777777" w:rsidR="00CD1D4B" w:rsidRDefault="00CD1D4B" w:rsidP="00CD1D4B">
      <w:pPr>
        <w:pStyle w:val="NoSpacing"/>
        <w:jc w:val="both"/>
        <w:rPr>
          <w:sz w:val="26"/>
          <w:szCs w:val="26"/>
          <w:highlight w:val="yellow"/>
        </w:rPr>
      </w:pPr>
    </w:p>
    <w:p w14:paraId="6FB6B6D8" w14:textId="77777777" w:rsidR="00CD1D4B" w:rsidRDefault="00CD1D4B" w:rsidP="00CD1D4B">
      <w:pPr>
        <w:pStyle w:val="NoSpacing"/>
        <w:jc w:val="both"/>
        <w:rPr>
          <w:sz w:val="26"/>
          <w:szCs w:val="26"/>
          <w:highlight w:val="yellow"/>
        </w:rPr>
      </w:pPr>
      <w:r>
        <w:rPr>
          <w:noProof/>
        </w:rPr>
        <w:drawing>
          <wp:inline distT="0" distB="0" distL="0" distR="0" wp14:anchorId="409F1016" wp14:editId="3138F695">
            <wp:extent cx="5760085" cy="2507575"/>
            <wp:effectExtent l="0" t="0" r="12065" b="7620"/>
            <wp:docPr id="1" name="Chart 1">
              <a:extLst xmlns:a="http://schemas.openxmlformats.org/drawingml/2006/main">
                <a:ext uri="{FF2B5EF4-FFF2-40B4-BE49-F238E27FC236}">
                  <a16:creationId xmlns:a16="http://schemas.microsoft.com/office/drawing/2014/main" id="{3BEEB6BE-136D-4C4C-BC2D-ABF8CC442DB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F916585" w14:textId="0949BF6E" w:rsidR="00CD1D4B" w:rsidRDefault="00477D6C" w:rsidP="00CD1D4B">
      <w:pPr>
        <w:jc w:val="center"/>
        <w:rPr>
          <w:shd w:val="clear" w:color="auto" w:fill="FFFFFF"/>
        </w:rPr>
      </w:pPr>
      <w:r>
        <w:rPr>
          <w:shd w:val="clear" w:color="auto" w:fill="FFFFFF"/>
        </w:rPr>
        <w:t>3</w:t>
      </w:r>
      <w:r w:rsidR="00CD1D4B" w:rsidRPr="00403277">
        <w:rPr>
          <w:shd w:val="clear" w:color="auto" w:fill="FFFFFF"/>
        </w:rPr>
        <w:t>.attēls</w:t>
      </w:r>
      <w:r w:rsidR="00CD1D4B">
        <w:rPr>
          <w:shd w:val="clear" w:color="auto" w:fill="FFFFFF"/>
        </w:rPr>
        <w:t xml:space="preserve">. </w:t>
      </w:r>
      <w:r w:rsidR="00CB2BAF">
        <w:rPr>
          <w:shd w:val="clear" w:color="auto" w:fill="FFFFFF"/>
        </w:rPr>
        <w:t>P</w:t>
      </w:r>
      <w:r w:rsidR="00CD1D4B" w:rsidRPr="00CD1D4B">
        <w:rPr>
          <w:shd w:val="clear" w:color="auto" w:fill="FFFFFF"/>
        </w:rPr>
        <w:t xml:space="preserve">ārvadāto </w:t>
      </w:r>
    </w:p>
    <w:p w14:paraId="17F06C45" w14:textId="68F4A113" w:rsidR="00CD1D4B" w:rsidRPr="00CD1D4B" w:rsidRDefault="00CD1D4B" w:rsidP="00CD1D4B">
      <w:pPr>
        <w:jc w:val="center"/>
        <w:rPr>
          <w:shd w:val="clear" w:color="auto" w:fill="FFFFFF"/>
        </w:rPr>
      </w:pPr>
      <w:r w:rsidRPr="00CD1D4B">
        <w:rPr>
          <w:shd w:val="clear" w:color="auto" w:fill="FFFFFF"/>
        </w:rPr>
        <w:t>pasažieru skaits 2021.-2022.gada 12 mēnešos</w:t>
      </w:r>
      <w:r w:rsidR="00CB2BAF">
        <w:rPr>
          <w:shd w:val="clear" w:color="auto" w:fill="FFFFFF"/>
        </w:rPr>
        <w:t xml:space="preserve"> maršrutos, kuriem bezmaksas statuss noteikts no 2021.gada 1.oktobra. </w:t>
      </w:r>
    </w:p>
    <w:p w14:paraId="7D765B72" w14:textId="77777777" w:rsidR="00CD1D4B" w:rsidRPr="00735767" w:rsidRDefault="00CD1D4B" w:rsidP="00CD1D4B">
      <w:pPr>
        <w:jc w:val="center"/>
        <w:rPr>
          <w:shd w:val="clear" w:color="auto" w:fill="FFFFFF"/>
        </w:rPr>
      </w:pPr>
    </w:p>
    <w:p w14:paraId="755D5B23" w14:textId="0C2D0055" w:rsidR="00B41046" w:rsidRPr="00CD1D4B" w:rsidRDefault="00B41046" w:rsidP="00B41046">
      <w:pPr>
        <w:ind w:firstLine="720"/>
        <w:jc w:val="both"/>
        <w:rPr>
          <w:sz w:val="26"/>
          <w:szCs w:val="26"/>
        </w:rPr>
      </w:pPr>
      <w:r w:rsidRPr="00CD1D4B">
        <w:rPr>
          <w:sz w:val="26"/>
          <w:szCs w:val="26"/>
        </w:rPr>
        <w:t>2022.gads ir bijis pirmais pilnais gads, kurā visa gada garumā tiek izpildīti bezmaksas reisi</w:t>
      </w:r>
      <w:r w:rsidR="0084287F">
        <w:rPr>
          <w:sz w:val="26"/>
          <w:szCs w:val="26"/>
        </w:rPr>
        <w:t>, kas liecina</w:t>
      </w:r>
      <w:r w:rsidRPr="00CD1D4B">
        <w:rPr>
          <w:sz w:val="26"/>
          <w:szCs w:val="26"/>
        </w:rPr>
        <w:t xml:space="preserve">, ka kopš bezmaksas maršrutu (reisu) ieviešanas pieprasījums šajos maršrutos ir </w:t>
      </w:r>
      <w:r>
        <w:rPr>
          <w:sz w:val="26"/>
          <w:szCs w:val="26"/>
        </w:rPr>
        <w:t xml:space="preserve">būtiski </w:t>
      </w:r>
      <w:r w:rsidRPr="00CD1D4B">
        <w:rPr>
          <w:sz w:val="26"/>
          <w:szCs w:val="26"/>
        </w:rPr>
        <w:t xml:space="preserve">palielinājies. 2022.gadā bezmaksas maršrutos kopā tika pārvadāti 40,5 tūkst. pasažieru. Salīdzinot bezmaksas maršrutos pārvadāto pasažieru skaitu 2022.gadā ar 2021.gada datiem, ir secināms, ka pārvadāto pasažieru skaits šajos maršrutos kopš bezmaksas reisu ieviešanas ir palielinājies par 13,9 tūkst. pasažieru jeb par 53% </w:t>
      </w:r>
      <w:r w:rsidRPr="00F9730D">
        <w:rPr>
          <w:sz w:val="26"/>
          <w:szCs w:val="26"/>
        </w:rPr>
        <w:t>(skat. attēlu Nr.3).</w:t>
      </w:r>
    </w:p>
    <w:p w14:paraId="1EE56271" w14:textId="77777777" w:rsidR="00CD1D4B" w:rsidRPr="00600BA6" w:rsidRDefault="00CD1D4B" w:rsidP="00600BA6">
      <w:pPr>
        <w:spacing w:after="120"/>
        <w:ind w:firstLine="686"/>
        <w:jc w:val="both"/>
        <w:rPr>
          <w:bCs/>
          <w:sz w:val="26"/>
          <w:szCs w:val="26"/>
        </w:rPr>
      </w:pPr>
    </w:p>
    <w:p w14:paraId="2F534B17" w14:textId="6476B1BB" w:rsidR="008C7ADB" w:rsidRDefault="00CD1D4B" w:rsidP="00CD1D4B">
      <w:pPr>
        <w:pStyle w:val="NoSpacing"/>
        <w:jc w:val="both"/>
        <w:rPr>
          <w:sz w:val="26"/>
          <w:szCs w:val="26"/>
          <w:highlight w:val="yellow"/>
        </w:rPr>
      </w:pPr>
      <w:r>
        <w:rPr>
          <w:noProof/>
        </w:rPr>
        <w:drawing>
          <wp:inline distT="0" distB="0" distL="0" distR="0" wp14:anchorId="388D4A25" wp14:editId="4E0EF1EE">
            <wp:extent cx="5760085" cy="2455674"/>
            <wp:effectExtent l="0" t="0" r="12065" b="1905"/>
            <wp:docPr id="7" name="Chart 7">
              <a:extLst xmlns:a="http://schemas.openxmlformats.org/drawingml/2006/main">
                <a:ext uri="{FF2B5EF4-FFF2-40B4-BE49-F238E27FC236}">
                  <a16:creationId xmlns:a16="http://schemas.microsoft.com/office/drawing/2014/main" id="{8B7ADD76-E8EE-4E2B-B5BF-8BC1BEDB6B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6DBF1DB" w14:textId="68E6EF8C" w:rsidR="00CD1D4B" w:rsidRPr="00477D6C" w:rsidRDefault="00477D6C" w:rsidP="00CD1D4B">
      <w:pPr>
        <w:pStyle w:val="NoSpacing"/>
        <w:jc w:val="center"/>
        <w:rPr>
          <w:sz w:val="24"/>
          <w:szCs w:val="24"/>
        </w:rPr>
      </w:pPr>
      <w:r w:rsidRPr="00477D6C">
        <w:rPr>
          <w:sz w:val="24"/>
          <w:szCs w:val="24"/>
        </w:rPr>
        <w:t>4.</w:t>
      </w:r>
      <w:r w:rsidR="00CD1D4B" w:rsidRPr="00477D6C">
        <w:rPr>
          <w:sz w:val="24"/>
          <w:szCs w:val="24"/>
        </w:rPr>
        <w:t xml:space="preserve">attēls. </w:t>
      </w:r>
      <w:r w:rsidR="00CD1D4B" w:rsidRPr="00CD1D4B">
        <w:rPr>
          <w:sz w:val="24"/>
          <w:szCs w:val="24"/>
        </w:rPr>
        <w:t xml:space="preserve">Bezmaksas maršrutos pārvadāto </w:t>
      </w:r>
    </w:p>
    <w:p w14:paraId="0965366E" w14:textId="495E3D00" w:rsidR="00CD1D4B" w:rsidRPr="00CD1D4B" w:rsidRDefault="00CD1D4B" w:rsidP="00CD1D4B">
      <w:pPr>
        <w:pStyle w:val="NoSpacing"/>
        <w:jc w:val="center"/>
        <w:rPr>
          <w:sz w:val="24"/>
          <w:szCs w:val="24"/>
        </w:rPr>
      </w:pPr>
      <w:r w:rsidRPr="00CD1D4B">
        <w:rPr>
          <w:sz w:val="24"/>
          <w:szCs w:val="24"/>
        </w:rPr>
        <w:t>pasažieru skaits sadalījumā pa pagastiem</w:t>
      </w:r>
      <w:r w:rsidRPr="00477D6C">
        <w:rPr>
          <w:sz w:val="24"/>
          <w:szCs w:val="24"/>
        </w:rPr>
        <w:t xml:space="preserve"> </w:t>
      </w:r>
      <w:r w:rsidRPr="00CD1D4B">
        <w:rPr>
          <w:sz w:val="24"/>
          <w:szCs w:val="24"/>
        </w:rPr>
        <w:t>2022.gada 12 mēnešos</w:t>
      </w:r>
    </w:p>
    <w:p w14:paraId="7FBE136C" w14:textId="39FC05A7" w:rsidR="00CD1D4B" w:rsidRPr="00CD1D4B" w:rsidRDefault="00CD1D4B" w:rsidP="00CD1D4B">
      <w:pPr>
        <w:pStyle w:val="NoSpacing"/>
        <w:jc w:val="center"/>
        <w:rPr>
          <w:sz w:val="24"/>
          <w:szCs w:val="24"/>
          <w:highlight w:val="yellow"/>
        </w:rPr>
      </w:pPr>
    </w:p>
    <w:p w14:paraId="2E945F05" w14:textId="2F9BAFEE" w:rsidR="001A702F" w:rsidRPr="00B304F5" w:rsidRDefault="00402005" w:rsidP="001A702F">
      <w:pPr>
        <w:ind w:firstLine="709"/>
        <w:jc w:val="both"/>
        <w:rPr>
          <w:rStyle w:val="markedcontent"/>
          <w:rFonts w:eastAsia="Calibri"/>
          <w:sz w:val="26"/>
          <w:szCs w:val="26"/>
        </w:rPr>
      </w:pPr>
      <w:r>
        <w:rPr>
          <w:sz w:val="26"/>
          <w:szCs w:val="26"/>
        </w:rPr>
        <w:t>Vērtējot</w:t>
      </w:r>
      <w:r w:rsidR="001A702F">
        <w:rPr>
          <w:sz w:val="26"/>
          <w:szCs w:val="26"/>
        </w:rPr>
        <w:t xml:space="preserve"> </w:t>
      </w:r>
      <w:r>
        <w:rPr>
          <w:sz w:val="26"/>
          <w:szCs w:val="26"/>
        </w:rPr>
        <w:t xml:space="preserve">iedzīvotāju </w:t>
      </w:r>
      <w:r w:rsidR="001A702F">
        <w:rPr>
          <w:sz w:val="26"/>
          <w:szCs w:val="26"/>
        </w:rPr>
        <w:t>pieprasījum</w:t>
      </w:r>
      <w:r>
        <w:rPr>
          <w:sz w:val="26"/>
          <w:szCs w:val="26"/>
        </w:rPr>
        <w:t xml:space="preserve">a izmaiņas, </w:t>
      </w:r>
      <w:r w:rsidR="001A702F">
        <w:rPr>
          <w:sz w:val="26"/>
          <w:szCs w:val="26"/>
        </w:rPr>
        <w:t>tika veikti grozījumi M</w:t>
      </w:r>
      <w:r>
        <w:rPr>
          <w:sz w:val="26"/>
          <w:szCs w:val="26"/>
        </w:rPr>
        <w:t xml:space="preserve">inistru kabineta </w:t>
      </w:r>
      <w:r w:rsidR="001A702F">
        <w:rPr>
          <w:sz w:val="26"/>
          <w:szCs w:val="26"/>
        </w:rPr>
        <w:t>noteikumos Nr.634</w:t>
      </w:r>
      <w:r w:rsidR="0084287F">
        <w:rPr>
          <w:sz w:val="26"/>
          <w:szCs w:val="26"/>
        </w:rPr>
        <w:t>,</w:t>
      </w:r>
      <w:r w:rsidR="001A702F">
        <w:rPr>
          <w:sz w:val="26"/>
          <w:szCs w:val="26"/>
        </w:rPr>
        <w:t xml:space="preserve"> papildinot bezmaksas maršrutu (reisu) noteikšanas kritērijus ar lielākiem raksturlielumiem iedzīvotāju un reisu skaitam pagastā</w:t>
      </w:r>
      <w:r>
        <w:rPr>
          <w:sz w:val="26"/>
          <w:szCs w:val="26"/>
        </w:rPr>
        <w:t>, k</w:t>
      </w:r>
      <w:r w:rsidR="001A702F">
        <w:rPr>
          <w:sz w:val="26"/>
          <w:szCs w:val="26"/>
        </w:rPr>
        <w:t>ā arī tika noteikti kritēriji</w:t>
      </w:r>
      <w:r w:rsidR="003821BD">
        <w:rPr>
          <w:sz w:val="26"/>
          <w:szCs w:val="26"/>
        </w:rPr>
        <w:t>,</w:t>
      </w:r>
      <w:r w:rsidR="001A702F">
        <w:rPr>
          <w:sz w:val="26"/>
          <w:szCs w:val="26"/>
        </w:rPr>
        <w:t xml:space="preserve"> pēc kuriem Sabiedriskā transporta padome var pieņemt lēmumu par bezmaksas maršrutu (reisu) noteikšanu par maksu. Veicot ikgadējo maršrutu vērtēšanu tika identificēts, ka </w:t>
      </w:r>
      <w:r w:rsidR="001A702F" w:rsidRPr="00115A76">
        <w:rPr>
          <w:sz w:val="26"/>
          <w:szCs w:val="26"/>
        </w:rPr>
        <w:t>kopumā kvalificējas 14 maršruti, kopā 36 reisi. Jaun</w:t>
      </w:r>
      <w:r w:rsidR="001A702F">
        <w:rPr>
          <w:sz w:val="26"/>
          <w:szCs w:val="26"/>
        </w:rPr>
        <w:t>us</w:t>
      </w:r>
      <w:r w:rsidR="001A702F" w:rsidRPr="00115A76">
        <w:rPr>
          <w:sz w:val="26"/>
          <w:szCs w:val="26"/>
        </w:rPr>
        <w:t xml:space="preserve"> bezmaksas maršrut</w:t>
      </w:r>
      <w:r w:rsidR="001A702F">
        <w:rPr>
          <w:sz w:val="26"/>
          <w:szCs w:val="26"/>
        </w:rPr>
        <w:t>us</w:t>
      </w:r>
      <w:r w:rsidR="001A702F" w:rsidRPr="00115A76">
        <w:rPr>
          <w:sz w:val="26"/>
          <w:szCs w:val="26"/>
        </w:rPr>
        <w:t xml:space="preserve"> (reis</w:t>
      </w:r>
      <w:r w:rsidR="001A702F">
        <w:rPr>
          <w:sz w:val="26"/>
          <w:szCs w:val="26"/>
        </w:rPr>
        <w:t>us</w:t>
      </w:r>
      <w:r w:rsidR="001A702F" w:rsidRPr="00115A76">
        <w:rPr>
          <w:sz w:val="26"/>
          <w:szCs w:val="26"/>
        </w:rPr>
        <w:t xml:space="preserve">) </w:t>
      </w:r>
      <w:r w:rsidR="001A702F">
        <w:rPr>
          <w:sz w:val="26"/>
          <w:szCs w:val="26"/>
        </w:rPr>
        <w:t xml:space="preserve">var </w:t>
      </w:r>
      <w:r w:rsidR="001A702F" w:rsidRPr="00115A76">
        <w:rPr>
          <w:sz w:val="26"/>
          <w:szCs w:val="26"/>
        </w:rPr>
        <w:t>noteikt 11 pagastos, kuros</w:t>
      </w:r>
      <w:r>
        <w:rPr>
          <w:sz w:val="26"/>
          <w:szCs w:val="26"/>
        </w:rPr>
        <w:t>,</w:t>
      </w:r>
      <w:r w:rsidR="001A702F" w:rsidRPr="00115A76">
        <w:rPr>
          <w:sz w:val="26"/>
          <w:szCs w:val="26"/>
        </w:rPr>
        <w:t xml:space="preserve"> pamatojoties uz grozījumiem M</w:t>
      </w:r>
      <w:r>
        <w:rPr>
          <w:sz w:val="26"/>
          <w:szCs w:val="26"/>
        </w:rPr>
        <w:t>inistru kabineta</w:t>
      </w:r>
      <w:r w:rsidR="001A702F" w:rsidRPr="00115A76">
        <w:rPr>
          <w:sz w:val="26"/>
          <w:szCs w:val="26"/>
        </w:rPr>
        <w:t xml:space="preserve"> noteikumos Nr.634</w:t>
      </w:r>
      <w:r w:rsidR="0084287F">
        <w:rPr>
          <w:sz w:val="26"/>
          <w:szCs w:val="26"/>
        </w:rPr>
        <w:t>,</w:t>
      </w:r>
      <w:r w:rsidR="001A702F" w:rsidRPr="00115A76">
        <w:rPr>
          <w:sz w:val="26"/>
          <w:szCs w:val="26"/>
        </w:rPr>
        <w:t xml:space="preserve"> iedzīvotāju blīvums uz 1 km</w:t>
      </w:r>
      <w:r w:rsidR="001A702F" w:rsidRPr="0084287F">
        <w:rPr>
          <w:sz w:val="26"/>
          <w:szCs w:val="26"/>
          <w:vertAlign w:val="superscript"/>
        </w:rPr>
        <w:t>2</w:t>
      </w:r>
      <w:r w:rsidR="001A702F" w:rsidRPr="00115A76">
        <w:rPr>
          <w:sz w:val="26"/>
          <w:szCs w:val="26"/>
        </w:rPr>
        <w:t xml:space="preserve"> nepārsniedz 4,5 iedzīvotājus. Potenciālā finanšu ietekme tiek vērtēta aptuveni 19</w:t>
      </w:r>
      <w:r>
        <w:rPr>
          <w:sz w:val="26"/>
          <w:szCs w:val="26"/>
        </w:rPr>
        <w:t> </w:t>
      </w:r>
      <w:r w:rsidR="001A702F" w:rsidRPr="00115A76">
        <w:rPr>
          <w:sz w:val="26"/>
          <w:szCs w:val="26"/>
        </w:rPr>
        <w:t>746</w:t>
      </w:r>
      <w:r>
        <w:rPr>
          <w:sz w:val="26"/>
          <w:szCs w:val="26"/>
        </w:rPr>
        <w:t>,</w:t>
      </w:r>
      <w:r w:rsidR="001A702F" w:rsidRPr="00115A76">
        <w:rPr>
          <w:sz w:val="26"/>
          <w:szCs w:val="26"/>
        </w:rPr>
        <w:t>26 EUR apmērā, ko sastāda biļešu ieņēmumi potenciāli bezmaksas maršrutu reisos 2022.gadā.</w:t>
      </w:r>
      <w:r w:rsidR="001A702F">
        <w:rPr>
          <w:sz w:val="26"/>
          <w:szCs w:val="26"/>
        </w:rPr>
        <w:t xml:space="preserve"> Taču</w:t>
      </w:r>
      <w:r>
        <w:rPr>
          <w:sz w:val="26"/>
          <w:szCs w:val="26"/>
        </w:rPr>
        <w:t>,</w:t>
      </w:r>
      <w:r w:rsidR="001A702F">
        <w:rPr>
          <w:sz w:val="26"/>
          <w:szCs w:val="26"/>
        </w:rPr>
        <w:t xml:space="preserve"> ņemot vērā mērķtiecīgi uzsāktā zaudējumu apmēra mazināšanas pasākumus</w:t>
      </w:r>
      <w:r>
        <w:rPr>
          <w:sz w:val="26"/>
          <w:szCs w:val="26"/>
        </w:rPr>
        <w:t>,</w:t>
      </w:r>
      <w:r w:rsidR="001A702F">
        <w:rPr>
          <w:sz w:val="26"/>
          <w:szCs w:val="26"/>
        </w:rPr>
        <w:t xml:space="preserve"> Sabiedriskā transporta padome </w:t>
      </w:r>
      <w:r w:rsidR="0084287F">
        <w:rPr>
          <w:sz w:val="26"/>
          <w:szCs w:val="26"/>
        </w:rPr>
        <w:t xml:space="preserve">2023.gada 3.marta sēdē </w:t>
      </w:r>
      <w:r w:rsidR="001A702F">
        <w:rPr>
          <w:sz w:val="26"/>
          <w:szCs w:val="26"/>
        </w:rPr>
        <w:t xml:space="preserve">pieņēma lēmumu neapstiprināt jaunu bezmaksas maršrutu noteikšanu, vienlaikus </w:t>
      </w:r>
      <w:r w:rsidR="0084287F">
        <w:rPr>
          <w:sz w:val="26"/>
          <w:szCs w:val="26"/>
        </w:rPr>
        <w:t xml:space="preserve">uzdeva </w:t>
      </w:r>
      <w:r w:rsidR="001A702F">
        <w:rPr>
          <w:sz w:val="26"/>
          <w:szCs w:val="26"/>
        </w:rPr>
        <w:t>Autotransporta direkcija</w:t>
      </w:r>
      <w:r w:rsidR="0084287F">
        <w:rPr>
          <w:sz w:val="26"/>
          <w:szCs w:val="26"/>
        </w:rPr>
        <w:t>i</w:t>
      </w:r>
      <w:r w:rsidR="001A702F">
        <w:rPr>
          <w:sz w:val="26"/>
          <w:szCs w:val="26"/>
        </w:rPr>
        <w:t xml:space="preserve"> sadarbībā ar plānošanas reģioniem uzsākt reģionālās nozīmes autobusu maršrutu tīkla izvērtēšanu ar rentabilitāti zem 10%.</w:t>
      </w:r>
    </w:p>
    <w:p w14:paraId="1471B568" w14:textId="6949132C" w:rsidR="00CD1D4B" w:rsidRDefault="00CD1D4B" w:rsidP="008C7ADB">
      <w:pPr>
        <w:pStyle w:val="NoSpacing"/>
        <w:ind w:firstLine="709"/>
        <w:jc w:val="both"/>
        <w:rPr>
          <w:sz w:val="26"/>
          <w:szCs w:val="26"/>
          <w:highlight w:val="yellow"/>
        </w:rPr>
      </w:pPr>
    </w:p>
    <w:p w14:paraId="77D2F672" w14:textId="0EC19FD5" w:rsidR="00E243CE" w:rsidRPr="00F914D1" w:rsidRDefault="00E243CE" w:rsidP="00F914D1">
      <w:pPr>
        <w:pStyle w:val="NoSpacing"/>
        <w:numPr>
          <w:ilvl w:val="2"/>
          <w:numId w:val="28"/>
        </w:numPr>
        <w:jc w:val="both"/>
        <w:rPr>
          <w:b/>
          <w:bCs/>
          <w:sz w:val="26"/>
          <w:szCs w:val="26"/>
        </w:rPr>
      </w:pPr>
      <w:r w:rsidRPr="00F914D1">
        <w:rPr>
          <w:b/>
          <w:bCs/>
          <w:sz w:val="26"/>
          <w:szCs w:val="26"/>
        </w:rPr>
        <w:t>Skolēnu pārvadāšana</w:t>
      </w:r>
    </w:p>
    <w:p w14:paraId="52990311" w14:textId="351D6E4B" w:rsidR="00402005" w:rsidRPr="00402005" w:rsidRDefault="00E243CE" w:rsidP="00402005">
      <w:pPr>
        <w:ind w:firstLine="720"/>
        <w:jc w:val="both"/>
        <w:rPr>
          <w:sz w:val="26"/>
          <w:szCs w:val="26"/>
        </w:rPr>
      </w:pPr>
      <w:r w:rsidRPr="00F914D1">
        <w:rPr>
          <w:sz w:val="26"/>
          <w:szCs w:val="26"/>
        </w:rPr>
        <w:t xml:space="preserve">Ne mazāk svarīgs iemesls papildu reisu vai pat maršrutu izveidei ir skolēnu pārvadājumu </w:t>
      </w:r>
      <w:r w:rsidRPr="00402005">
        <w:rPr>
          <w:sz w:val="26"/>
          <w:szCs w:val="26"/>
        </w:rPr>
        <w:t xml:space="preserve">integrācija reģionālajā maršrutu tīklā. Lai nodrošinātu iespējas skolēniem nokļūt līdz izglītības iestādēm, </w:t>
      </w:r>
      <w:r w:rsidR="00402005" w:rsidRPr="00402005">
        <w:rPr>
          <w:sz w:val="26"/>
          <w:szCs w:val="26"/>
        </w:rPr>
        <w:t xml:space="preserve">2020.gadā veiktas izmaiņas 52 maršrutos, 2021.gadā – 34 maršrutos, bet 2022.gadā – 44 maršrutos, atverot jaunus reisus vai pieskaņojot esošo reisu izpildi skolēnu vajadzībām. Piemēram, 2022.gadā Salaspils novada pašvaldība </w:t>
      </w:r>
      <w:r w:rsidR="00402005" w:rsidRPr="00402005">
        <w:rPr>
          <w:sz w:val="26"/>
          <w:szCs w:val="26"/>
        </w:rPr>
        <w:lastRenderedPageBreak/>
        <w:t xml:space="preserve">nolēma neveikt skolēnu pārvadājumus ar pašvaldības autobusiem, kā rezultātā šo novadu skolēni sāka izmantot sabiedrisko transportu, lai nokļūtu līdz mācību iestādēm. Tā rezultātā nobraukums reģionālajā maršrutu tīklā tika palielināts par aptuveni 19 tūkstošiem kilometru. </w:t>
      </w:r>
      <w:r w:rsidR="003821BD">
        <w:rPr>
          <w:sz w:val="26"/>
          <w:szCs w:val="26"/>
        </w:rPr>
        <w:t>C</w:t>
      </w:r>
      <w:r w:rsidR="00402005" w:rsidRPr="00402005">
        <w:rPr>
          <w:sz w:val="26"/>
          <w:szCs w:val="26"/>
        </w:rPr>
        <w:t>itus piemērus var minēt, ka, veicot izmaiņas maršrutu tīklā saistībā ar skolēnu pārvadājumu pārņemšanu Ogres novadā, nobraukums gadā tika palielināts par aptuveni 59 tūkstošiem kilometru gadā, savukārt, sakarā ar Pededzes pamatskolas likvidāciju, veiktas izmaiņas reģionālās nozīmes maršrutu tīklā, palielinot nobraukumu par aptuveni 6 tūkstošiem kilometru gadā.</w:t>
      </w:r>
    </w:p>
    <w:p w14:paraId="4829685B" w14:textId="5955A55D" w:rsidR="00402005" w:rsidRDefault="00402005" w:rsidP="00402005">
      <w:pPr>
        <w:pStyle w:val="NoSpacing"/>
        <w:ind w:firstLine="709"/>
        <w:jc w:val="both"/>
        <w:rPr>
          <w:sz w:val="26"/>
          <w:szCs w:val="26"/>
        </w:rPr>
      </w:pPr>
      <w:r w:rsidRPr="00402005">
        <w:rPr>
          <w:sz w:val="26"/>
          <w:szCs w:val="26"/>
        </w:rPr>
        <w:t>Līdzīgi piemēri sastopami katru gadu un prognozējams, ka veicot izmaiņas skolu tīklā, nepieciešamība veikt izmaiņas reģionālās nozīmes maršrutu tīklā, palielinot nobraukumu, būs ar pieaugošu tendenci</w:t>
      </w:r>
      <w:r>
        <w:rPr>
          <w:sz w:val="26"/>
          <w:szCs w:val="26"/>
        </w:rPr>
        <w:t>, ņemot vērā arī atsevišķu pašvaldību finanšu pārvaldību skolēnu pārvadājumu segmentā, izvērtējot nepieciešamos ieguldījumus autobusu parka iegādei un uzturēšanai</w:t>
      </w:r>
      <w:r w:rsidR="00CB0DD1">
        <w:rPr>
          <w:sz w:val="26"/>
          <w:szCs w:val="26"/>
        </w:rPr>
        <w:t>,</w:t>
      </w:r>
      <w:r>
        <w:rPr>
          <w:sz w:val="26"/>
          <w:szCs w:val="26"/>
        </w:rPr>
        <w:t xml:space="preserve"> un šo izmaksu samērīgumu ar pārvadāto skolēnu ap</w:t>
      </w:r>
      <w:r w:rsidR="0084287F">
        <w:rPr>
          <w:sz w:val="26"/>
          <w:szCs w:val="26"/>
        </w:rPr>
        <w:t>jomu</w:t>
      </w:r>
      <w:r w:rsidRPr="00402005">
        <w:rPr>
          <w:sz w:val="26"/>
          <w:szCs w:val="26"/>
        </w:rPr>
        <w:t>.</w:t>
      </w:r>
      <w:r w:rsidR="0024526F" w:rsidRPr="0024526F">
        <w:rPr>
          <w:sz w:val="26"/>
          <w:szCs w:val="26"/>
        </w:rPr>
        <w:t xml:space="preserve"> </w:t>
      </w:r>
      <w:r w:rsidR="0024526F">
        <w:rPr>
          <w:sz w:val="26"/>
          <w:szCs w:val="26"/>
        </w:rPr>
        <w:t xml:space="preserve">Atsevišķos gadījumos šāds risinājums nav realizējams, jo pašvaldības nodrošina ne tikai skolēnu pārvadājumus, lai sasniegtu </w:t>
      </w:r>
      <w:r w:rsidR="00FF0F32">
        <w:rPr>
          <w:sz w:val="26"/>
          <w:szCs w:val="26"/>
        </w:rPr>
        <w:t>izglītības</w:t>
      </w:r>
      <w:r w:rsidR="0024526F">
        <w:rPr>
          <w:sz w:val="26"/>
          <w:szCs w:val="26"/>
        </w:rPr>
        <w:t xml:space="preserve"> iestādes, bet arī nokļūšanu uz ārpusskolas aktivitātēm. Tāpat reģionālās nozīmes maršrutā paredzētās pieturvietas nesasniedz viensētas vai citas apdzīvotas vietas, kur ceļu infrastruktūra nav iekārtota vai atbilstoša pasažieru uzņemšanai.  </w:t>
      </w:r>
    </w:p>
    <w:p w14:paraId="6FE4E288" w14:textId="045FDF7B" w:rsidR="00A7282F" w:rsidRPr="00402005" w:rsidRDefault="00A7282F" w:rsidP="00402005">
      <w:pPr>
        <w:pStyle w:val="NoSpacing"/>
        <w:ind w:firstLine="709"/>
        <w:jc w:val="both"/>
        <w:rPr>
          <w:sz w:val="26"/>
          <w:szCs w:val="26"/>
        </w:rPr>
      </w:pPr>
      <w:r>
        <w:rPr>
          <w:sz w:val="26"/>
          <w:szCs w:val="26"/>
        </w:rPr>
        <w:t>Situācijā, kad pašvaldību organizētie skolēnu pārvadājumi tiek integrēti reģionālā maršrutu tīklā, ir saskatāmas pozitīvas iezīmes, jo vienlaikus netiek organizēti divi paralēli pārvadājumu veidi</w:t>
      </w:r>
      <w:r w:rsidR="0024526F">
        <w:rPr>
          <w:sz w:val="26"/>
          <w:szCs w:val="26"/>
        </w:rPr>
        <w:t xml:space="preserve">, kā arī tiek nodrošināta </w:t>
      </w:r>
      <w:r w:rsidR="00FF0F32">
        <w:rPr>
          <w:sz w:val="26"/>
          <w:szCs w:val="26"/>
        </w:rPr>
        <w:t xml:space="preserve">pietiekama </w:t>
      </w:r>
      <w:r w:rsidR="0024526F">
        <w:rPr>
          <w:sz w:val="26"/>
          <w:szCs w:val="26"/>
        </w:rPr>
        <w:t>pasažieru plūsma</w:t>
      </w:r>
      <w:r w:rsidR="00FF0F32">
        <w:rPr>
          <w:sz w:val="26"/>
          <w:szCs w:val="26"/>
        </w:rPr>
        <w:t>, apmierinot iedzīvotāju pieprasījumu</w:t>
      </w:r>
      <w:r>
        <w:rPr>
          <w:sz w:val="26"/>
          <w:szCs w:val="26"/>
        </w:rPr>
        <w:t xml:space="preserve">. Integrējot skolēnu pārvadājumus reģionālā maršrutu tīklā, pašvaldības no savas puses sedz izglītojamiem braukšanas izdevumus no pašvaldības budžeta, bet pašvaldībai šo izglītojamo nogādāšanai līdz izglītības iestādei nav jāorganizē savi pārvadājumi. </w:t>
      </w:r>
      <w:r w:rsidR="00FF0F32">
        <w:rPr>
          <w:sz w:val="26"/>
          <w:szCs w:val="26"/>
        </w:rPr>
        <w:t>Līdz ar to gan valsts budžeta, gan pašvaldību budžeta izdevumi tiek sabalansēti.</w:t>
      </w:r>
    </w:p>
    <w:p w14:paraId="6E33EBF5" w14:textId="5C6FAAB3" w:rsidR="00A63E45" w:rsidRDefault="00402005" w:rsidP="00402005">
      <w:pPr>
        <w:pStyle w:val="NoSpacing"/>
        <w:ind w:firstLine="708"/>
        <w:jc w:val="both"/>
        <w:rPr>
          <w:sz w:val="26"/>
          <w:szCs w:val="26"/>
        </w:rPr>
      </w:pPr>
      <w:r w:rsidRPr="00402005">
        <w:rPr>
          <w:sz w:val="26"/>
          <w:szCs w:val="26"/>
        </w:rPr>
        <w:t>Vērtējot kopējo reģionālās nozīmes maršrutu tīklu, 2022.gadā 308 maršrutos bija speciāli izglītojamo pārvadāšanai izveidoti reisi, kuros gada laikā tika veikti</w:t>
      </w:r>
      <w:r>
        <w:rPr>
          <w:sz w:val="26"/>
          <w:szCs w:val="26"/>
        </w:rPr>
        <w:t xml:space="preserve"> </w:t>
      </w:r>
      <w:r w:rsidRPr="00402005">
        <w:rPr>
          <w:sz w:val="26"/>
          <w:szCs w:val="26"/>
        </w:rPr>
        <w:t>3</w:t>
      </w:r>
      <w:r>
        <w:rPr>
          <w:sz w:val="26"/>
          <w:szCs w:val="26"/>
        </w:rPr>
        <w:t>,</w:t>
      </w:r>
      <w:r w:rsidRPr="00402005">
        <w:rPr>
          <w:sz w:val="26"/>
          <w:szCs w:val="26"/>
        </w:rPr>
        <w:t>93 milj. kilometri, kas ir aptuveni 5</w:t>
      </w:r>
      <w:r>
        <w:rPr>
          <w:sz w:val="26"/>
          <w:szCs w:val="26"/>
        </w:rPr>
        <w:t>,</w:t>
      </w:r>
      <w:r w:rsidRPr="00402005">
        <w:rPr>
          <w:sz w:val="26"/>
          <w:szCs w:val="26"/>
        </w:rPr>
        <w:t xml:space="preserve">5%  no kopējā maršruta tīkla autobusu satiksmē (2018.gadā šādu reisu kopējais nobraukums bija 3,568 milj. kilometri). Liels daudzums izglītojamo </w:t>
      </w:r>
      <w:r w:rsidR="00FF0F32">
        <w:rPr>
          <w:sz w:val="26"/>
          <w:szCs w:val="26"/>
        </w:rPr>
        <w:t xml:space="preserve">jau </w:t>
      </w:r>
      <w:r w:rsidRPr="00402005">
        <w:rPr>
          <w:sz w:val="26"/>
          <w:szCs w:val="26"/>
        </w:rPr>
        <w:t xml:space="preserve">izmanto arī citus maršrutus un reisus, kas paredzēti arī strādājošo un citu pasažieru pārvadāšanai. Minētajā situācijā, kad tiek reorganizēts skolu tīkls, kā arī vairākas pašvaldības integrē skolēnu pārvadājumus reģionālajā maršrutu tīklā, nav izvērtēts jautājums par valsts budžeta finansējumu un tā pietiekamību, jo, paplašinot maršrutu tīklu skolēnu pārvadāšanas vajadzībām, tiek meklēti risinājumi citu maršrutu vai reisu slēgšanai, lai pakalpojumu apjoms vēl vairāk nepārsniegtu jau pašlaik nepietiekamo valsts budžeta finansējuma apjomu. </w:t>
      </w:r>
    </w:p>
    <w:p w14:paraId="541A53FF" w14:textId="7A4C5322" w:rsidR="006F5A57" w:rsidRPr="00AB23F0" w:rsidRDefault="00194D65" w:rsidP="00AB23F0">
      <w:pPr>
        <w:ind w:firstLine="709"/>
        <w:jc w:val="both"/>
        <w:rPr>
          <w:b/>
          <w:bCs/>
          <w:sz w:val="26"/>
          <w:szCs w:val="26"/>
        </w:rPr>
      </w:pPr>
      <w:r>
        <w:rPr>
          <w:b/>
          <w:bCs/>
          <w:sz w:val="26"/>
          <w:szCs w:val="26"/>
        </w:rPr>
        <w:t xml:space="preserve">1.3. Sabiedriskā transporta pakalpojumos radušos zaudējumu veidojošās </w:t>
      </w:r>
      <w:r w:rsidRPr="00AB23F0">
        <w:rPr>
          <w:b/>
          <w:bCs/>
          <w:sz w:val="26"/>
          <w:szCs w:val="26"/>
        </w:rPr>
        <w:t>komponentes un to izmaiņas</w:t>
      </w:r>
    </w:p>
    <w:p w14:paraId="287D961F" w14:textId="74E6A3F1" w:rsidR="00AB23F0" w:rsidRPr="00AB23F0" w:rsidRDefault="00AB23F0" w:rsidP="00AB23F0">
      <w:pPr>
        <w:pStyle w:val="pf0"/>
        <w:spacing w:before="0" w:beforeAutospacing="0" w:after="0" w:afterAutospacing="0"/>
        <w:ind w:firstLine="709"/>
        <w:jc w:val="both"/>
        <w:rPr>
          <w:sz w:val="26"/>
          <w:szCs w:val="26"/>
        </w:rPr>
      </w:pPr>
      <w:r w:rsidRPr="00AB23F0">
        <w:rPr>
          <w:rStyle w:val="cf01"/>
          <w:rFonts w:ascii="Times New Roman" w:hAnsi="Times New Roman" w:cs="Times New Roman"/>
          <w:sz w:val="26"/>
          <w:szCs w:val="26"/>
        </w:rPr>
        <w:t>Atbilstoši STP Likuma 16.pantā noteiktajam, sabiedriskā transporta nozarē pastāv divi ieņēmuma riska uzņemšanās veidi, proti. Pirmajā gadījumā visu ieņēmuma risku uzņemas pakalpojuma sniedzējs, kurš nosaka sabiedriskā transporta pakalpojuma tarifu (STP Likuma 16.panta pirm</w:t>
      </w:r>
      <w:r w:rsidR="004A4CA7">
        <w:rPr>
          <w:rStyle w:val="cf01"/>
          <w:rFonts w:ascii="Times New Roman" w:hAnsi="Times New Roman" w:cs="Times New Roman"/>
          <w:sz w:val="26"/>
          <w:szCs w:val="26"/>
        </w:rPr>
        <w:t>ā</w:t>
      </w:r>
      <w:r w:rsidRPr="00AB23F0">
        <w:rPr>
          <w:rStyle w:val="cf01"/>
          <w:rFonts w:ascii="Times New Roman" w:hAnsi="Times New Roman" w:cs="Times New Roman"/>
          <w:sz w:val="26"/>
          <w:szCs w:val="26"/>
        </w:rPr>
        <w:t xml:space="preserve"> daļ</w:t>
      </w:r>
      <w:r w:rsidR="004A4CA7">
        <w:rPr>
          <w:rStyle w:val="cf01"/>
          <w:rFonts w:ascii="Times New Roman" w:hAnsi="Times New Roman" w:cs="Times New Roman"/>
          <w:sz w:val="26"/>
          <w:szCs w:val="26"/>
        </w:rPr>
        <w:t>a</w:t>
      </w:r>
      <w:r w:rsidRPr="00AB23F0">
        <w:rPr>
          <w:rStyle w:val="cf01"/>
          <w:rFonts w:ascii="Times New Roman" w:hAnsi="Times New Roman" w:cs="Times New Roman"/>
          <w:sz w:val="26"/>
          <w:szCs w:val="26"/>
        </w:rPr>
        <w:t>). Šādos gadījumos pasūtītājam ir pienākums kompensēt zaudējumus tikai par tādu pasažieru pārvadāšanu, kuriem noteikti braukšanas maksas atvieglojumi saskaņā ar braukšanas maksas atvieglojumu noteikumiem. Savukārt pakalpojuma sniedzējs nosaka tādu tarifu, k</w:t>
      </w:r>
      <w:r w:rsidR="004A4CA7">
        <w:rPr>
          <w:rStyle w:val="cf01"/>
          <w:rFonts w:ascii="Times New Roman" w:hAnsi="Times New Roman" w:cs="Times New Roman"/>
          <w:sz w:val="26"/>
          <w:szCs w:val="26"/>
        </w:rPr>
        <w:t>as</w:t>
      </w:r>
      <w:r w:rsidRPr="00AB23F0">
        <w:rPr>
          <w:rStyle w:val="cf01"/>
          <w:rFonts w:ascii="Times New Roman" w:hAnsi="Times New Roman" w:cs="Times New Roman"/>
          <w:sz w:val="26"/>
          <w:szCs w:val="26"/>
        </w:rPr>
        <w:t xml:space="preserve"> nosedz viņa izmaksas. Otrajā gadījumā sabiedriskā transporta pakalpojuma tarifu nosaka pasūtītājs</w:t>
      </w:r>
      <w:r w:rsidR="00B2542E">
        <w:rPr>
          <w:rStyle w:val="cf01"/>
          <w:rFonts w:ascii="Times New Roman" w:hAnsi="Times New Roman" w:cs="Times New Roman"/>
          <w:sz w:val="26"/>
          <w:szCs w:val="26"/>
        </w:rPr>
        <w:t>,</w:t>
      </w:r>
      <w:r w:rsidRPr="00AB23F0">
        <w:rPr>
          <w:rStyle w:val="cf01"/>
          <w:rFonts w:ascii="Times New Roman" w:hAnsi="Times New Roman" w:cs="Times New Roman"/>
          <w:sz w:val="26"/>
          <w:szCs w:val="26"/>
        </w:rPr>
        <w:t xml:space="preserve"> </w:t>
      </w:r>
      <w:r w:rsidRPr="00AB23F0">
        <w:rPr>
          <w:rStyle w:val="cf01"/>
          <w:rFonts w:ascii="Times New Roman" w:hAnsi="Times New Roman" w:cs="Times New Roman"/>
          <w:sz w:val="26"/>
          <w:szCs w:val="26"/>
        </w:rPr>
        <w:lastRenderedPageBreak/>
        <w:t xml:space="preserve">pilnībā uzņemoties zaudējumu segšanas finansiālās saistības (STP Likuma 16.panta </w:t>
      </w:r>
      <w:r w:rsidR="00B2542E">
        <w:rPr>
          <w:rStyle w:val="cf01"/>
          <w:rFonts w:ascii="Times New Roman" w:hAnsi="Times New Roman" w:cs="Times New Roman"/>
          <w:sz w:val="26"/>
          <w:szCs w:val="26"/>
        </w:rPr>
        <w:t>treš</w:t>
      </w:r>
      <w:r w:rsidR="004A4CA7">
        <w:rPr>
          <w:rStyle w:val="cf01"/>
          <w:rFonts w:ascii="Times New Roman" w:hAnsi="Times New Roman" w:cs="Times New Roman"/>
          <w:sz w:val="26"/>
          <w:szCs w:val="26"/>
        </w:rPr>
        <w:t>ā</w:t>
      </w:r>
      <w:r w:rsidRPr="00AB23F0">
        <w:rPr>
          <w:rStyle w:val="cf01"/>
          <w:rFonts w:ascii="Times New Roman" w:hAnsi="Times New Roman" w:cs="Times New Roman"/>
          <w:sz w:val="26"/>
          <w:szCs w:val="26"/>
        </w:rPr>
        <w:t xml:space="preserve"> daļ</w:t>
      </w:r>
      <w:r w:rsidR="004A4CA7">
        <w:rPr>
          <w:rStyle w:val="cf01"/>
          <w:rFonts w:ascii="Times New Roman" w:hAnsi="Times New Roman" w:cs="Times New Roman"/>
          <w:sz w:val="26"/>
          <w:szCs w:val="26"/>
        </w:rPr>
        <w:t>a</w:t>
      </w:r>
      <w:r w:rsidRPr="00AB23F0">
        <w:rPr>
          <w:rStyle w:val="cf01"/>
          <w:rFonts w:ascii="Times New Roman" w:hAnsi="Times New Roman" w:cs="Times New Roman"/>
          <w:sz w:val="26"/>
          <w:szCs w:val="26"/>
        </w:rPr>
        <w:t xml:space="preserve">). Latvijas Republikas Augstākās tiesas Senāta Administratīvo lietu departaments 2012.gada 25.maija lēmumā lietā Nr. SKA-386/2012 ir atzinis, ka - </w:t>
      </w:r>
      <w:r w:rsidRPr="00AB23F0">
        <w:rPr>
          <w:rStyle w:val="cf11"/>
          <w:rFonts w:ascii="Times New Roman" w:hAnsi="Times New Roman" w:cs="Times New Roman"/>
          <w:sz w:val="26"/>
          <w:szCs w:val="26"/>
        </w:rPr>
        <w:t xml:space="preserve">Sabiedriskā transporta pakalpojumi sabiedrībai ir būtiski un tai šie pakalpojumi jāsaņem. Tajā pašā laikā tie prasa lielus ieguldījumus, </w:t>
      </w:r>
      <w:r w:rsidR="004B761A">
        <w:rPr>
          <w:rStyle w:val="cf11"/>
          <w:rFonts w:ascii="Times New Roman" w:hAnsi="Times New Roman" w:cs="Times New Roman"/>
          <w:sz w:val="26"/>
          <w:szCs w:val="26"/>
        </w:rPr>
        <w:t>t</w:t>
      </w:r>
      <w:r w:rsidR="004B761A" w:rsidRPr="00AB23F0">
        <w:rPr>
          <w:rStyle w:val="cf11"/>
          <w:rFonts w:ascii="Times New Roman" w:hAnsi="Times New Roman" w:cs="Times New Roman"/>
          <w:sz w:val="26"/>
          <w:szCs w:val="26"/>
        </w:rPr>
        <w:t xml:space="preserve">āpēc </w:t>
      </w:r>
      <w:r w:rsidRPr="00AB23F0">
        <w:rPr>
          <w:rStyle w:val="cf11"/>
          <w:rFonts w:ascii="Times New Roman" w:hAnsi="Times New Roman" w:cs="Times New Roman"/>
          <w:sz w:val="26"/>
          <w:szCs w:val="26"/>
        </w:rPr>
        <w:t>tirgus šajā nozarē nevar brīvi darboties, jo citādi sabiedrība nespētu pakalpojumu apmaksāt. Eiropas Savienības līmenī, kā jau iepriekš teikts</w:t>
      </w:r>
      <w:r w:rsidRPr="00253511">
        <w:rPr>
          <w:rStyle w:val="cf11"/>
          <w:rFonts w:ascii="Times New Roman" w:hAnsi="Times New Roman" w:cs="Times New Roman"/>
          <w:i w:val="0"/>
          <w:iCs w:val="0"/>
          <w:sz w:val="26"/>
          <w:szCs w:val="26"/>
        </w:rPr>
        <w:t xml:space="preserve">, </w:t>
      </w:r>
      <w:r w:rsidR="0043278C" w:rsidRPr="00253511">
        <w:rPr>
          <w:i/>
          <w:sz w:val="26"/>
          <w:szCs w:val="26"/>
        </w:rPr>
        <w:t>Eiropas Parlamenta un Padomes (EK) 2007.gada 23.oktobra</w:t>
      </w:r>
      <w:r w:rsidR="0043278C" w:rsidRPr="00253511">
        <w:rPr>
          <w:sz w:val="26"/>
          <w:szCs w:val="26"/>
        </w:rPr>
        <w:t xml:space="preserve"> </w:t>
      </w:r>
      <w:r w:rsidRPr="0043278C">
        <w:rPr>
          <w:rStyle w:val="cf11"/>
          <w:rFonts w:ascii="Times New Roman" w:hAnsi="Times New Roman" w:cs="Times New Roman"/>
          <w:sz w:val="26"/>
          <w:szCs w:val="26"/>
        </w:rPr>
        <w:t>Regula Nr.1370/200</w:t>
      </w:r>
      <w:r w:rsidR="0043278C" w:rsidRPr="0043278C">
        <w:rPr>
          <w:rStyle w:val="cf11"/>
          <w:rFonts w:ascii="Times New Roman" w:hAnsi="Times New Roman" w:cs="Times New Roman"/>
          <w:sz w:val="26"/>
          <w:szCs w:val="26"/>
        </w:rPr>
        <w:t>7</w:t>
      </w:r>
      <w:r w:rsidRPr="0043278C">
        <w:rPr>
          <w:rStyle w:val="cf11"/>
          <w:rFonts w:ascii="Times New Roman" w:hAnsi="Times New Roman" w:cs="Times New Roman"/>
          <w:sz w:val="26"/>
          <w:szCs w:val="26"/>
        </w:rPr>
        <w:t xml:space="preserve"> </w:t>
      </w:r>
      <w:r w:rsidR="0043278C" w:rsidRPr="0043278C">
        <w:rPr>
          <w:rStyle w:val="cf11"/>
          <w:rFonts w:ascii="Times New Roman" w:hAnsi="Times New Roman" w:cs="Times New Roman"/>
          <w:sz w:val="26"/>
          <w:szCs w:val="26"/>
        </w:rPr>
        <w:t>P</w:t>
      </w:r>
      <w:r w:rsidR="0043278C" w:rsidRPr="00253511">
        <w:rPr>
          <w:i/>
          <w:iCs/>
          <w:sz w:val="26"/>
          <w:szCs w:val="26"/>
        </w:rPr>
        <w:t xml:space="preserve">ar sabiedriskā pasažieru transporta pakalpojumiem, izmantojot dzelzceļu un autoceļus, un ar ko atceļ Padomes Regulu (EEK) Nr. 1191/69 un Padomes Regulu (EEK) Nr. 1107/70 </w:t>
      </w:r>
      <w:r w:rsidRPr="0043278C">
        <w:rPr>
          <w:rStyle w:val="cf11"/>
          <w:rFonts w:ascii="Times New Roman" w:hAnsi="Times New Roman" w:cs="Times New Roman"/>
          <w:sz w:val="26"/>
          <w:szCs w:val="26"/>
        </w:rPr>
        <w:t>p</w:t>
      </w:r>
      <w:r w:rsidRPr="00AB23F0">
        <w:rPr>
          <w:rStyle w:val="cf11"/>
          <w:rFonts w:ascii="Times New Roman" w:hAnsi="Times New Roman" w:cs="Times New Roman"/>
          <w:sz w:val="26"/>
          <w:szCs w:val="26"/>
        </w:rPr>
        <w:t>aredz mehānismus, kas paredz ekskluzīvas tiesības vai kompensācijas pakalpojumu sniedzējam</w:t>
      </w:r>
      <w:r w:rsidRPr="00AB23F0">
        <w:rPr>
          <w:rStyle w:val="cf01"/>
          <w:rFonts w:ascii="Times New Roman" w:hAnsi="Times New Roman" w:cs="Times New Roman"/>
          <w:sz w:val="26"/>
          <w:szCs w:val="26"/>
        </w:rPr>
        <w:t>. Ņemot vērā minēto, atbilstoši STP Likuma</w:t>
      </w:r>
      <w:r>
        <w:rPr>
          <w:rStyle w:val="cf01"/>
          <w:rFonts w:ascii="Times New Roman" w:hAnsi="Times New Roman" w:cs="Times New Roman"/>
          <w:sz w:val="26"/>
          <w:szCs w:val="26"/>
        </w:rPr>
        <w:t xml:space="preserve"> </w:t>
      </w:r>
      <w:r w:rsidRPr="00AB23F0">
        <w:rPr>
          <w:rStyle w:val="cf01"/>
          <w:rFonts w:ascii="Times New Roman" w:hAnsi="Times New Roman" w:cs="Times New Roman"/>
          <w:sz w:val="26"/>
          <w:szCs w:val="26"/>
        </w:rPr>
        <w:t xml:space="preserve">16.panta trešajā daļā noteiktajam, pasūtītājs nosaka sabiedriskā transporta pakalpojuma tarifu un gadījumos, kad pārvadājumu pakalpojumus izmantos nepietiekams cilvēku skaits, lai tie atmaksātos un, iespējams, būtu rentabli, uzņemas segt starpību starp ieņēmumiem un faktiskām pakalpojuma sniedzēja izmaksām. </w:t>
      </w:r>
    </w:p>
    <w:p w14:paraId="6C7BB217" w14:textId="2A648D22" w:rsidR="00004192" w:rsidRPr="00C56285" w:rsidRDefault="00004192" w:rsidP="00004192">
      <w:pPr>
        <w:ind w:firstLine="709"/>
        <w:jc w:val="both"/>
        <w:rPr>
          <w:sz w:val="26"/>
          <w:szCs w:val="26"/>
        </w:rPr>
      </w:pPr>
      <w:r w:rsidRPr="00C56285">
        <w:rPr>
          <w:sz w:val="26"/>
          <w:szCs w:val="26"/>
        </w:rPr>
        <w:t xml:space="preserve">Pamatojoties uz </w:t>
      </w:r>
      <w:r w:rsidR="00633347">
        <w:rPr>
          <w:sz w:val="26"/>
          <w:szCs w:val="26"/>
        </w:rPr>
        <w:t>STP L</w:t>
      </w:r>
      <w:r w:rsidRPr="00C56285">
        <w:rPr>
          <w:sz w:val="26"/>
          <w:szCs w:val="26"/>
        </w:rPr>
        <w:t>ikum</w:t>
      </w:r>
      <w:r w:rsidR="00633347">
        <w:rPr>
          <w:sz w:val="26"/>
          <w:szCs w:val="26"/>
        </w:rPr>
        <w:t>a</w:t>
      </w:r>
      <w:r>
        <w:rPr>
          <w:sz w:val="26"/>
          <w:szCs w:val="26"/>
        </w:rPr>
        <w:t xml:space="preserve"> 11.pantu</w:t>
      </w:r>
      <w:r w:rsidRPr="00C56285">
        <w:rPr>
          <w:sz w:val="26"/>
          <w:szCs w:val="26"/>
        </w:rPr>
        <w:t xml:space="preserve"> un saskaņā ar Ministru kabineta noteikum</w:t>
      </w:r>
      <w:r>
        <w:rPr>
          <w:sz w:val="26"/>
          <w:szCs w:val="26"/>
        </w:rPr>
        <w:t>u</w:t>
      </w:r>
      <w:r w:rsidRPr="00C56285">
        <w:rPr>
          <w:sz w:val="26"/>
          <w:szCs w:val="26"/>
        </w:rPr>
        <w:t xml:space="preserve"> Nr.435 2.1.apakšpunktu, sabiedriskā transporta pakalpojumu sniedzējiem kompensē zaudējumus, kas radušies, ja ar sabiedriskā transporta pakalpojumu pasūtījuma līguma izpildi saistītās nepieciešamās izmaksas pārsniedz gūtos ieņēmumus.</w:t>
      </w:r>
      <w:r>
        <w:rPr>
          <w:sz w:val="26"/>
          <w:szCs w:val="26"/>
        </w:rPr>
        <w:t xml:space="preserve"> </w:t>
      </w:r>
      <w:r w:rsidR="00F9730D">
        <w:rPr>
          <w:sz w:val="26"/>
          <w:szCs w:val="26"/>
        </w:rPr>
        <w:t>Tātad kompensācija tiek aprēķināta kā starpība starp pamatotiem izdevumiem vai līgumcenu par veikto nobraukumu un sabiedriskā transporta pakalpojumu sniegšanā no pasažieriem gūtajiem ieņēmumiem.</w:t>
      </w:r>
    </w:p>
    <w:p w14:paraId="606C20AD" w14:textId="19030425" w:rsidR="00004192" w:rsidRDefault="00004192" w:rsidP="00004192">
      <w:pPr>
        <w:ind w:firstLine="709"/>
        <w:jc w:val="both"/>
        <w:rPr>
          <w:sz w:val="26"/>
          <w:szCs w:val="26"/>
        </w:rPr>
      </w:pPr>
      <w:r>
        <w:rPr>
          <w:sz w:val="26"/>
          <w:szCs w:val="26"/>
        </w:rPr>
        <w:t xml:space="preserve">No valsts budžeta izdevumiem atbilstoši Ministru kabineta Nr.435 6.punktam </w:t>
      </w:r>
      <w:r w:rsidRPr="00C56285">
        <w:rPr>
          <w:sz w:val="26"/>
          <w:szCs w:val="26"/>
        </w:rPr>
        <w:t>reģionālās nozīmes maršrutos</w:t>
      </w:r>
      <w:r>
        <w:rPr>
          <w:sz w:val="26"/>
          <w:szCs w:val="26"/>
        </w:rPr>
        <w:t xml:space="preserve"> tiek kompensēti zaudējumi, ievērojot sabiedriskā transporta pakalpojumu pasūtījuma līgumā noteikto kārtību</w:t>
      </w:r>
      <w:r w:rsidR="00AF3DF4">
        <w:rPr>
          <w:sz w:val="26"/>
          <w:szCs w:val="26"/>
        </w:rPr>
        <w:t xml:space="preserve"> un apjomus</w:t>
      </w:r>
      <w:r>
        <w:rPr>
          <w:sz w:val="26"/>
          <w:szCs w:val="26"/>
        </w:rPr>
        <w:t xml:space="preserve">, bet valstspilsētu pašvaldībām kompensācija ir paredzēta </w:t>
      </w:r>
      <w:r w:rsidRPr="00C56285">
        <w:rPr>
          <w:sz w:val="26"/>
          <w:szCs w:val="26"/>
        </w:rPr>
        <w:t>par pārvadājumiem, kas ir ārpus pilsētas administratīvās teritorijas, ja maršruta daļa ir vairāk kā 30% no kopējā maršruta garuma, un par person</w:t>
      </w:r>
      <w:r>
        <w:rPr>
          <w:sz w:val="26"/>
          <w:szCs w:val="26"/>
        </w:rPr>
        <w:t>u</w:t>
      </w:r>
      <w:r w:rsidRPr="00C56285">
        <w:rPr>
          <w:sz w:val="26"/>
          <w:szCs w:val="26"/>
        </w:rPr>
        <w:t xml:space="preserve"> ar invaliditāti pārvadāšanu. </w:t>
      </w:r>
    </w:p>
    <w:p w14:paraId="12C817FE" w14:textId="49C20E0A" w:rsidR="00004192" w:rsidRDefault="00004192" w:rsidP="00004192">
      <w:pPr>
        <w:ind w:firstLine="709"/>
        <w:jc w:val="both"/>
        <w:rPr>
          <w:sz w:val="26"/>
          <w:szCs w:val="26"/>
        </w:rPr>
      </w:pPr>
      <w:r>
        <w:rPr>
          <w:sz w:val="26"/>
          <w:szCs w:val="26"/>
        </w:rPr>
        <w:t>Līdz ar to</w:t>
      </w:r>
      <w:r w:rsidR="00C4603D">
        <w:rPr>
          <w:sz w:val="26"/>
          <w:szCs w:val="26"/>
        </w:rPr>
        <w:t>,</w:t>
      </w:r>
      <w:r>
        <w:rPr>
          <w:sz w:val="26"/>
          <w:szCs w:val="26"/>
        </w:rPr>
        <w:t xml:space="preserve"> valsts budžeta dotācija (kompensācija) ir atkarīga no dažādiem mainīgiem lielumiem, proti, ne tikai veiktā nobraukuma un tā izpildei nepieciešamo izmaksu kopuma, bet arī pārvadāto pasažieru skaita un biļešu ieņēmumiem.</w:t>
      </w:r>
    </w:p>
    <w:p w14:paraId="465B9842" w14:textId="7A18C0DD" w:rsidR="00AC4D46" w:rsidRDefault="00AC4D46" w:rsidP="00B41046">
      <w:pPr>
        <w:ind w:firstLine="709"/>
        <w:jc w:val="both"/>
        <w:rPr>
          <w:sz w:val="26"/>
          <w:szCs w:val="26"/>
        </w:rPr>
      </w:pPr>
      <w:r>
        <w:rPr>
          <w:sz w:val="26"/>
          <w:szCs w:val="26"/>
        </w:rPr>
        <w:t>Ievērojot laika posmā no 2020.-2021.gada</w:t>
      </w:r>
      <w:r w:rsidR="00F976E6">
        <w:rPr>
          <w:sz w:val="26"/>
          <w:szCs w:val="26"/>
        </w:rPr>
        <w:t>m</w:t>
      </w:r>
      <w:r>
        <w:rPr>
          <w:sz w:val="26"/>
          <w:szCs w:val="26"/>
        </w:rPr>
        <w:t xml:space="preserve"> straujo pasažieru skait</w:t>
      </w:r>
      <w:r w:rsidR="00F976E6">
        <w:rPr>
          <w:sz w:val="26"/>
          <w:szCs w:val="26"/>
        </w:rPr>
        <w:t>a</w:t>
      </w:r>
      <w:r>
        <w:rPr>
          <w:sz w:val="26"/>
          <w:szCs w:val="26"/>
        </w:rPr>
        <w:t xml:space="preserve"> kritumu sakarā ar </w:t>
      </w:r>
      <w:r w:rsidR="00C4603D">
        <w:rPr>
          <w:sz w:val="26"/>
          <w:szCs w:val="26"/>
        </w:rPr>
        <w:t xml:space="preserve">Covid-19 </w:t>
      </w:r>
      <w:r>
        <w:rPr>
          <w:sz w:val="26"/>
          <w:szCs w:val="26"/>
        </w:rPr>
        <w:t>pandēmijas apkarošanas ietekmi, minētā</w:t>
      </w:r>
      <w:r w:rsidR="00B41046">
        <w:rPr>
          <w:sz w:val="26"/>
          <w:szCs w:val="26"/>
        </w:rPr>
        <w:t xml:space="preserve"> starpība</w:t>
      </w:r>
      <w:r>
        <w:rPr>
          <w:sz w:val="26"/>
          <w:szCs w:val="26"/>
        </w:rPr>
        <w:t xml:space="preserve">, proti biļešu ieņēmumu segums pār izdevumiem būtiski samazinājies, kas nozīmē, ka no valsts budžeta ir </w:t>
      </w:r>
      <w:r w:rsidR="005A5308">
        <w:rPr>
          <w:sz w:val="26"/>
          <w:szCs w:val="26"/>
        </w:rPr>
        <w:t xml:space="preserve">jānodrošina </w:t>
      </w:r>
      <w:r>
        <w:rPr>
          <w:sz w:val="26"/>
          <w:szCs w:val="26"/>
        </w:rPr>
        <w:t xml:space="preserve">lielāks </w:t>
      </w:r>
      <w:r w:rsidR="007A1691">
        <w:rPr>
          <w:sz w:val="26"/>
          <w:szCs w:val="26"/>
        </w:rPr>
        <w:t>finansējums dotācijai</w:t>
      </w:r>
      <w:r w:rsidR="0093620B">
        <w:rPr>
          <w:sz w:val="26"/>
          <w:szCs w:val="26"/>
        </w:rPr>
        <w:t xml:space="preserve">. </w:t>
      </w:r>
      <w:r w:rsidR="00DE2E14">
        <w:rPr>
          <w:sz w:val="26"/>
          <w:szCs w:val="26"/>
        </w:rPr>
        <w:t xml:space="preserve">Detalizēts izklāsts par ietekmējošiem apstākļiem </w:t>
      </w:r>
      <w:r w:rsidR="00DE2E14" w:rsidRPr="00F9730D">
        <w:rPr>
          <w:sz w:val="26"/>
          <w:szCs w:val="26"/>
        </w:rPr>
        <w:t xml:space="preserve">aprakstīts </w:t>
      </w:r>
      <w:r w:rsidR="00F9730D" w:rsidRPr="00F9730D">
        <w:rPr>
          <w:sz w:val="26"/>
          <w:szCs w:val="26"/>
        </w:rPr>
        <w:t>ziņojuma 1.3.1. un 1.3.2.</w:t>
      </w:r>
      <w:r w:rsidR="00DE2E14" w:rsidRPr="00F9730D">
        <w:rPr>
          <w:sz w:val="26"/>
          <w:szCs w:val="26"/>
        </w:rPr>
        <w:t>sadaļās).</w:t>
      </w:r>
    </w:p>
    <w:p w14:paraId="36DE830A" w14:textId="50A53F12" w:rsidR="00194D65" w:rsidRDefault="00194D65" w:rsidP="00194D65">
      <w:pPr>
        <w:ind w:firstLine="709"/>
        <w:jc w:val="both"/>
        <w:rPr>
          <w:sz w:val="26"/>
          <w:szCs w:val="26"/>
        </w:rPr>
      </w:pPr>
    </w:p>
    <w:p w14:paraId="3C3577E2" w14:textId="2C60FA2E" w:rsidR="007C3CDB" w:rsidRPr="00194D65" w:rsidRDefault="007C3CDB" w:rsidP="007C3CDB">
      <w:pPr>
        <w:jc w:val="both"/>
        <w:rPr>
          <w:sz w:val="26"/>
          <w:szCs w:val="26"/>
        </w:rPr>
      </w:pPr>
      <w:r>
        <w:rPr>
          <w:noProof/>
        </w:rPr>
        <w:lastRenderedPageBreak/>
        <w:drawing>
          <wp:inline distT="0" distB="0" distL="0" distR="0" wp14:anchorId="76852CDC" wp14:editId="439B8719">
            <wp:extent cx="2914650" cy="2680970"/>
            <wp:effectExtent l="0" t="0" r="0" b="5080"/>
            <wp:docPr id="4" name="Chart 4">
              <a:extLst xmlns:a="http://schemas.openxmlformats.org/drawingml/2006/main">
                <a:ext uri="{FF2B5EF4-FFF2-40B4-BE49-F238E27FC236}">
                  <a16:creationId xmlns:a16="http://schemas.microsoft.com/office/drawing/2014/main" id="{DBF7B862-6EA4-7E98-A5F1-8B035FC0CE6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7C3CDB">
        <w:rPr>
          <w:noProof/>
        </w:rPr>
        <w:t xml:space="preserve"> </w:t>
      </w:r>
      <w:r>
        <w:rPr>
          <w:noProof/>
        </w:rPr>
        <w:drawing>
          <wp:inline distT="0" distB="0" distL="0" distR="0" wp14:anchorId="5672F645" wp14:editId="267B575C">
            <wp:extent cx="2771775" cy="2671445"/>
            <wp:effectExtent l="0" t="0" r="9525" b="14605"/>
            <wp:docPr id="5" name="Chart 5">
              <a:extLst xmlns:a="http://schemas.openxmlformats.org/drawingml/2006/main">
                <a:ext uri="{FF2B5EF4-FFF2-40B4-BE49-F238E27FC236}">
                  <a16:creationId xmlns:a16="http://schemas.microsoft.com/office/drawing/2014/main" id="{4E091F2B-68BA-C96F-20A1-94654851BB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602AC44" w14:textId="689779F9" w:rsidR="006E22CC" w:rsidRPr="006E22CC" w:rsidRDefault="00F9730D" w:rsidP="006E22CC">
      <w:pPr>
        <w:jc w:val="center"/>
        <w:rPr>
          <w:sz w:val="26"/>
          <w:szCs w:val="26"/>
        </w:rPr>
      </w:pPr>
      <w:r w:rsidRPr="00F9730D">
        <w:t>5</w:t>
      </w:r>
      <w:r w:rsidR="006E22CC" w:rsidRPr="00F9730D">
        <w:t>.attēls</w:t>
      </w:r>
      <w:r>
        <w:t>.</w:t>
      </w:r>
      <w:r w:rsidRPr="00F9730D">
        <w:t xml:space="preserve"> </w:t>
      </w:r>
      <w:r w:rsidR="006E22CC" w:rsidRPr="00F9730D">
        <w:t>Biļešu</w:t>
      </w:r>
      <w:r w:rsidR="006E22CC" w:rsidRPr="006E22CC">
        <w:t xml:space="preserve"> ieņēmumu segums pār izdevumiem</w:t>
      </w:r>
    </w:p>
    <w:p w14:paraId="132BA78D" w14:textId="5CD5A494" w:rsidR="007C3CDB" w:rsidRPr="006E22CC" w:rsidRDefault="007C3CDB" w:rsidP="00194D65">
      <w:pPr>
        <w:ind w:firstLine="709"/>
        <w:jc w:val="both"/>
        <w:rPr>
          <w:sz w:val="26"/>
          <w:szCs w:val="26"/>
        </w:rPr>
      </w:pPr>
    </w:p>
    <w:p w14:paraId="0B17AE57" w14:textId="2B4313AB" w:rsidR="006E22CC" w:rsidRPr="006E22CC" w:rsidRDefault="00C62A78" w:rsidP="00194D65">
      <w:pPr>
        <w:ind w:firstLine="709"/>
        <w:jc w:val="both"/>
        <w:rPr>
          <w:sz w:val="26"/>
          <w:szCs w:val="26"/>
        </w:rPr>
      </w:pPr>
      <w:r>
        <w:rPr>
          <w:sz w:val="26"/>
          <w:szCs w:val="26"/>
        </w:rPr>
        <w:t>A</w:t>
      </w:r>
      <w:r w:rsidR="006E22CC" w:rsidRPr="006E22CC">
        <w:rPr>
          <w:sz w:val="26"/>
          <w:szCs w:val="26"/>
        </w:rPr>
        <w:t xml:space="preserve">ttiecībā uz </w:t>
      </w:r>
      <w:r w:rsidR="006E22CC">
        <w:rPr>
          <w:sz w:val="26"/>
          <w:szCs w:val="26"/>
        </w:rPr>
        <w:t xml:space="preserve">valstspilsētu pašvaldībām piešķiramo valsts budžeta </w:t>
      </w:r>
      <w:r w:rsidR="00E925D2">
        <w:rPr>
          <w:sz w:val="26"/>
          <w:szCs w:val="26"/>
        </w:rPr>
        <w:t>dotāciju (kompensāciju)</w:t>
      </w:r>
      <w:r w:rsidR="006E22CC">
        <w:rPr>
          <w:sz w:val="26"/>
          <w:szCs w:val="26"/>
        </w:rPr>
        <w:t xml:space="preserve"> jāatzīmē, ka </w:t>
      </w:r>
      <w:r w:rsidR="00E925D2">
        <w:rPr>
          <w:sz w:val="26"/>
          <w:szCs w:val="26"/>
        </w:rPr>
        <w:t xml:space="preserve">kompensācija, kas paredzēta </w:t>
      </w:r>
      <w:r w:rsidR="00E925D2" w:rsidRPr="00C56285">
        <w:rPr>
          <w:sz w:val="26"/>
          <w:szCs w:val="26"/>
        </w:rPr>
        <w:t>par pārvadājumiem, kas ir ārpus pilsētas administratīvās teritorijas, ja maršruta daļa ir vairāk kā 30% no kopējā maršruta garuma</w:t>
      </w:r>
      <w:r w:rsidR="00E925D2">
        <w:rPr>
          <w:sz w:val="26"/>
          <w:szCs w:val="26"/>
        </w:rPr>
        <w:t xml:space="preserve">, tiek nodrošināta ar mērķi nedublēt reģionālās nozīmes transportu teritorijās, kur </w:t>
      </w:r>
      <w:r w:rsidR="00CB0DD1">
        <w:rPr>
          <w:sz w:val="26"/>
          <w:szCs w:val="26"/>
        </w:rPr>
        <w:t>efektīvākus</w:t>
      </w:r>
      <w:r w:rsidR="00E925D2">
        <w:rPr>
          <w:sz w:val="26"/>
          <w:szCs w:val="26"/>
        </w:rPr>
        <w:t xml:space="preserve"> pārvadājumus var nodrošināt valstspilsētas </w:t>
      </w:r>
      <w:r w:rsidR="0084287F">
        <w:rPr>
          <w:sz w:val="26"/>
          <w:szCs w:val="26"/>
        </w:rPr>
        <w:t xml:space="preserve">organizēts sabiedriskais </w:t>
      </w:r>
      <w:r w:rsidR="00E925D2">
        <w:rPr>
          <w:sz w:val="26"/>
          <w:szCs w:val="26"/>
        </w:rPr>
        <w:t>transports</w:t>
      </w:r>
      <w:r w:rsidR="00CB0DD1">
        <w:rPr>
          <w:sz w:val="26"/>
          <w:szCs w:val="26"/>
        </w:rPr>
        <w:t>, pagarinot kādu pilsētas robežās kursējošu maršrutu, kā rezultātā nav nepieciešams speciāli veidot reģionālās nozīmes maršrutu</w:t>
      </w:r>
      <w:r w:rsidR="00E925D2">
        <w:rPr>
          <w:sz w:val="26"/>
          <w:szCs w:val="26"/>
        </w:rPr>
        <w:t xml:space="preserve">. </w:t>
      </w:r>
      <w:r w:rsidR="000D2B51">
        <w:rPr>
          <w:sz w:val="26"/>
          <w:szCs w:val="26"/>
        </w:rPr>
        <w:t xml:space="preserve">Kompensācijas lielums ir atkarīgs gan no izmaksu apmēra, gan gūtajiem biļešu ieņēmumiem un valstspilsētas pašvaldības piešķirto atvieglojumu personu loka un īpatsvara, kāds noteikts katrā valstspilsētas pašvaldībā. </w:t>
      </w:r>
      <w:r>
        <w:rPr>
          <w:sz w:val="26"/>
          <w:szCs w:val="26"/>
        </w:rPr>
        <w:t xml:space="preserve">Savukārt kompensācija par braukšanas maksas atvieglojumu nodrošināšanu </w:t>
      </w:r>
      <w:r w:rsidRPr="00B304F5">
        <w:rPr>
          <w:sz w:val="26"/>
          <w:szCs w:val="26"/>
        </w:rPr>
        <w:t>personām ar I vai II grupas invaliditāti, personām līdz 18 gadu vecumam ar invaliditāti un personām, kas pavada personu ar I grupas invaliditāti vai personu līdz 18 gadu vecumam ar invaliditāti</w:t>
      </w:r>
      <w:r w:rsidR="0084287F">
        <w:rPr>
          <w:sz w:val="26"/>
          <w:szCs w:val="26"/>
        </w:rPr>
        <w:t>,</w:t>
      </w:r>
      <w:r>
        <w:rPr>
          <w:sz w:val="26"/>
          <w:szCs w:val="26"/>
        </w:rPr>
        <w:t xml:space="preserve"> 100% apmērā no valstspilsētas pašvaldības administratīvajā teritorijā noteiktās braukšanas maksas (cenas) tiek aprēķināta atbilstoši veiktajam braucienu skaitam un attiecīgi braukšanas maksas apmēram. </w:t>
      </w:r>
      <w:r w:rsidR="000D2B51">
        <w:rPr>
          <w:sz w:val="26"/>
          <w:szCs w:val="26"/>
        </w:rPr>
        <w:t>Sekojoši mainoties braukšanas maksai vai pieaugot braucienu skaitam, mainās arī nepieciešamā valsts budžeta dotācija (kompensācija).</w:t>
      </w:r>
    </w:p>
    <w:p w14:paraId="5CDC834D" w14:textId="77777777" w:rsidR="007C3CDB" w:rsidRPr="006E22CC" w:rsidRDefault="007C3CDB" w:rsidP="00194D65">
      <w:pPr>
        <w:ind w:firstLine="709"/>
        <w:jc w:val="both"/>
        <w:rPr>
          <w:sz w:val="26"/>
          <w:szCs w:val="26"/>
        </w:rPr>
      </w:pPr>
    </w:p>
    <w:p w14:paraId="288148EF" w14:textId="227740AF" w:rsidR="00194D65" w:rsidRPr="00004192" w:rsidRDefault="00194D65" w:rsidP="00194D65">
      <w:pPr>
        <w:ind w:firstLine="709"/>
        <w:jc w:val="both"/>
        <w:rPr>
          <w:b/>
          <w:bCs/>
          <w:sz w:val="26"/>
          <w:szCs w:val="26"/>
        </w:rPr>
      </w:pPr>
      <w:r w:rsidRPr="00004192">
        <w:rPr>
          <w:b/>
          <w:bCs/>
          <w:sz w:val="26"/>
          <w:szCs w:val="26"/>
        </w:rPr>
        <w:t>1.3.1. Kompensējamie izdevumi</w:t>
      </w:r>
      <w:r w:rsidR="00B41046">
        <w:rPr>
          <w:b/>
          <w:bCs/>
          <w:sz w:val="26"/>
          <w:szCs w:val="26"/>
        </w:rPr>
        <w:t>,</w:t>
      </w:r>
      <w:r w:rsidRPr="00004192">
        <w:rPr>
          <w:b/>
          <w:bCs/>
          <w:sz w:val="26"/>
          <w:szCs w:val="26"/>
        </w:rPr>
        <w:t xml:space="preserve"> izpildot sabiedriskā transporta pakalpojumu pasūtījumu līgumus</w:t>
      </w:r>
    </w:p>
    <w:p w14:paraId="09C9B1C8" w14:textId="06C2CFB2" w:rsidR="00B2542E" w:rsidRDefault="00B2542E" w:rsidP="00B2542E">
      <w:pPr>
        <w:ind w:firstLine="709"/>
        <w:jc w:val="both"/>
        <w:rPr>
          <w:sz w:val="26"/>
          <w:szCs w:val="26"/>
        </w:rPr>
      </w:pPr>
      <w:r>
        <w:rPr>
          <w:iCs/>
          <w:sz w:val="26"/>
          <w:szCs w:val="26"/>
        </w:rPr>
        <w:t>Kopš 2021.gada, realizējot</w:t>
      </w:r>
      <w:r>
        <w:rPr>
          <w:sz w:val="26"/>
          <w:szCs w:val="26"/>
        </w:rPr>
        <w:t xml:space="preserve"> Ministru kabineta 2019.gada 4.jūnij</w:t>
      </w:r>
      <w:r w:rsidR="00897C47">
        <w:rPr>
          <w:sz w:val="26"/>
          <w:szCs w:val="26"/>
        </w:rPr>
        <w:t xml:space="preserve">a sēdē </w:t>
      </w:r>
      <w:r>
        <w:rPr>
          <w:sz w:val="26"/>
          <w:szCs w:val="26"/>
        </w:rPr>
        <w:t xml:space="preserve"> (prot. Nr.27 28.§) izskatītajā </w:t>
      </w:r>
      <w:r w:rsidR="00897C47">
        <w:rPr>
          <w:sz w:val="26"/>
          <w:szCs w:val="26"/>
        </w:rPr>
        <w:t>i</w:t>
      </w:r>
      <w:r>
        <w:rPr>
          <w:sz w:val="26"/>
          <w:szCs w:val="26"/>
        </w:rPr>
        <w:t xml:space="preserve">nformatīvajā ziņojuma “Par reģionālās nozīmes sabiedriskā transporta pakalpojumu attīstību 2021.-2030.gadam” sniegtos konceptuālos risinājumus, ir mainīta zaudējumu kompensācijas noteikšanas kārtība, turpmāk nosakot zaudējumu kompensāciju, pamatojoties uz atklāta konkursa rezultātā </w:t>
      </w:r>
      <w:r w:rsidR="000D071B">
        <w:rPr>
          <w:sz w:val="26"/>
          <w:szCs w:val="26"/>
        </w:rPr>
        <w:t xml:space="preserve">pārvadātāja </w:t>
      </w:r>
      <w:r>
        <w:rPr>
          <w:sz w:val="26"/>
          <w:szCs w:val="26"/>
        </w:rPr>
        <w:t>piedāvāto sabiedriskā transporta pakalpojum</w:t>
      </w:r>
      <w:r w:rsidR="000D071B">
        <w:rPr>
          <w:sz w:val="26"/>
          <w:szCs w:val="26"/>
        </w:rPr>
        <w:t>a</w:t>
      </w:r>
      <w:r>
        <w:rPr>
          <w:sz w:val="26"/>
          <w:szCs w:val="26"/>
        </w:rPr>
        <w:t xml:space="preserve"> cenu, </w:t>
      </w:r>
      <w:r w:rsidR="000D071B">
        <w:rPr>
          <w:sz w:val="26"/>
          <w:szCs w:val="26"/>
        </w:rPr>
        <w:t xml:space="preserve">tādēļ kopš </w:t>
      </w:r>
      <w:r>
        <w:rPr>
          <w:sz w:val="26"/>
          <w:szCs w:val="26"/>
        </w:rPr>
        <w:t xml:space="preserve"> 2021.gada zaudējumu kompensācijas apmērs kļūs paredzamāks un </w:t>
      </w:r>
      <w:r w:rsidR="000D071B">
        <w:rPr>
          <w:sz w:val="26"/>
          <w:szCs w:val="26"/>
        </w:rPr>
        <w:t xml:space="preserve">ir </w:t>
      </w:r>
      <w:r>
        <w:rPr>
          <w:sz w:val="26"/>
          <w:szCs w:val="26"/>
        </w:rPr>
        <w:t>atkarīgs no ieņēmum</w:t>
      </w:r>
      <w:r w:rsidR="000D071B">
        <w:rPr>
          <w:sz w:val="26"/>
          <w:szCs w:val="26"/>
        </w:rPr>
        <w:t xml:space="preserve">iem </w:t>
      </w:r>
      <w:r>
        <w:rPr>
          <w:sz w:val="26"/>
          <w:szCs w:val="26"/>
        </w:rPr>
        <w:t xml:space="preserve">un sniegto </w:t>
      </w:r>
      <w:r w:rsidR="000D071B">
        <w:rPr>
          <w:sz w:val="26"/>
          <w:szCs w:val="26"/>
        </w:rPr>
        <w:t>pakalpojuma</w:t>
      </w:r>
      <w:r>
        <w:rPr>
          <w:sz w:val="26"/>
          <w:szCs w:val="26"/>
        </w:rPr>
        <w:t xml:space="preserve"> apjoma</w:t>
      </w:r>
      <w:r w:rsidR="000D071B">
        <w:rPr>
          <w:sz w:val="26"/>
          <w:szCs w:val="26"/>
        </w:rPr>
        <w:t xml:space="preserve"> (veiktā nobraukuma)</w:t>
      </w:r>
      <w:r>
        <w:rPr>
          <w:sz w:val="26"/>
          <w:szCs w:val="26"/>
        </w:rPr>
        <w:t>.</w:t>
      </w:r>
    </w:p>
    <w:p w14:paraId="5E128F2B" w14:textId="2AA23A09" w:rsidR="005A5308" w:rsidRPr="00290C21" w:rsidRDefault="00DE2E14" w:rsidP="005A5308">
      <w:pPr>
        <w:ind w:firstLine="709"/>
        <w:jc w:val="both"/>
        <w:rPr>
          <w:sz w:val="26"/>
          <w:szCs w:val="26"/>
        </w:rPr>
      </w:pPr>
      <w:r>
        <w:rPr>
          <w:sz w:val="26"/>
          <w:szCs w:val="26"/>
        </w:rPr>
        <w:t>2022.gad</w:t>
      </w:r>
      <w:r w:rsidR="00B2542E">
        <w:rPr>
          <w:sz w:val="26"/>
          <w:szCs w:val="26"/>
        </w:rPr>
        <w:t>ā</w:t>
      </w:r>
      <w:r>
        <w:rPr>
          <w:sz w:val="26"/>
          <w:szCs w:val="26"/>
        </w:rPr>
        <w:t xml:space="preserve"> kompensējamie izdevumi reģionālās nozīmes pārvadājumos ar autobusiem pilnībā tiek noteikti, balstoties uz atklātā konkursa kārtībā noteiktu pakalpojum</w:t>
      </w:r>
      <w:r w:rsidR="000D071B">
        <w:rPr>
          <w:sz w:val="26"/>
          <w:szCs w:val="26"/>
        </w:rPr>
        <w:t>a</w:t>
      </w:r>
      <w:r>
        <w:rPr>
          <w:sz w:val="26"/>
          <w:szCs w:val="26"/>
        </w:rPr>
        <w:t xml:space="preserve"> cenu (līgumcenu), bet vēl līdz 2021.</w:t>
      </w:r>
      <w:r w:rsidRPr="007475A1">
        <w:rPr>
          <w:sz w:val="26"/>
          <w:szCs w:val="26"/>
        </w:rPr>
        <w:t>gad</w:t>
      </w:r>
      <w:r>
        <w:rPr>
          <w:sz w:val="26"/>
          <w:szCs w:val="26"/>
        </w:rPr>
        <w:t>am (ieskaitot)</w:t>
      </w:r>
      <w:r w:rsidRPr="007475A1">
        <w:rPr>
          <w:sz w:val="26"/>
          <w:szCs w:val="26"/>
        </w:rPr>
        <w:t xml:space="preserve"> reģionālās nozīmes </w:t>
      </w:r>
      <w:r w:rsidRPr="007475A1">
        <w:rPr>
          <w:sz w:val="26"/>
          <w:szCs w:val="26"/>
        </w:rPr>
        <w:lastRenderedPageBreak/>
        <w:t>pārvadājumos ar autobusiem bija spēkā divas zaudējumu kompensēšanas kārtības</w:t>
      </w:r>
      <w:r w:rsidR="0084287F">
        <w:rPr>
          <w:sz w:val="26"/>
          <w:szCs w:val="26"/>
        </w:rPr>
        <w:t xml:space="preserve"> –</w:t>
      </w:r>
      <w:r w:rsidRPr="007475A1">
        <w:rPr>
          <w:sz w:val="26"/>
          <w:szCs w:val="26"/>
        </w:rPr>
        <w:t xml:space="preserve"> viena bija balstīta uz koncesijas līgumu izpildes pamata, </w:t>
      </w:r>
      <w:r w:rsidR="000D071B">
        <w:rPr>
          <w:sz w:val="26"/>
          <w:szCs w:val="26"/>
        </w:rPr>
        <w:t xml:space="preserve">kad zaudējumu kompensācija tika izmaksāta, </w:t>
      </w:r>
      <w:r w:rsidRPr="007475A1">
        <w:rPr>
          <w:sz w:val="26"/>
          <w:szCs w:val="26"/>
        </w:rPr>
        <w:t>pamatojoties uz faktiskajiem izdevumiem</w:t>
      </w:r>
      <w:r w:rsidR="000D071B">
        <w:rPr>
          <w:sz w:val="26"/>
          <w:szCs w:val="26"/>
        </w:rPr>
        <w:t>. O</w:t>
      </w:r>
      <w:r w:rsidRPr="007475A1">
        <w:rPr>
          <w:sz w:val="26"/>
          <w:szCs w:val="26"/>
        </w:rPr>
        <w:t>tra</w:t>
      </w:r>
      <w:r w:rsidR="000D071B">
        <w:rPr>
          <w:sz w:val="26"/>
          <w:szCs w:val="26"/>
        </w:rPr>
        <w:t xml:space="preserve"> zaudējumu kompensēšanas kārtība bija</w:t>
      </w:r>
      <w:r w:rsidRPr="007475A1">
        <w:rPr>
          <w:sz w:val="26"/>
          <w:szCs w:val="26"/>
        </w:rPr>
        <w:t xml:space="preserve"> balstīta uz atklāta konkursa kārtībā iegūtu </w:t>
      </w:r>
      <w:r w:rsidRPr="00290C21">
        <w:rPr>
          <w:sz w:val="26"/>
          <w:szCs w:val="26"/>
        </w:rPr>
        <w:t>pakalpojum</w:t>
      </w:r>
      <w:r w:rsidR="000D071B">
        <w:rPr>
          <w:sz w:val="26"/>
          <w:szCs w:val="26"/>
        </w:rPr>
        <w:t>a</w:t>
      </w:r>
      <w:r w:rsidRPr="00290C21">
        <w:rPr>
          <w:sz w:val="26"/>
          <w:szCs w:val="26"/>
        </w:rPr>
        <w:t xml:space="preserve"> cenu par 1 </w:t>
      </w:r>
      <w:r w:rsidRPr="00B836B1">
        <w:rPr>
          <w:sz w:val="26"/>
          <w:szCs w:val="26"/>
        </w:rPr>
        <w:t>kilometru</w:t>
      </w:r>
      <w:r w:rsidR="000D071B">
        <w:rPr>
          <w:sz w:val="26"/>
          <w:szCs w:val="26"/>
        </w:rPr>
        <w:t xml:space="preserve"> un</w:t>
      </w:r>
      <w:r w:rsidR="005A5308" w:rsidRPr="00B836B1">
        <w:rPr>
          <w:sz w:val="26"/>
          <w:szCs w:val="26"/>
        </w:rPr>
        <w:t xml:space="preserve"> </w:t>
      </w:r>
      <w:r w:rsidR="000D071B">
        <w:rPr>
          <w:sz w:val="26"/>
          <w:szCs w:val="26"/>
        </w:rPr>
        <w:t>a</w:t>
      </w:r>
      <w:r w:rsidR="005A5308" w:rsidRPr="00B836B1">
        <w:rPr>
          <w:sz w:val="26"/>
          <w:szCs w:val="26"/>
        </w:rPr>
        <w:t>tbilstoši līgumos paredzētajai kārtībai kompensējamie izdevumi veidojas saskaņā ar līgumā paredzēto līgumcenu par veikto nobraukumu, maršrutu apkalpes vietu jeb autoostu izmaksām un papildus izdevumiem, ja tādi rodas</w:t>
      </w:r>
      <w:r w:rsidR="00B836B1">
        <w:rPr>
          <w:sz w:val="26"/>
          <w:szCs w:val="26"/>
        </w:rPr>
        <w:t>,</w:t>
      </w:r>
      <w:r w:rsidR="005A5308" w:rsidRPr="00B836B1">
        <w:rPr>
          <w:sz w:val="26"/>
          <w:szCs w:val="26"/>
        </w:rPr>
        <w:t xml:space="preserve"> pārsniedzot līgumā noteikto maksimālo nobraukuma samazinājumu/palielinājumu, vai tādu apstākļu ietekmē, ko nevarēja paredzēt ne pasūtītājs, ne pārvadātājs</w:t>
      </w:r>
      <w:r w:rsidR="00B836B1">
        <w:rPr>
          <w:sz w:val="26"/>
          <w:szCs w:val="26"/>
        </w:rPr>
        <w:t>,</w:t>
      </w:r>
      <w:r w:rsidR="005A5308" w:rsidRPr="00B836B1">
        <w:rPr>
          <w:sz w:val="26"/>
          <w:szCs w:val="26"/>
        </w:rPr>
        <w:t xml:space="preserve"> iesniedzot piedāvājumu (piemēram, normatīvo aktu </w:t>
      </w:r>
      <w:r w:rsidR="00897C47">
        <w:rPr>
          <w:sz w:val="26"/>
          <w:szCs w:val="26"/>
        </w:rPr>
        <w:t>grozījumus</w:t>
      </w:r>
      <w:r w:rsidR="00B836B1" w:rsidRPr="00B836B1">
        <w:rPr>
          <w:sz w:val="26"/>
          <w:szCs w:val="26"/>
        </w:rPr>
        <w:t>)</w:t>
      </w:r>
      <w:r w:rsidR="005A5308" w:rsidRPr="00B836B1">
        <w:rPr>
          <w:sz w:val="26"/>
          <w:szCs w:val="26"/>
        </w:rPr>
        <w:t>.</w:t>
      </w:r>
    </w:p>
    <w:p w14:paraId="0DC692C2" w14:textId="2619CA7D" w:rsidR="00DE2E14" w:rsidRDefault="00DE2E14" w:rsidP="00DE2E14">
      <w:pPr>
        <w:ind w:firstLine="709"/>
        <w:jc w:val="both"/>
        <w:rPr>
          <w:sz w:val="26"/>
          <w:szCs w:val="26"/>
        </w:rPr>
      </w:pPr>
      <w:r>
        <w:rPr>
          <w:sz w:val="26"/>
          <w:szCs w:val="26"/>
        </w:rPr>
        <w:t xml:space="preserve">Attiecībā uz kompensējamo izdevumu noteikšanu reģionālās nozīmes pārvadājumos ar vilcieniem – AS “Pasažieru vilciens” tiek kompensēti visi </w:t>
      </w:r>
      <w:r w:rsidR="00B41046">
        <w:rPr>
          <w:sz w:val="26"/>
          <w:szCs w:val="26"/>
        </w:rPr>
        <w:t xml:space="preserve">faktiskie un </w:t>
      </w:r>
      <w:r>
        <w:rPr>
          <w:sz w:val="26"/>
          <w:szCs w:val="26"/>
        </w:rPr>
        <w:t>pamatotie</w:t>
      </w:r>
      <w:r w:rsidR="006A0D84">
        <w:rPr>
          <w:sz w:val="26"/>
          <w:szCs w:val="26"/>
        </w:rPr>
        <w:t>,</w:t>
      </w:r>
      <w:r>
        <w:rPr>
          <w:sz w:val="26"/>
          <w:szCs w:val="26"/>
        </w:rPr>
        <w:t xml:space="preserve"> un ar sabiedriskā transporta pakalpojumu līguma izpild</w:t>
      </w:r>
      <w:r w:rsidR="00B836B1">
        <w:rPr>
          <w:sz w:val="26"/>
          <w:szCs w:val="26"/>
        </w:rPr>
        <w:t xml:space="preserve">i </w:t>
      </w:r>
      <w:r>
        <w:rPr>
          <w:sz w:val="26"/>
          <w:szCs w:val="26"/>
        </w:rPr>
        <w:t>saistītie izdevumi, savukārt SIA “Gulbenes-Alūksnes bānītis” valsts budžeta kompensācija tiek noteikta</w:t>
      </w:r>
      <w:r w:rsidR="00DD58D3">
        <w:rPr>
          <w:sz w:val="26"/>
          <w:szCs w:val="26"/>
        </w:rPr>
        <w:t>, balstoties uz daļēju kompensēšanas principu – sedzot tikai degvielas un mašīnistu / konduktoru atalgojuma izmaksas un visus zaudējumus, kas rodas saistībā ar personu ar braukšanas maksas atvieglojumiem pārvadāšanu.</w:t>
      </w:r>
    </w:p>
    <w:p w14:paraId="0ABD0CDB" w14:textId="11A2E575" w:rsidR="00DD58D3" w:rsidRDefault="00DD58D3" w:rsidP="00DE2E14">
      <w:pPr>
        <w:ind w:firstLine="709"/>
        <w:jc w:val="both"/>
        <w:rPr>
          <w:sz w:val="26"/>
          <w:szCs w:val="26"/>
        </w:rPr>
      </w:pPr>
    </w:p>
    <w:p w14:paraId="31498050" w14:textId="725EDF4C" w:rsidR="00DD58D3" w:rsidRPr="00E60F91" w:rsidRDefault="00E60F91" w:rsidP="00DE2E14">
      <w:pPr>
        <w:ind w:firstLine="709"/>
        <w:jc w:val="both"/>
        <w:rPr>
          <w:b/>
          <w:bCs/>
          <w:sz w:val="26"/>
          <w:szCs w:val="26"/>
        </w:rPr>
      </w:pPr>
      <w:r w:rsidRPr="00E60F91">
        <w:rPr>
          <w:b/>
          <w:bCs/>
          <w:sz w:val="26"/>
          <w:szCs w:val="26"/>
        </w:rPr>
        <w:t>1.3.1.1. Kompensējamie izdevumi reģionālās nozīmes pārvadājumos ar autobusiem</w:t>
      </w:r>
    </w:p>
    <w:p w14:paraId="0AFF0955" w14:textId="7AE0DB89" w:rsidR="00DE2E14" w:rsidRDefault="00DE2E14" w:rsidP="00DE2E14">
      <w:pPr>
        <w:ind w:firstLine="720"/>
        <w:jc w:val="both"/>
        <w:rPr>
          <w:sz w:val="26"/>
          <w:szCs w:val="26"/>
        </w:rPr>
      </w:pPr>
      <w:r>
        <w:rPr>
          <w:sz w:val="26"/>
          <w:szCs w:val="26"/>
        </w:rPr>
        <w:t xml:space="preserve">Saskaņā ar </w:t>
      </w:r>
      <w:r w:rsidR="00AF3DF4">
        <w:rPr>
          <w:sz w:val="26"/>
          <w:szCs w:val="26"/>
        </w:rPr>
        <w:t>noslēgtajiem iepirkuma līgumiem un tajos ietvertajiem</w:t>
      </w:r>
      <w:r>
        <w:rPr>
          <w:sz w:val="26"/>
          <w:szCs w:val="26"/>
        </w:rPr>
        <w:t xml:space="preserve"> nosacījumiem pakalpojuma cenā par 1 kilometru ir iekļaujamas visas ar sabiedriskā transporta pakalpojumu sniegšanu saistītās nepieciešamās izmaksas. Atkarībā no </w:t>
      </w:r>
      <w:r w:rsidR="00AF3DF4">
        <w:rPr>
          <w:sz w:val="26"/>
          <w:szCs w:val="26"/>
        </w:rPr>
        <w:t xml:space="preserve">noslēgto iepirkuma </w:t>
      </w:r>
      <w:r>
        <w:rPr>
          <w:sz w:val="26"/>
          <w:szCs w:val="26"/>
        </w:rPr>
        <w:t>līguma darbības termiņ</w:t>
      </w:r>
      <w:r w:rsidR="00AF3DF4">
        <w:rPr>
          <w:sz w:val="26"/>
          <w:szCs w:val="26"/>
        </w:rPr>
        <w:t>iem</w:t>
      </w:r>
      <w:r>
        <w:rPr>
          <w:sz w:val="26"/>
          <w:szCs w:val="26"/>
        </w:rPr>
        <w:t xml:space="preserve"> un</w:t>
      </w:r>
      <w:r w:rsidR="00AF3DF4">
        <w:rPr>
          <w:sz w:val="26"/>
          <w:szCs w:val="26"/>
        </w:rPr>
        <w:t xml:space="preserve"> tajos noteiktām</w:t>
      </w:r>
      <w:r>
        <w:rPr>
          <w:sz w:val="26"/>
          <w:szCs w:val="26"/>
        </w:rPr>
        <w:t xml:space="preserve"> pakalpojuma nodrošināšanai uzliktajām kvalitātes prasībām atšķiras arī vidējā pakalpojumu </w:t>
      </w:r>
      <w:r w:rsidRPr="006E4FE5">
        <w:rPr>
          <w:sz w:val="26"/>
          <w:szCs w:val="26"/>
        </w:rPr>
        <w:t>cena</w:t>
      </w:r>
      <w:r>
        <w:rPr>
          <w:sz w:val="26"/>
          <w:szCs w:val="26"/>
        </w:rPr>
        <w:t xml:space="preserve">, kurai jābūt pietiekamai, lai nodrošinātu sabiedriskā transporta pakalpojuma izpildi. Vidējā izmaksu struktūra veidojas sekojoša: degvielas izmaksas pakalpojuma cenā veido 20% no kopējām izmaksām, darba spēka izmaksas sasniedz vismaz 36% no kopējām izmaksām, remontdarbu (kopā ar rezerves daļām un materiāliem) un autobusu uzkopšanas izmaksas sastāda aptuveni 16,7%, amortizācijas jeb līdzekļu vērtības norakstīšanas izmaksas veido 10,6% no kopējām izmaksām, kā arī administrācijas izmaksas un pārējās pakalpojuma nodrošināšanas izmaksas attiecīgi 5,7% un 11%. </w:t>
      </w:r>
    </w:p>
    <w:p w14:paraId="7515A8B0" w14:textId="6738B56B" w:rsidR="00DE2E14" w:rsidRDefault="00DE2E14" w:rsidP="00DE2E14">
      <w:pPr>
        <w:ind w:firstLine="720"/>
        <w:jc w:val="both"/>
        <w:rPr>
          <w:sz w:val="26"/>
          <w:szCs w:val="26"/>
        </w:rPr>
      </w:pPr>
      <w:r w:rsidRPr="006E4FE5">
        <w:rPr>
          <w:sz w:val="26"/>
          <w:szCs w:val="26"/>
        </w:rPr>
        <w:t xml:space="preserve">Īstermiņa </w:t>
      </w:r>
      <w:r w:rsidR="000D071B">
        <w:rPr>
          <w:sz w:val="26"/>
          <w:szCs w:val="26"/>
        </w:rPr>
        <w:t xml:space="preserve">iepirkuma </w:t>
      </w:r>
      <w:r w:rsidRPr="006E4FE5">
        <w:rPr>
          <w:sz w:val="26"/>
          <w:szCs w:val="26"/>
        </w:rPr>
        <w:t xml:space="preserve">līgumu izpildē nereti ir ievērtēti riski saistībā </w:t>
      </w:r>
      <w:r>
        <w:rPr>
          <w:sz w:val="26"/>
          <w:szCs w:val="26"/>
        </w:rPr>
        <w:t xml:space="preserve">ar </w:t>
      </w:r>
      <w:r w:rsidR="000D071B">
        <w:rPr>
          <w:sz w:val="26"/>
          <w:szCs w:val="26"/>
        </w:rPr>
        <w:t xml:space="preserve">iepirkuma </w:t>
      </w:r>
      <w:r w:rsidRPr="006E4FE5">
        <w:rPr>
          <w:sz w:val="26"/>
          <w:szCs w:val="26"/>
        </w:rPr>
        <w:t xml:space="preserve">līguma darbības beigām, atlaišanas pabalsti personālam. Savukārt ilgtermiņa </w:t>
      </w:r>
      <w:r w:rsidR="000D071B">
        <w:rPr>
          <w:sz w:val="26"/>
          <w:szCs w:val="26"/>
        </w:rPr>
        <w:t xml:space="preserve">iepirkuma </w:t>
      </w:r>
      <w:r w:rsidRPr="006E4FE5">
        <w:rPr>
          <w:sz w:val="26"/>
          <w:szCs w:val="26"/>
        </w:rPr>
        <w:t>līgumos lielu daļu no izmaksām sastāda kapitālieguldījumi pakalpojumu kvalitātes nodrošināšanai</w:t>
      </w:r>
      <w:r>
        <w:rPr>
          <w:sz w:val="26"/>
          <w:szCs w:val="26"/>
        </w:rPr>
        <w:t xml:space="preserve">, un atšķirībā no īstermiņa </w:t>
      </w:r>
      <w:r w:rsidR="000D071B">
        <w:rPr>
          <w:sz w:val="26"/>
          <w:szCs w:val="26"/>
        </w:rPr>
        <w:t xml:space="preserve">iepirkuma </w:t>
      </w:r>
      <w:r>
        <w:rPr>
          <w:sz w:val="26"/>
          <w:szCs w:val="26"/>
        </w:rPr>
        <w:t>līgumiem – pakalpojuma cenā ir iekļauta arī plānotā peļņa</w:t>
      </w:r>
      <w:r w:rsidRPr="006E4FE5">
        <w:rPr>
          <w:sz w:val="26"/>
          <w:szCs w:val="26"/>
        </w:rPr>
        <w:t xml:space="preserve">. Tomēr neskatoties uz to, plānots, ka kopējie izdevumi saistībā ar sabiedriskā transporta pakalpojumu nodrošināšanu kļūst efektīvāki un pārvaldāmāki, nodrošinot augstāku sabiedriskā transporta pakalpojumu kvalitāti. </w:t>
      </w:r>
    </w:p>
    <w:p w14:paraId="3AAF4E9E" w14:textId="2C993E24" w:rsidR="00DF2CD4" w:rsidRPr="00550FDF" w:rsidRDefault="00DF2CD4" w:rsidP="00DE2E14">
      <w:pPr>
        <w:ind w:firstLine="720"/>
        <w:jc w:val="both"/>
        <w:rPr>
          <w:sz w:val="26"/>
          <w:szCs w:val="26"/>
          <w:highlight w:val="yellow"/>
        </w:rPr>
      </w:pPr>
      <w:r>
        <w:rPr>
          <w:sz w:val="26"/>
          <w:szCs w:val="26"/>
        </w:rPr>
        <w:t xml:space="preserve">To arī apliecina izmaksu </w:t>
      </w:r>
      <w:r w:rsidR="00502DB9">
        <w:rPr>
          <w:sz w:val="26"/>
          <w:szCs w:val="26"/>
        </w:rPr>
        <w:t>uz vienu veikto</w:t>
      </w:r>
      <w:r>
        <w:rPr>
          <w:sz w:val="26"/>
          <w:szCs w:val="26"/>
        </w:rPr>
        <w:t xml:space="preserve"> kilometru </w:t>
      </w:r>
      <w:r w:rsidR="00502DB9">
        <w:rPr>
          <w:sz w:val="26"/>
          <w:szCs w:val="26"/>
        </w:rPr>
        <w:t xml:space="preserve">izmaiņas pa gadiem, ka izmaksas, kas noteiktas atklāta konkursa </w:t>
      </w:r>
      <w:r w:rsidR="008E3FE7">
        <w:rPr>
          <w:sz w:val="26"/>
          <w:szCs w:val="26"/>
        </w:rPr>
        <w:t>atkarībā no tajos iekļautajām kvalitātes prasībām nepakļaujas tādām izmaksu svārstībām kā koncesijas līgumos, līdz ar to budžeta plānošanas periodos ir prognozējamas un nevar būtiski ietekmēt zaudējumu kompensācijas lielumu</w:t>
      </w:r>
      <w:r w:rsidR="00815359">
        <w:rPr>
          <w:sz w:val="26"/>
          <w:szCs w:val="26"/>
        </w:rPr>
        <w:t>, ja vien nepalielinās pasūtījuma (nobraukuma) apjom</w:t>
      </w:r>
      <w:r w:rsidR="005234B8">
        <w:rPr>
          <w:sz w:val="26"/>
          <w:szCs w:val="26"/>
        </w:rPr>
        <w:t>s</w:t>
      </w:r>
      <w:r w:rsidR="008E3FE7">
        <w:rPr>
          <w:sz w:val="26"/>
          <w:szCs w:val="26"/>
        </w:rPr>
        <w:t>.</w:t>
      </w:r>
      <w:r w:rsidR="00502DB9">
        <w:rPr>
          <w:sz w:val="26"/>
          <w:szCs w:val="26"/>
        </w:rPr>
        <w:t xml:space="preserve"> </w:t>
      </w:r>
    </w:p>
    <w:p w14:paraId="0B0A126D" w14:textId="0DF1C0E0" w:rsidR="000C5BE7" w:rsidRDefault="000C5BE7">
      <w:pPr>
        <w:spacing w:after="160" w:line="259" w:lineRule="auto"/>
      </w:pPr>
    </w:p>
    <w:p w14:paraId="22E743DB" w14:textId="744EB887" w:rsidR="00DF2CD4" w:rsidRPr="00B2542E" w:rsidRDefault="00DF2CD4" w:rsidP="00DF2CD4">
      <w:pPr>
        <w:ind w:firstLine="709"/>
        <w:jc w:val="right"/>
      </w:pPr>
      <w:r w:rsidRPr="00B2542E">
        <w:t>Tabula</w:t>
      </w:r>
      <w:r w:rsidR="00B2542E" w:rsidRPr="00B2542E">
        <w:t xml:space="preserve"> Nr.4</w:t>
      </w:r>
    </w:p>
    <w:p w14:paraId="22675D5B" w14:textId="77777777" w:rsidR="00DF2CD4" w:rsidRPr="00B2542E" w:rsidRDefault="00DF2CD4" w:rsidP="00DF2CD4">
      <w:pPr>
        <w:ind w:firstLine="709"/>
        <w:jc w:val="right"/>
      </w:pPr>
      <w:r w:rsidRPr="00B2542E">
        <w:t xml:space="preserve">Vidējās kompensējamās izmaksas </w:t>
      </w:r>
    </w:p>
    <w:p w14:paraId="67FF063B" w14:textId="07F378A1" w:rsidR="00DF2CD4" w:rsidRPr="00DF2CD4" w:rsidRDefault="00DF2CD4" w:rsidP="00DF2CD4">
      <w:pPr>
        <w:ind w:firstLine="709"/>
        <w:jc w:val="right"/>
      </w:pPr>
      <w:r w:rsidRPr="00B2542E">
        <w:lastRenderedPageBreak/>
        <w:t>atkarībā no līguma veida</w:t>
      </w:r>
      <w:r w:rsidRPr="00DF2CD4">
        <w:t xml:space="preserve"> </w:t>
      </w:r>
    </w:p>
    <w:tbl>
      <w:tblPr>
        <w:tblW w:w="9067" w:type="dxa"/>
        <w:tblLook w:val="04A0" w:firstRow="1" w:lastRow="0" w:firstColumn="1" w:lastColumn="0" w:noHBand="0" w:noVBand="1"/>
      </w:tblPr>
      <w:tblGrid>
        <w:gridCol w:w="1129"/>
        <w:gridCol w:w="1985"/>
        <w:gridCol w:w="1417"/>
        <w:gridCol w:w="1418"/>
        <w:gridCol w:w="1559"/>
        <w:gridCol w:w="1559"/>
      </w:tblGrid>
      <w:tr w:rsidR="00E60F91" w14:paraId="4E22739A" w14:textId="77777777" w:rsidTr="00E60F91">
        <w:trPr>
          <w:trHeight w:val="900"/>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1AF2C8" w14:textId="77777777" w:rsidR="00E60F91" w:rsidRPr="00E60F91" w:rsidRDefault="00E60F91">
            <w:pPr>
              <w:rPr>
                <w:color w:val="000000"/>
                <w:sz w:val="22"/>
                <w:szCs w:val="22"/>
              </w:rPr>
            </w:pPr>
            <w:r w:rsidRPr="00E60F91">
              <w:rPr>
                <w:color w:val="000000"/>
                <w:sz w:val="22"/>
                <w:szCs w:val="22"/>
              </w:rPr>
              <w:t>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19E0E004" w14:textId="77777777" w:rsidR="00E60F91" w:rsidRPr="00E60F91" w:rsidRDefault="00E60F91">
            <w:pPr>
              <w:rPr>
                <w:color w:val="000000"/>
                <w:sz w:val="22"/>
                <w:szCs w:val="22"/>
              </w:rPr>
            </w:pPr>
            <w:r w:rsidRPr="00E60F91">
              <w:rPr>
                <w:color w:val="000000"/>
                <w:sz w:val="22"/>
                <w:szCs w:val="22"/>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2FEA895" w14:textId="77777777" w:rsidR="00E60F91" w:rsidRPr="00E60F91" w:rsidRDefault="00E60F91" w:rsidP="00E60F91">
            <w:pPr>
              <w:jc w:val="center"/>
              <w:rPr>
                <w:color w:val="000000"/>
                <w:sz w:val="22"/>
                <w:szCs w:val="22"/>
              </w:rPr>
            </w:pPr>
            <w:r w:rsidRPr="00E60F91">
              <w:rPr>
                <w:color w:val="000000"/>
                <w:sz w:val="22"/>
                <w:szCs w:val="22"/>
              </w:rPr>
              <w:t>Koncesijas līgumi</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E963FA2" w14:textId="00F1EBE0" w:rsidR="00E60F91" w:rsidRPr="00E60F91" w:rsidRDefault="00E60F91" w:rsidP="00E60F91">
            <w:pPr>
              <w:jc w:val="center"/>
              <w:rPr>
                <w:color w:val="000000"/>
                <w:sz w:val="22"/>
                <w:szCs w:val="22"/>
              </w:rPr>
            </w:pPr>
            <w:r w:rsidRPr="00E60F91">
              <w:rPr>
                <w:color w:val="000000"/>
                <w:sz w:val="22"/>
                <w:szCs w:val="22"/>
              </w:rPr>
              <w:t>Atklāt</w:t>
            </w:r>
            <w:r>
              <w:rPr>
                <w:color w:val="000000"/>
                <w:sz w:val="22"/>
                <w:szCs w:val="22"/>
              </w:rPr>
              <w:t>a</w:t>
            </w:r>
            <w:r w:rsidRPr="00E60F91">
              <w:rPr>
                <w:color w:val="000000"/>
                <w:sz w:val="22"/>
                <w:szCs w:val="22"/>
              </w:rPr>
              <w:t xml:space="preserve"> konkurs</w:t>
            </w:r>
            <w:r>
              <w:rPr>
                <w:color w:val="000000"/>
                <w:sz w:val="22"/>
                <w:szCs w:val="22"/>
              </w:rPr>
              <w:t>a rezultātā noslēgtie līgumi</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45140C15" w14:textId="77777777" w:rsidR="00E60F91" w:rsidRPr="00E60F91" w:rsidRDefault="00E60F91" w:rsidP="00E60F91">
            <w:pPr>
              <w:jc w:val="center"/>
              <w:rPr>
                <w:color w:val="000000"/>
                <w:sz w:val="22"/>
                <w:szCs w:val="22"/>
              </w:rPr>
            </w:pPr>
            <w:r w:rsidRPr="00E60F91">
              <w:rPr>
                <w:color w:val="000000"/>
                <w:sz w:val="22"/>
                <w:szCs w:val="22"/>
              </w:rPr>
              <w:t>t.sk. īstermiņa līgumi</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2D20607D" w14:textId="77777777" w:rsidR="00E60F91" w:rsidRPr="00E60F91" w:rsidRDefault="00E60F91" w:rsidP="00E60F91">
            <w:pPr>
              <w:jc w:val="center"/>
              <w:rPr>
                <w:color w:val="000000"/>
                <w:sz w:val="22"/>
                <w:szCs w:val="22"/>
              </w:rPr>
            </w:pPr>
            <w:r w:rsidRPr="00E60F91">
              <w:rPr>
                <w:color w:val="000000"/>
                <w:sz w:val="22"/>
                <w:szCs w:val="22"/>
              </w:rPr>
              <w:t>t.sk. ilgtermiņa līgumi*</w:t>
            </w:r>
          </w:p>
        </w:tc>
      </w:tr>
      <w:tr w:rsidR="00E60F91" w14:paraId="5199AF59" w14:textId="77777777" w:rsidTr="00E60F91">
        <w:trPr>
          <w:trHeight w:val="300"/>
        </w:trPr>
        <w:tc>
          <w:tcPr>
            <w:tcW w:w="112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AB9ACC5" w14:textId="77777777" w:rsidR="00E60F91" w:rsidRPr="00E60F91" w:rsidRDefault="00E60F91">
            <w:pPr>
              <w:jc w:val="center"/>
              <w:rPr>
                <w:color w:val="000000"/>
                <w:sz w:val="22"/>
                <w:szCs w:val="22"/>
              </w:rPr>
            </w:pPr>
            <w:r w:rsidRPr="00E60F91">
              <w:rPr>
                <w:color w:val="000000"/>
                <w:sz w:val="22"/>
                <w:szCs w:val="22"/>
              </w:rPr>
              <w:t>2019.gads</w:t>
            </w:r>
          </w:p>
        </w:tc>
        <w:tc>
          <w:tcPr>
            <w:tcW w:w="1985" w:type="dxa"/>
            <w:tcBorders>
              <w:top w:val="nil"/>
              <w:left w:val="nil"/>
              <w:bottom w:val="single" w:sz="4" w:space="0" w:color="auto"/>
              <w:right w:val="single" w:sz="4" w:space="0" w:color="auto"/>
            </w:tcBorders>
            <w:shd w:val="clear" w:color="auto" w:fill="auto"/>
            <w:noWrap/>
            <w:vAlign w:val="center"/>
            <w:hideMark/>
          </w:tcPr>
          <w:p w14:paraId="6025C287" w14:textId="4B337D4A" w:rsidR="00E60F91" w:rsidRPr="00E60F91" w:rsidRDefault="00E60F91" w:rsidP="00E60F91">
            <w:pPr>
              <w:rPr>
                <w:color w:val="000000"/>
                <w:sz w:val="22"/>
                <w:szCs w:val="22"/>
              </w:rPr>
            </w:pPr>
            <w:r w:rsidRPr="00E60F91">
              <w:rPr>
                <w:color w:val="000000"/>
                <w:sz w:val="22"/>
                <w:szCs w:val="22"/>
              </w:rPr>
              <w:t>Nobraukums</w:t>
            </w:r>
            <w:r w:rsidR="00B01A5B">
              <w:rPr>
                <w:color w:val="000000"/>
                <w:sz w:val="22"/>
                <w:szCs w:val="22"/>
              </w:rPr>
              <w:t>, km</w:t>
            </w:r>
          </w:p>
        </w:tc>
        <w:tc>
          <w:tcPr>
            <w:tcW w:w="1417" w:type="dxa"/>
            <w:tcBorders>
              <w:top w:val="nil"/>
              <w:left w:val="nil"/>
              <w:bottom w:val="single" w:sz="4" w:space="0" w:color="auto"/>
              <w:right w:val="single" w:sz="4" w:space="0" w:color="auto"/>
            </w:tcBorders>
            <w:shd w:val="clear" w:color="auto" w:fill="auto"/>
            <w:noWrap/>
            <w:vAlign w:val="center"/>
            <w:hideMark/>
          </w:tcPr>
          <w:p w14:paraId="23A4A164" w14:textId="77777777" w:rsidR="00E60F91" w:rsidRPr="00E60F91" w:rsidRDefault="00E60F91" w:rsidP="00E60F91">
            <w:pPr>
              <w:jc w:val="center"/>
              <w:rPr>
                <w:color w:val="000000"/>
                <w:sz w:val="22"/>
                <w:szCs w:val="22"/>
              </w:rPr>
            </w:pPr>
            <w:r w:rsidRPr="00E60F91">
              <w:rPr>
                <w:color w:val="000000"/>
                <w:sz w:val="22"/>
                <w:szCs w:val="22"/>
              </w:rPr>
              <w:t>55 432 003</w:t>
            </w:r>
          </w:p>
        </w:tc>
        <w:tc>
          <w:tcPr>
            <w:tcW w:w="1418" w:type="dxa"/>
            <w:tcBorders>
              <w:top w:val="nil"/>
              <w:left w:val="nil"/>
              <w:bottom w:val="single" w:sz="4" w:space="0" w:color="auto"/>
              <w:right w:val="single" w:sz="4" w:space="0" w:color="auto"/>
            </w:tcBorders>
            <w:shd w:val="clear" w:color="auto" w:fill="auto"/>
            <w:noWrap/>
            <w:vAlign w:val="center"/>
            <w:hideMark/>
          </w:tcPr>
          <w:p w14:paraId="7DD045D4" w14:textId="77777777" w:rsidR="00E60F91" w:rsidRPr="00E60F91" w:rsidRDefault="00E60F91" w:rsidP="00E60F91">
            <w:pPr>
              <w:jc w:val="center"/>
              <w:rPr>
                <w:color w:val="000000"/>
                <w:sz w:val="22"/>
                <w:szCs w:val="22"/>
              </w:rPr>
            </w:pPr>
            <w:r w:rsidRPr="00E60F91">
              <w:rPr>
                <w:color w:val="000000"/>
                <w:sz w:val="22"/>
                <w:szCs w:val="22"/>
              </w:rPr>
              <w:t>22 792 000</w:t>
            </w:r>
          </w:p>
        </w:tc>
        <w:tc>
          <w:tcPr>
            <w:tcW w:w="1559" w:type="dxa"/>
            <w:tcBorders>
              <w:top w:val="nil"/>
              <w:left w:val="nil"/>
              <w:bottom w:val="single" w:sz="4" w:space="0" w:color="auto"/>
              <w:right w:val="single" w:sz="4" w:space="0" w:color="auto"/>
            </w:tcBorders>
            <w:shd w:val="clear" w:color="auto" w:fill="auto"/>
            <w:noWrap/>
            <w:vAlign w:val="center"/>
            <w:hideMark/>
          </w:tcPr>
          <w:p w14:paraId="3A13C150" w14:textId="332F7585" w:rsidR="00E60F91" w:rsidRPr="00E60F91" w:rsidRDefault="00E60F91" w:rsidP="00E60F91">
            <w:pPr>
              <w:jc w:val="center"/>
              <w:rPr>
                <w:color w:val="000000"/>
                <w:sz w:val="22"/>
                <w:szCs w:val="22"/>
              </w:rPr>
            </w:pPr>
          </w:p>
        </w:tc>
        <w:tc>
          <w:tcPr>
            <w:tcW w:w="1559" w:type="dxa"/>
            <w:tcBorders>
              <w:top w:val="nil"/>
              <w:left w:val="nil"/>
              <w:bottom w:val="single" w:sz="4" w:space="0" w:color="auto"/>
              <w:right w:val="single" w:sz="4" w:space="0" w:color="auto"/>
            </w:tcBorders>
            <w:shd w:val="clear" w:color="auto" w:fill="auto"/>
            <w:noWrap/>
            <w:vAlign w:val="center"/>
            <w:hideMark/>
          </w:tcPr>
          <w:p w14:paraId="22EBF819" w14:textId="3EBC4542" w:rsidR="00E60F91" w:rsidRPr="00E60F91" w:rsidRDefault="00E60F91" w:rsidP="00E60F91">
            <w:pPr>
              <w:jc w:val="center"/>
              <w:rPr>
                <w:color w:val="000000"/>
                <w:sz w:val="22"/>
                <w:szCs w:val="22"/>
              </w:rPr>
            </w:pPr>
          </w:p>
        </w:tc>
      </w:tr>
      <w:tr w:rsidR="00E60F91" w14:paraId="1627A597" w14:textId="77777777" w:rsidTr="00E60F91">
        <w:trPr>
          <w:trHeight w:val="300"/>
        </w:trPr>
        <w:tc>
          <w:tcPr>
            <w:tcW w:w="1129" w:type="dxa"/>
            <w:vMerge/>
            <w:tcBorders>
              <w:top w:val="nil"/>
              <w:left w:val="single" w:sz="4" w:space="0" w:color="auto"/>
              <w:bottom w:val="single" w:sz="4" w:space="0" w:color="auto"/>
              <w:right w:val="single" w:sz="4" w:space="0" w:color="auto"/>
            </w:tcBorders>
            <w:vAlign w:val="center"/>
            <w:hideMark/>
          </w:tcPr>
          <w:p w14:paraId="0FE8C220" w14:textId="77777777" w:rsidR="00E60F91" w:rsidRPr="00E60F91" w:rsidRDefault="00E60F91">
            <w:pPr>
              <w:rPr>
                <w:color w:val="000000"/>
                <w:sz w:val="22"/>
                <w:szCs w:val="22"/>
              </w:rPr>
            </w:pPr>
          </w:p>
        </w:tc>
        <w:tc>
          <w:tcPr>
            <w:tcW w:w="1985" w:type="dxa"/>
            <w:tcBorders>
              <w:top w:val="nil"/>
              <w:left w:val="nil"/>
              <w:bottom w:val="single" w:sz="4" w:space="0" w:color="auto"/>
              <w:right w:val="single" w:sz="4" w:space="0" w:color="auto"/>
            </w:tcBorders>
            <w:shd w:val="clear" w:color="auto" w:fill="auto"/>
            <w:noWrap/>
            <w:vAlign w:val="center"/>
            <w:hideMark/>
          </w:tcPr>
          <w:p w14:paraId="6F6C0277" w14:textId="76EA8ED3" w:rsidR="00E60F91" w:rsidRPr="00E60F91" w:rsidRDefault="00E60F91" w:rsidP="00E60F91">
            <w:pPr>
              <w:rPr>
                <w:color w:val="000000"/>
                <w:sz w:val="22"/>
                <w:szCs w:val="22"/>
              </w:rPr>
            </w:pPr>
            <w:r w:rsidRPr="00E60F91">
              <w:rPr>
                <w:color w:val="000000"/>
                <w:sz w:val="22"/>
                <w:szCs w:val="22"/>
              </w:rPr>
              <w:t>Kompensējamās izmaksas</w:t>
            </w:r>
            <w:bookmarkStart w:id="4" w:name="_Hlk128654148"/>
            <w:r w:rsidR="00B01A5B">
              <w:rPr>
                <w:color w:val="000000"/>
                <w:sz w:val="22"/>
                <w:szCs w:val="22"/>
              </w:rPr>
              <w:t>,</w:t>
            </w:r>
            <w:r w:rsidRPr="00E60F91">
              <w:rPr>
                <w:color w:val="000000"/>
                <w:sz w:val="22"/>
                <w:szCs w:val="22"/>
              </w:rPr>
              <w:t xml:space="preserve"> </w:t>
            </w:r>
            <w:r w:rsidR="00B01A5B">
              <w:rPr>
                <w:color w:val="000000"/>
                <w:sz w:val="22"/>
                <w:szCs w:val="22"/>
              </w:rPr>
              <w:t>EUR/</w:t>
            </w:r>
            <w:r w:rsidRPr="00E60F91">
              <w:rPr>
                <w:color w:val="000000"/>
                <w:sz w:val="22"/>
                <w:szCs w:val="22"/>
              </w:rPr>
              <w:t>km</w:t>
            </w:r>
            <w:bookmarkEnd w:id="4"/>
          </w:p>
        </w:tc>
        <w:tc>
          <w:tcPr>
            <w:tcW w:w="1417" w:type="dxa"/>
            <w:tcBorders>
              <w:top w:val="nil"/>
              <w:left w:val="nil"/>
              <w:bottom w:val="single" w:sz="4" w:space="0" w:color="auto"/>
              <w:right w:val="single" w:sz="4" w:space="0" w:color="auto"/>
            </w:tcBorders>
            <w:shd w:val="clear" w:color="auto" w:fill="auto"/>
            <w:noWrap/>
            <w:vAlign w:val="center"/>
            <w:hideMark/>
          </w:tcPr>
          <w:p w14:paraId="1DA77BF4" w14:textId="79280C91" w:rsidR="00E60F91" w:rsidRPr="00E60F91" w:rsidRDefault="00E60F91" w:rsidP="00E60F91">
            <w:pPr>
              <w:jc w:val="center"/>
              <w:rPr>
                <w:color w:val="000000"/>
                <w:sz w:val="22"/>
                <w:szCs w:val="22"/>
              </w:rPr>
            </w:pPr>
            <w:r w:rsidRPr="00E60F91">
              <w:rPr>
                <w:color w:val="000000"/>
                <w:sz w:val="22"/>
                <w:szCs w:val="22"/>
              </w:rPr>
              <w:t>1</w:t>
            </w:r>
            <w:r w:rsidR="00815359">
              <w:rPr>
                <w:color w:val="000000"/>
                <w:sz w:val="22"/>
                <w:szCs w:val="22"/>
              </w:rPr>
              <w:t>,</w:t>
            </w:r>
            <w:r w:rsidRPr="00E60F91">
              <w:rPr>
                <w:color w:val="000000"/>
                <w:sz w:val="22"/>
                <w:szCs w:val="22"/>
              </w:rPr>
              <w:t>107</w:t>
            </w:r>
          </w:p>
        </w:tc>
        <w:tc>
          <w:tcPr>
            <w:tcW w:w="1418" w:type="dxa"/>
            <w:tcBorders>
              <w:top w:val="nil"/>
              <w:left w:val="nil"/>
              <w:bottom w:val="single" w:sz="4" w:space="0" w:color="auto"/>
              <w:right w:val="single" w:sz="4" w:space="0" w:color="auto"/>
            </w:tcBorders>
            <w:shd w:val="clear" w:color="auto" w:fill="auto"/>
            <w:noWrap/>
            <w:vAlign w:val="center"/>
            <w:hideMark/>
          </w:tcPr>
          <w:p w14:paraId="3D4B08B2" w14:textId="43B5877C" w:rsidR="00E60F91" w:rsidRPr="00E60F91" w:rsidRDefault="00E60F91" w:rsidP="00E60F91">
            <w:pPr>
              <w:jc w:val="center"/>
              <w:rPr>
                <w:color w:val="000000"/>
                <w:sz w:val="22"/>
                <w:szCs w:val="22"/>
              </w:rPr>
            </w:pPr>
            <w:r w:rsidRPr="00E60F91">
              <w:rPr>
                <w:color w:val="000000"/>
                <w:sz w:val="22"/>
                <w:szCs w:val="22"/>
              </w:rPr>
              <w:t>0</w:t>
            </w:r>
            <w:r w:rsidR="00815359">
              <w:rPr>
                <w:color w:val="000000"/>
                <w:sz w:val="22"/>
                <w:szCs w:val="22"/>
              </w:rPr>
              <w:t>,</w:t>
            </w:r>
            <w:r w:rsidRPr="00E60F91">
              <w:rPr>
                <w:color w:val="000000"/>
                <w:sz w:val="22"/>
                <w:szCs w:val="22"/>
              </w:rPr>
              <w:t>858</w:t>
            </w:r>
          </w:p>
        </w:tc>
        <w:tc>
          <w:tcPr>
            <w:tcW w:w="1559" w:type="dxa"/>
            <w:tcBorders>
              <w:top w:val="nil"/>
              <w:left w:val="nil"/>
              <w:bottom w:val="single" w:sz="4" w:space="0" w:color="auto"/>
              <w:right w:val="single" w:sz="4" w:space="0" w:color="auto"/>
            </w:tcBorders>
            <w:shd w:val="clear" w:color="auto" w:fill="auto"/>
            <w:noWrap/>
            <w:vAlign w:val="center"/>
            <w:hideMark/>
          </w:tcPr>
          <w:p w14:paraId="02997254" w14:textId="57B9DBED" w:rsidR="00E60F91" w:rsidRPr="00E60F91" w:rsidRDefault="00E60F91" w:rsidP="00E60F91">
            <w:pPr>
              <w:jc w:val="center"/>
              <w:rPr>
                <w:color w:val="000000"/>
                <w:sz w:val="22"/>
                <w:szCs w:val="22"/>
              </w:rPr>
            </w:pPr>
          </w:p>
        </w:tc>
        <w:tc>
          <w:tcPr>
            <w:tcW w:w="1559" w:type="dxa"/>
            <w:tcBorders>
              <w:top w:val="nil"/>
              <w:left w:val="nil"/>
              <w:bottom w:val="single" w:sz="4" w:space="0" w:color="auto"/>
              <w:right w:val="single" w:sz="4" w:space="0" w:color="auto"/>
            </w:tcBorders>
            <w:shd w:val="clear" w:color="auto" w:fill="auto"/>
            <w:noWrap/>
            <w:vAlign w:val="center"/>
            <w:hideMark/>
          </w:tcPr>
          <w:p w14:paraId="53C3B5F0" w14:textId="103702F8" w:rsidR="00E60F91" w:rsidRPr="00E60F91" w:rsidRDefault="00E60F91" w:rsidP="00E60F91">
            <w:pPr>
              <w:jc w:val="center"/>
              <w:rPr>
                <w:color w:val="000000"/>
                <w:sz w:val="22"/>
                <w:szCs w:val="22"/>
              </w:rPr>
            </w:pPr>
          </w:p>
        </w:tc>
      </w:tr>
      <w:tr w:rsidR="00E60F91" w14:paraId="12E37739" w14:textId="77777777" w:rsidTr="00E60F91">
        <w:trPr>
          <w:trHeight w:val="300"/>
        </w:trPr>
        <w:tc>
          <w:tcPr>
            <w:tcW w:w="112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A083D78" w14:textId="77777777" w:rsidR="00E60F91" w:rsidRPr="00E60F91" w:rsidRDefault="00E60F91">
            <w:pPr>
              <w:jc w:val="center"/>
              <w:rPr>
                <w:color w:val="000000"/>
                <w:sz w:val="22"/>
                <w:szCs w:val="22"/>
              </w:rPr>
            </w:pPr>
            <w:r w:rsidRPr="00E60F91">
              <w:rPr>
                <w:color w:val="000000"/>
                <w:sz w:val="22"/>
                <w:szCs w:val="22"/>
              </w:rPr>
              <w:t>2020.gads</w:t>
            </w:r>
          </w:p>
        </w:tc>
        <w:tc>
          <w:tcPr>
            <w:tcW w:w="1985" w:type="dxa"/>
            <w:tcBorders>
              <w:top w:val="nil"/>
              <w:left w:val="nil"/>
              <w:bottom w:val="single" w:sz="4" w:space="0" w:color="auto"/>
              <w:right w:val="single" w:sz="4" w:space="0" w:color="auto"/>
            </w:tcBorders>
            <w:shd w:val="clear" w:color="auto" w:fill="auto"/>
            <w:noWrap/>
            <w:vAlign w:val="center"/>
            <w:hideMark/>
          </w:tcPr>
          <w:p w14:paraId="792ACD20" w14:textId="2AE83003" w:rsidR="00E60F91" w:rsidRPr="00E60F91" w:rsidRDefault="00E60F91" w:rsidP="00E60F91">
            <w:pPr>
              <w:rPr>
                <w:color w:val="000000"/>
                <w:sz w:val="22"/>
                <w:szCs w:val="22"/>
              </w:rPr>
            </w:pPr>
            <w:r w:rsidRPr="00E60F91">
              <w:rPr>
                <w:color w:val="000000"/>
                <w:sz w:val="22"/>
                <w:szCs w:val="22"/>
              </w:rPr>
              <w:t>Nobraukums</w:t>
            </w:r>
            <w:r w:rsidR="00B01A5B">
              <w:rPr>
                <w:color w:val="000000"/>
                <w:sz w:val="22"/>
                <w:szCs w:val="22"/>
              </w:rPr>
              <w:t>, km</w:t>
            </w:r>
          </w:p>
        </w:tc>
        <w:tc>
          <w:tcPr>
            <w:tcW w:w="1417" w:type="dxa"/>
            <w:tcBorders>
              <w:top w:val="nil"/>
              <w:left w:val="nil"/>
              <w:bottom w:val="single" w:sz="4" w:space="0" w:color="auto"/>
              <w:right w:val="single" w:sz="4" w:space="0" w:color="auto"/>
            </w:tcBorders>
            <w:shd w:val="clear" w:color="auto" w:fill="auto"/>
            <w:noWrap/>
            <w:vAlign w:val="center"/>
            <w:hideMark/>
          </w:tcPr>
          <w:p w14:paraId="7A0C4F17" w14:textId="77777777" w:rsidR="00E60F91" w:rsidRPr="00E60F91" w:rsidRDefault="00E60F91" w:rsidP="00E60F91">
            <w:pPr>
              <w:jc w:val="center"/>
              <w:rPr>
                <w:color w:val="000000"/>
                <w:sz w:val="22"/>
                <w:szCs w:val="22"/>
              </w:rPr>
            </w:pPr>
            <w:r w:rsidRPr="00E60F91">
              <w:rPr>
                <w:color w:val="000000"/>
                <w:sz w:val="22"/>
                <w:szCs w:val="22"/>
              </w:rPr>
              <w:t>51 339 663</w:t>
            </w:r>
          </w:p>
        </w:tc>
        <w:tc>
          <w:tcPr>
            <w:tcW w:w="1418" w:type="dxa"/>
            <w:tcBorders>
              <w:top w:val="nil"/>
              <w:left w:val="nil"/>
              <w:bottom w:val="single" w:sz="4" w:space="0" w:color="auto"/>
              <w:right w:val="single" w:sz="4" w:space="0" w:color="auto"/>
            </w:tcBorders>
            <w:shd w:val="clear" w:color="auto" w:fill="auto"/>
            <w:noWrap/>
            <w:vAlign w:val="center"/>
            <w:hideMark/>
          </w:tcPr>
          <w:p w14:paraId="454318F8" w14:textId="77777777" w:rsidR="00E60F91" w:rsidRPr="00E60F91" w:rsidRDefault="00E60F91" w:rsidP="00E60F91">
            <w:pPr>
              <w:jc w:val="center"/>
              <w:rPr>
                <w:color w:val="000000"/>
                <w:sz w:val="22"/>
                <w:szCs w:val="22"/>
              </w:rPr>
            </w:pPr>
            <w:r w:rsidRPr="00E60F91">
              <w:rPr>
                <w:color w:val="000000"/>
                <w:sz w:val="22"/>
                <w:szCs w:val="22"/>
              </w:rPr>
              <w:t>22 585 276</w:t>
            </w:r>
          </w:p>
        </w:tc>
        <w:tc>
          <w:tcPr>
            <w:tcW w:w="1559" w:type="dxa"/>
            <w:tcBorders>
              <w:top w:val="nil"/>
              <w:left w:val="nil"/>
              <w:bottom w:val="single" w:sz="4" w:space="0" w:color="auto"/>
              <w:right w:val="single" w:sz="4" w:space="0" w:color="auto"/>
            </w:tcBorders>
            <w:shd w:val="clear" w:color="auto" w:fill="auto"/>
            <w:noWrap/>
            <w:vAlign w:val="center"/>
            <w:hideMark/>
          </w:tcPr>
          <w:p w14:paraId="3A21C66C" w14:textId="29799ED7" w:rsidR="00E60F91" w:rsidRPr="00E60F91" w:rsidRDefault="00E60F91" w:rsidP="00E60F91">
            <w:pPr>
              <w:jc w:val="center"/>
              <w:rPr>
                <w:color w:val="000000"/>
                <w:sz w:val="22"/>
                <w:szCs w:val="22"/>
              </w:rPr>
            </w:pPr>
          </w:p>
        </w:tc>
        <w:tc>
          <w:tcPr>
            <w:tcW w:w="1559" w:type="dxa"/>
            <w:tcBorders>
              <w:top w:val="nil"/>
              <w:left w:val="nil"/>
              <w:bottom w:val="single" w:sz="4" w:space="0" w:color="auto"/>
              <w:right w:val="single" w:sz="4" w:space="0" w:color="auto"/>
            </w:tcBorders>
            <w:shd w:val="clear" w:color="auto" w:fill="auto"/>
            <w:noWrap/>
            <w:vAlign w:val="center"/>
            <w:hideMark/>
          </w:tcPr>
          <w:p w14:paraId="3CC5FF64" w14:textId="39CF612B" w:rsidR="00E60F91" w:rsidRPr="00E60F91" w:rsidRDefault="00E60F91" w:rsidP="00E60F91">
            <w:pPr>
              <w:jc w:val="center"/>
              <w:rPr>
                <w:color w:val="000000"/>
                <w:sz w:val="22"/>
                <w:szCs w:val="22"/>
              </w:rPr>
            </w:pPr>
          </w:p>
        </w:tc>
      </w:tr>
      <w:tr w:rsidR="00E60F91" w14:paraId="602C3CD2" w14:textId="77777777" w:rsidTr="00E60F91">
        <w:trPr>
          <w:trHeight w:val="300"/>
        </w:trPr>
        <w:tc>
          <w:tcPr>
            <w:tcW w:w="1129" w:type="dxa"/>
            <w:vMerge/>
            <w:tcBorders>
              <w:top w:val="nil"/>
              <w:left w:val="single" w:sz="4" w:space="0" w:color="auto"/>
              <w:bottom w:val="single" w:sz="4" w:space="0" w:color="auto"/>
              <w:right w:val="single" w:sz="4" w:space="0" w:color="auto"/>
            </w:tcBorders>
            <w:vAlign w:val="center"/>
            <w:hideMark/>
          </w:tcPr>
          <w:p w14:paraId="3B617BA8" w14:textId="77777777" w:rsidR="00E60F91" w:rsidRPr="00E60F91" w:rsidRDefault="00E60F91">
            <w:pPr>
              <w:rPr>
                <w:color w:val="000000"/>
                <w:sz w:val="22"/>
                <w:szCs w:val="22"/>
              </w:rPr>
            </w:pPr>
          </w:p>
        </w:tc>
        <w:tc>
          <w:tcPr>
            <w:tcW w:w="1985" w:type="dxa"/>
            <w:tcBorders>
              <w:top w:val="nil"/>
              <w:left w:val="nil"/>
              <w:bottom w:val="single" w:sz="4" w:space="0" w:color="auto"/>
              <w:right w:val="single" w:sz="4" w:space="0" w:color="auto"/>
            </w:tcBorders>
            <w:shd w:val="clear" w:color="auto" w:fill="auto"/>
            <w:noWrap/>
            <w:vAlign w:val="center"/>
            <w:hideMark/>
          </w:tcPr>
          <w:p w14:paraId="25D1AD7B" w14:textId="650C873C" w:rsidR="00E60F91" w:rsidRPr="00E60F91" w:rsidRDefault="00E60F91" w:rsidP="00E60F91">
            <w:pPr>
              <w:rPr>
                <w:color w:val="000000"/>
                <w:sz w:val="22"/>
                <w:szCs w:val="22"/>
              </w:rPr>
            </w:pPr>
            <w:r w:rsidRPr="00E60F91">
              <w:rPr>
                <w:color w:val="000000"/>
                <w:sz w:val="22"/>
                <w:szCs w:val="22"/>
              </w:rPr>
              <w:t>Kompensējamās izmaksas</w:t>
            </w:r>
            <w:r w:rsidR="00B01A5B">
              <w:rPr>
                <w:color w:val="000000"/>
                <w:sz w:val="22"/>
                <w:szCs w:val="22"/>
              </w:rPr>
              <w:t>,</w:t>
            </w:r>
            <w:r w:rsidR="00B01A5B" w:rsidRPr="00E60F91">
              <w:rPr>
                <w:color w:val="000000"/>
                <w:sz w:val="22"/>
                <w:szCs w:val="22"/>
              </w:rPr>
              <w:t xml:space="preserve"> </w:t>
            </w:r>
            <w:r w:rsidR="00B01A5B">
              <w:rPr>
                <w:color w:val="000000"/>
                <w:sz w:val="22"/>
                <w:szCs w:val="22"/>
              </w:rPr>
              <w:t>EUR/</w:t>
            </w:r>
            <w:r w:rsidR="00B01A5B" w:rsidRPr="00E60F91">
              <w:rPr>
                <w:color w:val="000000"/>
                <w:sz w:val="22"/>
                <w:szCs w:val="22"/>
              </w:rPr>
              <w:t>km</w:t>
            </w:r>
          </w:p>
        </w:tc>
        <w:tc>
          <w:tcPr>
            <w:tcW w:w="1417" w:type="dxa"/>
            <w:tcBorders>
              <w:top w:val="nil"/>
              <w:left w:val="nil"/>
              <w:bottom w:val="single" w:sz="4" w:space="0" w:color="auto"/>
              <w:right w:val="single" w:sz="4" w:space="0" w:color="auto"/>
            </w:tcBorders>
            <w:shd w:val="clear" w:color="auto" w:fill="auto"/>
            <w:noWrap/>
            <w:vAlign w:val="center"/>
            <w:hideMark/>
          </w:tcPr>
          <w:p w14:paraId="77F90C2A" w14:textId="0819DFE4" w:rsidR="00E60F91" w:rsidRPr="00E60F91" w:rsidRDefault="00E60F91" w:rsidP="00E60F91">
            <w:pPr>
              <w:jc w:val="center"/>
              <w:rPr>
                <w:color w:val="000000"/>
                <w:sz w:val="22"/>
                <w:szCs w:val="22"/>
              </w:rPr>
            </w:pPr>
            <w:r w:rsidRPr="00E60F91">
              <w:rPr>
                <w:color w:val="000000"/>
                <w:sz w:val="22"/>
                <w:szCs w:val="22"/>
              </w:rPr>
              <w:t>1</w:t>
            </w:r>
            <w:r w:rsidR="00815359">
              <w:rPr>
                <w:color w:val="000000"/>
                <w:sz w:val="22"/>
                <w:szCs w:val="22"/>
              </w:rPr>
              <w:t>,</w:t>
            </w:r>
            <w:r w:rsidRPr="00E60F91">
              <w:rPr>
                <w:color w:val="000000"/>
                <w:sz w:val="22"/>
                <w:szCs w:val="22"/>
              </w:rPr>
              <w:t>129</w:t>
            </w:r>
          </w:p>
        </w:tc>
        <w:tc>
          <w:tcPr>
            <w:tcW w:w="1418" w:type="dxa"/>
            <w:tcBorders>
              <w:top w:val="nil"/>
              <w:left w:val="nil"/>
              <w:bottom w:val="single" w:sz="4" w:space="0" w:color="auto"/>
              <w:right w:val="single" w:sz="4" w:space="0" w:color="auto"/>
            </w:tcBorders>
            <w:shd w:val="clear" w:color="auto" w:fill="auto"/>
            <w:noWrap/>
            <w:vAlign w:val="center"/>
            <w:hideMark/>
          </w:tcPr>
          <w:p w14:paraId="2854A836" w14:textId="44F836AD" w:rsidR="00E60F91" w:rsidRPr="00E60F91" w:rsidRDefault="00E60F91" w:rsidP="00E60F91">
            <w:pPr>
              <w:jc w:val="center"/>
              <w:rPr>
                <w:color w:val="000000"/>
                <w:sz w:val="22"/>
                <w:szCs w:val="22"/>
              </w:rPr>
            </w:pPr>
            <w:r w:rsidRPr="00E60F91">
              <w:rPr>
                <w:color w:val="000000"/>
                <w:sz w:val="22"/>
                <w:szCs w:val="22"/>
              </w:rPr>
              <w:t>0</w:t>
            </w:r>
            <w:r w:rsidR="00815359">
              <w:rPr>
                <w:color w:val="000000"/>
                <w:sz w:val="22"/>
                <w:szCs w:val="22"/>
              </w:rPr>
              <w:t>,</w:t>
            </w:r>
            <w:r w:rsidRPr="00E60F91">
              <w:rPr>
                <w:color w:val="000000"/>
                <w:sz w:val="22"/>
                <w:szCs w:val="22"/>
              </w:rPr>
              <w:t>907</w:t>
            </w:r>
          </w:p>
        </w:tc>
        <w:tc>
          <w:tcPr>
            <w:tcW w:w="1559" w:type="dxa"/>
            <w:tcBorders>
              <w:top w:val="nil"/>
              <w:left w:val="nil"/>
              <w:bottom w:val="single" w:sz="4" w:space="0" w:color="auto"/>
              <w:right w:val="single" w:sz="4" w:space="0" w:color="auto"/>
            </w:tcBorders>
            <w:shd w:val="clear" w:color="auto" w:fill="auto"/>
            <w:noWrap/>
            <w:vAlign w:val="center"/>
            <w:hideMark/>
          </w:tcPr>
          <w:p w14:paraId="52C5EA52" w14:textId="63CF77E6" w:rsidR="00E60F91" w:rsidRPr="00E60F91" w:rsidRDefault="00E60F91" w:rsidP="00E60F91">
            <w:pPr>
              <w:jc w:val="center"/>
              <w:rPr>
                <w:color w:val="000000"/>
                <w:sz w:val="22"/>
                <w:szCs w:val="22"/>
              </w:rPr>
            </w:pPr>
          </w:p>
        </w:tc>
        <w:tc>
          <w:tcPr>
            <w:tcW w:w="1559" w:type="dxa"/>
            <w:tcBorders>
              <w:top w:val="nil"/>
              <w:left w:val="nil"/>
              <w:bottom w:val="single" w:sz="4" w:space="0" w:color="auto"/>
              <w:right w:val="single" w:sz="4" w:space="0" w:color="auto"/>
            </w:tcBorders>
            <w:shd w:val="clear" w:color="auto" w:fill="auto"/>
            <w:noWrap/>
            <w:vAlign w:val="center"/>
            <w:hideMark/>
          </w:tcPr>
          <w:p w14:paraId="0DBB294E" w14:textId="2937A51F" w:rsidR="00E60F91" w:rsidRPr="00E60F91" w:rsidRDefault="00E60F91" w:rsidP="00E60F91">
            <w:pPr>
              <w:jc w:val="center"/>
              <w:rPr>
                <w:color w:val="000000"/>
                <w:sz w:val="22"/>
                <w:szCs w:val="22"/>
              </w:rPr>
            </w:pPr>
          </w:p>
        </w:tc>
      </w:tr>
      <w:tr w:rsidR="00E60F91" w14:paraId="4E934068" w14:textId="77777777" w:rsidTr="00E60F91">
        <w:trPr>
          <w:trHeight w:val="300"/>
        </w:trPr>
        <w:tc>
          <w:tcPr>
            <w:tcW w:w="112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C2639EE" w14:textId="77777777" w:rsidR="00E60F91" w:rsidRPr="00E60F91" w:rsidRDefault="00E60F91">
            <w:pPr>
              <w:jc w:val="center"/>
              <w:rPr>
                <w:color w:val="000000"/>
                <w:sz w:val="22"/>
                <w:szCs w:val="22"/>
              </w:rPr>
            </w:pPr>
            <w:r w:rsidRPr="00E60F91">
              <w:rPr>
                <w:color w:val="000000"/>
                <w:sz w:val="22"/>
                <w:szCs w:val="22"/>
              </w:rPr>
              <w:t>2021.gads</w:t>
            </w:r>
          </w:p>
        </w:tc>
        <w:tc>
          <w:tcPr>
            <w:tcW w:w="1985" w:type="dxa"/>
            <w:tcBorders>
              <w:top w:val="nil"/>
              <w:left w:val="nil"/>
              <w:bottom w:val="single" w:sz="4" w:space="0" w:color="auto"/>
              <w:right w:val="single" w:sz="4" w:space="0" w:color="auto"/>
            </w:tcBorders>
            <w:shd w:val="clear" w:color="auto" w:fill="auto"/>
            <w:noWrap/>
            <w:vAlign w:val="center"/>
            <w:hideMark/>
          </w:tcPr>
          <w:p w14:paraId="018919AF" w14:textId="7AC387F8" w:rsidR="00E60F91" w:rsidRPr="00E60F91" w:rsidRDefault="00E60F91" w:rsidP="00E60F91">
            <w:pPr>
              <w:rPr>
                <w:color w:val="000000"/>
                <w:sz w:val="22"/>
                <w:szCs w:val="22"/>
              </w:rPr>
            </w:pPr>
            <w:r w:rsidRPr="00E60F91">
              <w:rPr>
                <w:color w:val="000000"/>
                <w:sz w:val="22"/>
                <w:szCs w:val="22"/>
              </w:rPr>
              <w:t>Nobraukums</w:t>
            </w:r>
            <w:r w:rsidR="00B01A5B">
              <w:rPr>
                <w:color w:val="000000"/>
                <w:sz w:val="22"/>
                <w:szCs w:val="22"/>
              </w:rPr>
              <w:t>, km</w:t>
            </w:r>
          </w:p>
        </w:tc>
        <w:tc>
          <w:tcPr>
            <w:tcW w:w="1417" w:type="dxa"/>
            <w:tcBorders>
              <w:top w:val="nil"/>
              <w:left w:val="nil"/>
              <w:bottom w:val="single" w:sz="4" w:space="0" w:color="auto"/>
              <w:right w:val="single" w:sz="4" w:space="0" w:color="auto"/>
            </w:tcBorders>
            <w:shd w:val="clear" w:color="auto" w:fill="auto"/>
            <w:noWrap/>
            <w:vAlign w:val="center"/>
            <w:hideMark/>
          </w:tcPr>
          <w:p w14:paraId="03AB0739" w14:textId="77777777" w:rsidR="00E60F91" w:rsidRPr="00E60F91" w:rsidRDefault="00E60F91" w:rsidP="00E60F91">
            <w:pPr>
              <w:jc w:val="center"/>
              <w:rPr>
                <w:color w:val="000000"/>
                <w:sz w:val="22"/>
                <w:szCs w:val="22"/>
              </w:rPr>
            </w:pPr>
            <w:r w:rsidRPr="00E60F91">
              <w:rPr>
                <w:color w:val="000000"/>
                <w:sz w:val="22"/>
                <w:szCs w:val="22"/>
              </w:rPr>
              <w:t>3 669 692</w:t>
            </w:r>
          </w:p>
        </w:tc>
        <w:tc>
          <w:tcPr>
            <w:tcW w:w="1418" w:type="dxa"/>
            <w:tcBorders>
              <w:top w:val="nil"/>
              <w:left w:val="nil"/>
              <w:bottom w:val="single" w:sz="4" w:space="0" w:color="auto"/>
              <w:right w:val="single" w:sz="4" w:space="0" w:color="auto"/>
            </w:tcBorders>
            <w:shd w:val="clear" w:color="auto" w:fill="auto"/>
            <w:noWrap/>
            <w:vAlign w:val="center"/>
            <w:hideMark/>
          </w:tcPr>
          <w:p w14:paraId="5340D579" w14:textId="77777777" w:rsidR="00E60F91" w:rsidRPr="00E60F91" w:rsidRDefault="00E60F91" w:rsidP="00E60F91">
            <w:pPr>
              <w:jc w:val="center"/>
              <w:rPr>
                <w:color w:val="000000"/>
                <w:sz w:val="22"/>
                <w:szCs w:val="22"/>
              </w:rPr>
            </w:pPr>
            <w:r w:rsidRPr="00E60F91">
              <w:rPr>
                <w:color w:val="000000"/>
                <w:sz w:val="22"/>
                <w:szCs w:val="22"/>
              </w:rPr>
              <w:t>69 132 382</w:t>
            </w:r>
          </w:p>
        </w:tc>
        <w:tc>
          <w:tcPr>
            <w:tcW w:w="1559" w:type="dxa"/>
            <w:tcBorders>
              <w:top w:val="nil"/>
              <w:left w:val="nil"/>
              <w:bottom w:val="single" w:sz="4" w:space="0" w:color="auto"/>
              <w:right w:val="single" w:sz="4" w:space="0" w:color="auto"/>
            </w:tcBorders>
            <w:shd w:val="clear" w:color="auto" w:fill="auto"/>
            <w:noWrap/>
            <w:vAlign w:val="center"/>
            <w:hideMark/>
          </w:tcPr>
          <w:p w14:paraId="794A5808" w14:textId="77777777" w:rsidR="00E60F91" w:rsidRPr="00E60F91" w:rsidRDefault="00E60F91" w:rsidP="00E60F91">
            <w:pPr>
              <w:jc w:val="center"/>
              <w:rPr>
                <w:color w:val="000000"/>
                <w:sz w:val="22"/>
                <w:szCs w:val="22"/>
              </w:rPr>
            </w:pPr>
            <w:r w:rsidRPr="00E60F91">
              <w:rPr>
                <w:color w:val="000000"/>
                <w:sz w:val="22"/>
                <w:szCs w:val="22"/>
              </w:rPr>
              <w:t>59 799 259</w:t>
            </w:r>
          </w:p>
        </w:tc>
        <w:tc>
          <w:tcPr>
            <w:tcW w:w="1559" w:type="dxa"/>
            <w:tcBorders>
              <w:top w:val="nil"/>
              <w:left w:val="nil"/>
              <w:bottom w:val="single" w:sz="4" w:space="0" w:color="auto"/>
              <w:right w:val="single" w:sz="4" w:space="0" w:color="auto"/>
            </w:tcBorders>
            <w:shd w:val="clear" w:color="auto" w:fill="auto"/>
            <w:noWrap/>
            <w:vAlign w:val="center"/>
            <w:hideMark/>
          </w:tcPr>
          <w:p w14:paraId="34201A07" w14:textId="77777777" w:rsidR="00E60F91" w:rsidRPr="00E60F91" w:rsidRDefault="00E60F91" w:rsidP="00E60F91">
            <w:pPr>
              <w:jc w:val="center"/>
              <w:rPr>
                <w:color w:val="000000"/>
                <w:sz w:val="22"/>
                <w:szCs w:val="22"/>
              </w:rPr>
            </w:pPr>
            <w:r w:rsidRPr="00E60F91">
              <w:rPr>
                <w:color w:val="000000"/>
                <w:sz w:val="22"/>
                <w:szCs w:val="22"/>
              </w:rPr>
              <w:t>9 333 123</w:t>
            </w:r>
          </w:p>
        </w:tc>
      </w:tr>
      <w:tr w:rsidR="00E60F91" w14:paraId="4838B24D" w14:textId="77777777" w:rsidTr="00E60F91">
        <w:trPr>
          <w:trHeight w:val="300"/>
        </w:trPr>
        <w:tc>
          <w:tcPr>
            <w:tcW w:w="1129" w:type="dxa"/>
            <w:vMerge/>
            <w:tcBorders>
              <w:top w:val="nil"/>
              <w:left w:val="single" w:sz="4" w:space="0" w:color="auto"/>
              <w:bottom w:val="single" w:sz="4" w:space="0" w:color="auto"/>
              <w:right w:val="single" w:sz="4" w:space="0" w:color="auto"/>
            </w:tcBorders>
            <w:vAlign w:val="center"/>
            <w:hideMark/>
          </w:tcPr>
          <w:p w14:paraId="021AA2A9" w14:textId="77777777" w:rsidR="00E60F91" w:rsidRPr="00E60F91" w:rsidRDefault="00E60F91">
            <w:pPr>
              <w:rPr>
                <w:color w:val="000000"/>
                <w:sz w:val="22"/>
                <w:szCs w:val="22"/>
              </w:rPr>
            </w:pPr>
          </w:p>
        </w:tc>
        <w:tc>
          <w:tcPr>
            <w:tcW w:w="1985" w:type="dxa"/>
            <w:tcBorders>
              <w:top w:val="nil"/>
              <w:left w:val="nil"/>
              <w:bottom w:val="single" w:sz="4" w:space="0" w:color="auto"/>
              <w:right w:val="single" w:sz="4" w:space="0" w:color="auto"/>
            </w:tcBorders>
            <w:shd w:val="clear" w:color="auto" w:fill="auto"/>
            <w:noWrap/>
            <w:vAlign w:val="center"/>
            <w:hideMark/>
          </w:tcPr>
          <w:p w14:paraId="52DEEECE" w14:textId="010C070B" w:rsidR="00E60F91" w:rsidRPr="00E60F91" w:rsidRDefault="00E60F91" w:rsidP="00E60F91">
            <w:pPr>
              <w:rPr>
                <w:color w:val="000000"/>
                <w:sz w:val="22"/>
                <w:szCs w:val="22"/>
              </w:rPr>
            </w:pPr>
            <w:r w:rsidRPr="00E60F91">
              <w:rPr>
                <w:color w:val="000000"/>
                <w:sz w:val="22"/>
                <w:szCs w:val="22"/>
              </w:rPr>
              <w:t>Kompensējamās izmaksas</w:t>
            </w:r>
            <w:r w:rsidR="00B01A5B">
              <w:rPr>
                <w:color w:val="000000"/>
                <w:sz w:val="22"/>
                <w:szCs w:val="22"/>
              </w:rPr>
              <w:t>,</w:t>
            </w:r>
            <w:r w:rsidR="00B01A5B" w:rsidRPr="00E60F91">
              <w:rPr>
                <w:color w:val="000000"/>
                <w:sz w:val="22"/>
                <w:szCs w:val="22"/>
              </w:rPr>
              <w:t xml:space="preserve"> </w:t>
            </w:r>
            <w:r w:rsidR="00B01A5B">
              <w:rPr>
                <w:color w:val="000000"/>
                <w:sz w:val="22"/>
                <w:szCs w:val="22"/>
              </w:rPr>
              <w:t>EUR/</w:t>
            </w:r>
            <w:r w:rsidR="00B01A5B" w:rsidRPr="00E60F91">
              <w:rPr>
                <w:color w:val="000000"/>
                <w:sz w:val="22"/>
                <w:szCs w:val="22"/>
              </w:rPr>
              <w:t>km</w:t>
            </w:r>
          </w:p>
        </w:tc>
        <w:tc>
          <w:tcPr>
            <w:tcW w:w="1417" w:type="dxa"/>
            <w:tcBorders>
              <w:top w:val="nil"/>
              <w:left w:val="nil"/>
              <w:bottom w:val="single" w:sz="4" w:space="0" w:color="auto"/>
              <w:right w:val="single" w:sz="4" w:space="0" w:color="auto"/>
            </w:tcBorders>
            <w:shd w:val="clear" w:color="auto" w:fill="auto"/>
            <w:noWrap/>
            <w:vAlign w:val="center"/>
            <w:hideMark/>
          </w:tcPr>
          <w:p w14:paraId="4D7C44A1" w14:textId="68593D04" w:rsidR="00E60F91" w:rsidRPr="00E60F91" w:rsidRDefault="00E60F91" w:rsidP="00E60F91">
            <w:pPr>
              <w:jc w:val="center"/>
              <w:rPr>
                <w:color w:val="000000"/>
                <w:sz w:val="22"/>
                <w:szCs w:val="22"/>
              </w:rPr>
            </w:pPr>
            <w:r w:rsidRPr="00E60F91">
              <w:rPr>
                <w:color w:val="000000"/>
                <w:sz w:val="22"/>
                <w:szCs w:val="22"/>
              </w:rPr>
              <w:t>1</w:t>
            </w:r>
            <w:r w:rsidR="00815359">
              <w:rPr>
                <w:color w:val="000000"/>
                <w:sz w:val="22"/>
                <w:szCs w:val="22"/>
              </w:rPr>
              <w:t>,</w:t>
            </w:r>
            <w:r w:rsidRPr="00E60F91">
              <w:rPr>
                <w:color w:val="000000"/>
                <w:sz w:val="22"/>
                <w:szCs w:val="22"/>
              </w:rPr>
              <w:t>297</w:t>
            </w:r>
          </w:p>
        </w:tc>
        <w:tc>
          <w:tcPr>
            <w:tcW w:w="1418" w:type="dxa"/>
            <w:tcBorders>
              <w:top w:val="nil"/>
              <w:left w:val="nil"/>
              <w:bottom w:val="single" w:sz="4" w:space="0" w:color="auto"/>
              <w:right w:val="single" w:sz="4" w:space="0" w:color="auto"/>
            </w:tcBorders>
            <w:shd w:val="clear" w:color="auto" w:fill="auto"/>
            <w:noWrap/>
            <w:vAlign w:val="center"/>
            <w:hideMark/>
          </w:tcPr>
          <w:p w14:paraId="3361C5A2" w14:textId="43A209CD" w:rsidR="00E60F91" w:rsidRPr="00E60F91" w:rsidRDefault="00E60F91" w:rsidP="00E60F91">
            <w:pPr>
              <w:jc w:val="center"/>
              <w:rPr>
                <w:color w:val="000000"/>
                <w:sz w:val="22"/>
                <w:szCs w:val="22"/>
              </w:rPr>
            </w:pPr>
            <w:r w:rsidRPr="00E60F91">
              <w:rPr>
                <w:color w:val="000000"/>
                <w:sz w:val="22"/>
                <w:szCs w:val="22"/>
              </w:rPr>
              <w:t>1</w:t>
            </w:r>
            <w:r w:rsidR="00815359">
              <w:rPr>
                <w:color w:val="000000"/>
                <w:sz w:val="22"/>
                <w:szCs w:val="22"/>
              </w:rPr>
              <w:t>,</w:t>
            </w:r>
            <w:r w:rsidRPr="00E60F91">
              <w:rPr>
                <w:color w:val="000000"/>
                <w:sz w:val="22"/>
                <w:szCs w:val="22"/>
              </w:rPr>
              <w:t>118</w:t>
            </w:r>
          </w:p>
        </w:tc>
        <w:tc>
          <w:tcPr>
            <w:tcW w:w="1559" w:type="dxa"/>
            <w:tcBorders>
              <w:top w:val="nil"/>
              <w:left w:val="nil"/>
              <w:bottom w:val="single" w:sz="4" w:space="0" w:color="auto"/>
              <w:right w:val="single" w:sz="4" w:space="0" w:color="auto"/>
            </w:tcBorders>
            <w:shd w:val="clear" w:color="auto" w:fill="auto"/>
            <w:noWrap/>
            <w:vAlign w:val="center"/>
            <w:hideMark/>
          </w:tcPr>
          <w:p w14:paraId="48E795F8" w14:textId="0B243439" w:rsidR="00E60F91" w:rsidRPr="00E60F91" w:rsidRDefault="00E60F91" w:rsidP="00E60F91">
            <w:pPr>
              <w:jc w:val="center"/>
              <w:rPr>
                <w:color w:val="000000"/>
                <w:sz w:val="22"/>
                <w:szCs w:val="22"/>
              </w:rPr>
            </w:pPr>
            <w:r w:rsidRPr="00E60F91">
              <w:rPr>
                <w:color w:val="000000"/>
                <w:sz w:val="22"/>
                <w:szCs w:val="22"/>
              </w:rPr>
              <w:t>1</w:t>
            </w:r>
            <w:r w:rsidR="00815359">
              <w:rPr>
                <w:color w:val="000000"/>
                <w:sz w:val="22"/>
                <w:szCs w:val="22"/>
              </w:rPr>
              <w:t>,</w:t>
            </w:r>
            <w:r w:rsidRPr="00E60F91">
              <w:rPr>
                <w:color w:val="000000"/>
                <w:sz w:val="22"/>
                <w:szCs w:val="22"/>
              </w:rPr>
              <w:t>099</w:t>
            </w:r>
          </w:p>
        </w:tc>
        <w:tc>
          <w:tcPr>
            <w:tcW w:w="1559" w:type="dxa"/>
            <w:tcBorders>
              <w:top w:val="nil"/>
              <w:left w:val="nil"/>
              <w:bottom w:val="single" w:sz="4" w:space="0" w:color="auto"/>
              <w:right w:val="single" w:sz="4" w:space="0" w:color="auto"/>
            </w:tcBorders>
            <w:shd w:val="clear" w:color="auto" w:fill="auto"/>
            <w:noWrap/>
            <w:vAlign w:val="center"/>
            <w:hideMark/>
          </w:tcPr>
          <w:p w14:paraId="777114D2" w14:textId="5DA54FB2" w:rsidR="00E60F91" w:rsidRPr="00E60F91" w:rsidRDefault="00E60F91" w:rsidP="00E60F91">
            <w:pPr>
              <w:jc w:val="center"/>
              <w:rPr>
                <w:color w:val="000000"/>
                <w:sz w:val="22"/>
                <w:szCs w:val="22"/>
              </w:rPr>
            </w:pPr>
            <w:r w:rsidRPr="00E60F91">
              <w:rPr>
                <w:color w:val="000000"/>
                <w:sz w:val="22"/>
                <w:szCs w:val="22"/>
              </w:rPr>
              <w:t>1</w:t>
            </w:r>
            <w:r w:rsidR="00815359">
              <w:rPr>
                <w:color w:val="000000"/>
                <w:sz w:val="22"/>
                <w:szCs w:val="22"/>
              </w:rPr>
              <w:t>,</w:t>
            </w:r>
            <w:r w:rsidRPr="00E60F91">
              <w:rPr>
                <w:color w:val="000000"/>
                <w:sz w:val="22"/>
                <w:szCs w:val="22"/>
              </w:rPr>
              <w:t>235</w:t>
            </w:r>
          </w:p>
        </w:tc>
      </w:tr>
      <w:tr w:rsidR="00E60F91" w14:paraId="53CFB88E" w14:textId="77777777" w:rsidTr="00E60F91">
        <w:trPr>
          <w:trHeight w:val="300"/>
        </w:trPr>
        <w:tc>
          <w:tcPr>
            <w:tcW w:w="112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21D111C" w14:textId="77777777" w:rsidR="00E60F91" w:rsidRPr="00E60F91" w:rsidRDefault="00E60F91">
            <w:pPr>
              <w:jc w:val="center"/>
              <w:rPr>
                <w:color w:val="000000"/>
                <w:sz w:val="22"/>
                <w:szCs w:val="22"/>
              </w:rPr>
            </w:pPr>
            <w:r w:rsidRPr="00E60F91">
              <w:rPr>
                <w:color w:val="000000"/>
                <w:sz w:val="22"/>
                <w:szCs w:val="22"/>
              </w:rPr>
              <w:t>2022.gads</w:t>
            </w:r>
          </w:p>
        </w:tc>
        <w:tc>
          <w:tcPr>
            <w:tcW w:w="1985" w:type="dxa"/>
            <w:tcBorders>
              <w:top w:val="nil"/>
              <w:left w:val="nil"/>
              <w:bottom w:val="single" w:sz="4" w:space="0" w:color="auto"/>
              <w:right w:val="single" w:sz="4" w:space="0" w:color="auto"/>
            </w:tcBorders>
            <w:shd w:val="clear" w:color="auto" w:fill="auto"/>
            <w:noWrap/>
            <w:vAlign w:val="center"/>
            <w:hideMark/>
          </w:tcPr>
          <w:p w14:paraId="7026308B" w14:textId="7271FC82" w:rsidR="00E60F91" w:rsidRPr="00E60F91" w:rsidRDefault="00E60F91" w:rsidP="00E60F91">
            <w:pPr>
              <w:rPr>
                <w:color w:val="000000"/>
                <w:sz w:val="22"/>
                <w:szCs w:val="22"/>
              </w:rPr>
            </w:pPr>
            <w:r w:rsidRPr="00E60F91">
              <w:rPr>
                <w:color w:val="000000"/>
                <w:sz w:val="22"/>
                <w:szCs w:val="22"/>
              </w:rPr>
              <w:t>Nobraukums</w:t>
            </w:r>
            <w:r w:rsidR="00B01A5B">
              <w:rPr>
                <w:color w:val="000000"/>
                <w:sz w:val="22"/>
                <w:szCs w:val="22"/>
              </w:rPr>
              <w:t>, km</w:t>
            </w:r>
          </w:p>
        </w:tc>
        <w:tc>
          <w:tcPr>
            <w:tcW w:w="1417" w:type="dxa"/>
            <w:tcBorders>
              <w:top w:val="nil"/>
              <w:left w:val="nil"/>
              <w:bottom w:val="single" w:sz="4" w:space="0" w:color="auto"/>
              <w:right w:val="single" w:sz="4" w:space="0" w:color="auto"/>
            </w:tcBorders>
            <w:shd w:val="clear" w:color="auto" w:fill="auto"/>
            <w:noWrap/>
            <w:vAlign w:val="center"/>
            <w:hideMark/>
          </w:tcPr>
          <w:p w14:paraId="04212861" w14:textId="1CDBD3AB" w:rsidR="00E60F91" w:rsidRPr="00E60F91" w:rsidRDefault="00514A56" w:rsidP="00E60F91">
            <w:pPr>
              <w:jc w:val="center"/>
              <w:rPr>
                <w:color w:val="000000"/>
                <w:sz w:val="22"/>
                <w:szCs w:val="22"/>
              </w:rPr>
            </w:pPr>
            <w:r>
              <w:rPr>
                <w:color w:val="000000"/>
                <w:sz w:val="22"/>
                <w:szCs w:val="22"/>
              </w:rPr>
              <w:t>x</w:t>
            </w:r>
          </w:p>
        </w:tc>
        <w:tc>
          <w:tcPr>
            <w:tcW w:w="1418" w:type="dxa"/>
            <w:tcBorders>
              <w:top w:val="nil"/>
              <w:left w:val="nil"/>
              <w:bottom w:val="single" w:sz="4" w:space="0" w:color="auto"/>
              <w:right w:val="single" w:sz="4" w:space="0" w:color="auto"/>
            </w:tcBorders>
            <w:shd w:val="clear" w:color="auto" w:fill="auto"/>
            <w:noWrap/>
            <w:vAlign w:val="center"/>
            <w:hideMark/>
          </w:tcPr>
          <w:p w14:paraId="0716C9AA" w14:textId="77777777" w:rsidR="00E60F91" w:rsidRPr="00E60F91" w:rsidRDefault="00E60F91" w:rsidP="00E60F91">
            <w:pPr>
              <w:jc w:val="center"/>
              <w:rPr>
                <w:color w:val="000000"/>
                <w:sz w:val="22"/>
                <w:szCs w:val="22"/>
              </w:rPr>
            </w:pPr>
            <w:r w:rsidRPr="00E60F91">
              <w:rPr>
                <w:color w:val="000000"/>
                <w:sz w:val="22"/>
                <w:szCs w:val="22"/>
              </w:rPr>
              <w:t>70 302 338</w:t>
            </w:r>
          </w:p>
        </w:tc>
        <w:tc>
          <w:tcPr>
            <w:tcW w:w="1559" w:type="dxa"/>
            <w:tcBorders>
              <w:top w:val="nil"/>
              <w:left w:val="nil"/>
              <w:bottom w:val="single" w:sz="4" w:space="0" w:color="auto"/>
              <w:right w:val="single" w:sz="4" w:space="0" w:color="auto"/>
            </w:tcBorders>
            <w:shd w:val="clear" w:color="auto" w:fill="auto"/>
            <w:noWrap/>
            <w:vAlign w:val="center"/>
            <w:hideMark/>
          </w:tcPr>
          <w:p w14:paraId="1043299F" w14:textId="77777777" w:rsidR="00E60F91" w:rsidRPr="00E60F91" w:rsidRDefault="00E60F91" w:rsidP="00E60F91">
            <w:pPr>
              <w:jc w:val="center"/>
              <w:rPr>
                <w:color w:val="000000"/>
                <w:sz w:val="22"/>
                <w:szCs w:val="22"/>
              </w:rPr>
            </w:pPr>
            <w:r w:rsidRPr="00E60F91">
              <w:rPr>
                <w:color w:val="000000"/>
                <w:sz w:val="22"/>
                <w:szCs w:val="22"/>
              </w:rPr>
              <w:t>43 744 565</w:t>
            </w:r>
          </w:p>
        </w:tc>
        <w:tc>
          <w:tcPr>
            <w:tcW w:w="1559" w:type="dxa"/>
            <w:tcBorders>
              <w:top w:val="nil"/>
              <w:left w:val="nil"/>
              <w:bottom w:val="single" w:sz="4" w:space="0" w:color="auto"/>
              <w:right w:val="single" w:sz="4" w:space="0" w:color="auto"/>
            </w:tcBorders>
            <w:shd w:val="clear" w:color="auto" w:fill="auto"/>
            <w:noWrap/>
            <w:vAlign w:val="center"/>
            <w:hideMark/>
          </w:tcPr>
          <w:p w14:paraId="7BA06856" w14:textId="77777777" w:rsidR="00E60F91" w:rsidRPr="00E60F91" w:rsidRDefault="00E60F91" w:rsidP="00E60F91">
            <w:pPr>
              <w:jc w:val="center"/>
              <w:rPr>
                <w:color w:val="000000"/>
                <w:sz w:val="22"/>
                <w:szCs w:val="22"/>
              </w:rPr>
            </w:pPr>
            <w:r w:rsidRPr="00E60F91">
              <w:rPr>
                <w:color w:val="000000"/>
                <w:sz w:val="22"/>
                <w:szCs w:val="22"/>
              </w:rPr>
              <w:t>26 557 773</w:t>
            </w:r>
          </w:p>
        </w:tc>
      </w:tr>
      <w:tr w:rsidR="00E60F91" w14:paraId="0254E73F" w14:textId="77777777" w:rsidTr="00E60F91">
        <w:trPr>
          <w:trHeight w:val="300"/>
        </w:trPr>
        <w:tc>
          <w:tcPr>
            <w:tcW w:w="1129" w:type="dxa"/>
            <w:vMerge/>
            <w:tcBorders>
              <w:top w:val="nil"/>
              <w:left w:val="single" w:sz="4" w:space="0" w:color="auto"/>
              <w:bottom w:val="single" w:sz="4" w:space="0" w:color="auto"/>
              <w:right w:val="single" w:sz="4" w:space="0" w:color="auto"/>
            </w:tcBorders>
            <w:vAlign w:val="center"/>
            <w:hideMark/>
          </w:tcPr>
          <w:p w14:paraId="62E80F9A" w14:textId="77777777" w:rsidR="00E60F91" w:rsidRPr="00E60F91" w:rsidRDefault="00E60F91">
            <w:pPr>
              <w:rPr>
                <w:color w:val="000000"/>
                <w:sz w:val="22"/>
                <w:szCs w:val="22"/>
              </w:rPr>
            </w:pPr>
          </w:p>
        </w:tc>
        <w:tc>
          <w:tcPr>
            <w:tcW w:w="1985" w:type="dxa"/>
            <w:tcBorders>
              <w:top w:val="nil"/>
              <w:left w:val="nil"/>
              <w:bottom w:val="single" w:sz="4" w:space="0" w:color="auto"/>
              <w:right w:val="single" w:sz="4" w:space="0" w:color="auto"/>
            </w:tcBorders>
            <w:shd w:val="clear" w:color="auto" w:fill="auto"/>
            <w:noWrap/>
            <w:vAlign w:val="center"/>
            <w:hideMark/>
          </w:tcPr>
          <w:p w14:paraId="7BAB75FC" w14:textId="7E193CC3" w:rsidR="00E60F91" w:rsidRPr="00E60F91" w:rsidRDefault="00E60F91" w:rsidP="00E60F91">
            <w:pPr>
              <w:rPr>
                <w:color w:val="000000"/>
                <w:sz w:val="22"/>
                <w:szCs w:val="22"/>
              </w:rPr>
            </w:pPr>
            <w:r w:rsidRPr="00E60F91">
              <w:rPr>
                <w:color w:val="000000"/>
                <w:sz w:val="22"/>
                <w:szCs w:val="22"/>
              </w:rPr>
              <w:t>Kompensējamās izmaksas</w:t>
            </w:r>
            <w:r w:rsidR="00B01A5B">
              <w:rPr>
                <w:color w:val="000000"/>
                <w:sz w:val="22"/>
                <w:szCs w:val="22"/>
              </w:rPr>
              <w:t>,</w:t>
            </w:r>
            <w:r w:rsidR="00B01A5B" w:rsidRPr="00E60F91">
              <w:rPr>
                <w:color w:val="000000"/>
                <w:sz w:val="22"/>
                <w:szCs w:val="22"/>
              </w:rPr>
              <w:t xml:space="preserve"> </w:t>
            </w:r>
            <w:r w:rsidR="00B01A5B">
              <w:rPr>
                <w:color w:val="000000"/>
                <w:sz w:val="22"/>
                <w:szCs w:val="22"/>
              </w:rPr>
              <w:t>EUR/</w:t>
            </w:r>
            <w:r w:rsidR="00B01A5B" w:rsidRPr="00E60F91">
              <w:rPr>
                <w:color w:val="000000"/>
                <w:sz w:val="22"/>
                <w:szCs w:val="22"/>
              </w:rPr>
              <w:t>km</w:t>
            </w:r>
          </w:p>
        </w:tc>
        <w:tc>
          <w:tcPr>
            <w:tcW w:w="1417" w:type="dxa"/>
            <w:tcBorders>
              <w:top w:val="nil"/>
              <w:left w:val="nil"/>
              <w:bottom w:val="single" w:sz="4" w:space="0" w:color="auto"/>
              <w:right w:val="single" w:sz="4" w:space="0" w:color="auto"/>
            </w:tcBorders>
            <w:shd w:val="clear" w:color="auto" w:fill="auto"/>
            <w:noWrap/>
            <w:vAlign w:val="center"/>
            <w:hideMark/>
          </w:tcPr>
          <w:p w14:paraId="7BDA4C17" w14:textId="38541ABE" w:rsidR="00E60F91" w:rsidRPr="00E60F91" w:rsidRDefault="00514A56" w:rsidP="00E60F91">
            <w:pPr>
              <w:jc w:val="center"/>
              <w:rPr>
                <w:color w:val="000000"/>
                <w:sz w:val="22"/>
                <w:szCs w:val="22"/>
              </w:rPr>
            </w:pPr>
            <w:r>
              <w:rPr>
                <w:color w:val="000000"/>
                <w:sz w:val="22"/>
                <w:szCs w:val="22"/>
              </w:rPr>
              <w:t>x</w:t>
            </w:r>
          </w:p>
        </w:tc>
        <w:tc>
          <w:tcPr>
            <w:tcW w:w="1418" w:type="dxa"/>
            <w:tcBorders>
              <w:top w:val="nil"/>
              <w:left w:val="nil"/>
              <w:bottom w:val="single" w:sz="4" w:space="0" w:color="auto"/>
              <w:right w:val="single" w:sz="4" w:space="0" w:color="auto"/>
            </w:tcBorders>
            <w:shd w:val="clear" w:color="auto" w:fill="auto"/>
            <w:noWrap/>
            <w:vAlign w:val="center"/>
            <w:hideMark/>
          </w:tcPr>
          <w:p w14:paraId="00A5FED4" w14:textId="63B06725" w:rsidR="00E60F91" w:rsidRPr="00E60F91" w:rsidRDefault="00E60F91" w:rsidP="00E60F91">
            <w:pPr>
              <w:jc w:val="center"/>
              <w:rPr>
                <w:color w:val="000000"/>
                <w:sz w:val="22"/>
                <w:szCs w:val="22"/>
              </w:rPr>
            </w:pPr>
            <w:r w:rsidRPr="00E60F91">
              <w:rPr>
                <w:color w:val="000000"/>
                <w:sz w:val="22"/>
                <w:szCs w:val="22"/>
              </w:rPr>
              <w:t>1</w:t>
            </w:r>
            <w:r w:rsidR="00815359">
              <w:rPr>
                <w:color w:val="000000"/>
                <w:sz w:val="22"/>
                <w:szCs w:val="22"/>
              </w:rPr>
              <w:t>,</w:t>
            </w:r>
            <w:r w:rsidRPr="00E60F91">
              <w:rPr>
                <w:color w:val="000000"/>
                <w:sz w:val="22"/>
                <w:szCs w:val="22"/>
              </w:rPr>
              <w:t>2091</w:t>
            </w:r>
          </w:p>
        </w:tc>
        <w:tc>
          <w:tcPr>
            <w:tcW w:w="1559" w:type="dxa"/>
            <w:tcBorders>
              <w:top w:val="nil"/>
              <w:left w:val="nil"/>
              <w:bottom w:val="single" w:sz="4" w:space="0" w:color="auto"/>
              <w:right w:val="single" w:sz="4" w:space="0" w:color="auto"/>
            </w:tcBorders>
            <w:shd w:val="clear" w:color="auto" w:fill="auto"/>
            <w:noWrap/>
            <w:vAlign w:val="center"/>
            <w:hideMark/>
          </w:tcPr>
          <w:p w14:paraId="7B2DB0DA" w14:textId="5C9B87AF" w:rsidR="00E60F91" w:rsidRPr="00E60F91" w:rsidRDefault="00E60F91" w:rsidP="00E60F91">
            <w:pPr>
              <w:jc w:val="center"/>
              <w:rPr>
                <w:color w:val="000000"/>
                <w:sz w:val="22"/>
                <w:szCs w:val="22"/>
              </w:rPr>
            </w:pPr>
            <w:r w:rsidRPr="00E60F91">
              <w:rPr>
                <w:color w:val="000000"/>
                <w:sz w:val="22"/>
                <w:szCs w:val="22"/>
              </w:rPr>
              <w:t>1</w:t>
            </w:r>
            <w:r w:rsidR="00815359">
              <w:rPr>
                <w:color w:val="000000"/>
                <w:sz w:val="22"/>
                <w:szCs w:val="22"/>
              </w:rPr>
              <w:t>,</w:t>
            </w:r>
            <w:r w:rsidRPr="00E60F91">
              <w:rPr>
                <w:color w:val="000000"/>
                <w:sz w:val="22"/>
                <w:szCs w:val="22"/>
              </w:rPr>
              <w:t>187</w:t>
            </w:r>
          </w:p>
        </w:tc>
        <w:tc>
          <w:tcPr>
            <w:tcW w:w="1559" w:type="dxa"/>
            <w:tcBorders>
              <w:top w:val="nil"/>
              <w:left w:val="nil"/>
              <w:bottom w:val="single" w:sz="4" w:space="0" w:color="auto"/>
              <w:right w:val="single" w:sz="4" w:space="0" w:color="auto"/>
            </w:tcBorders>
            <w:shd w:val="clear" w:color="auto" w:fill="auto"/>
            <w:noWrap/>
            <w:vAlign w:val="center"/>
            <w:hideMark/>
          </w:tcPr>
          <w:p w14:paraId="22E690FC" w14:textId="08754856" w:rsidR="00E60F91" w:rsidRPr="00E60F91" w:rsidRDefault="00E60F91" w:rsidP="00E60F91">
            <w:pPr>
              <w:jc w:val="center"/>
              <w:rPr>
                <w:color w:val="000000"/>
                <w:sz w:val="22"/>
                <w:szCs w:val="22"/>
              </w:rPr>
            </w:pPr>
            <w:r w:rsidRPr="00E60F91">
              <w:rPr>
                <w:color w:val="000000"/>
                <w:sz w:val="22"/>
                <w:szCs w:val="22"/>
              </w:rPr>
              <w:t>1</w:t>
            </w:r>
            <w:r w:rsidR="00815359">
              <w:rPr>
                <w:color w:val="000000"/>
                <w:sz w:val="22"/>
                <w:szCs w:val="22"/>
              </w:rPr>
              <w:t>,</w:t>
            </w:r>
            <w:r w:rsidRPr="00E60F91">
              <w:rPr>
                <w:color w:val="000000"/>
                <w:sz w:val="22"/>
                <w:szCs w:val="22"/>
              </w:rPr>
              <w:t>246</w:t>
            </w:r>
          </w:p>
        </w:tc>
      </w:tr>
      <w:tr w:rsidR="00E60F91" w:rsidRPr="00E60F91" w14:paraId="0111CA3C" w14:textId="77777777" w:rsidTr="00E60F91">
        <w:trPr>
          <w:trHeight w:val="300"/>
        </w:trPr>
        <w:tc>
          <w:tcPr>
            <w:tcW w:w="9067" w:type="dxa"/>
            <w:gridSpan w:val="6"/>
            <w:tcBorders>
              <w:top w:val="nil"/>
              <w:left w:val="nil"/>
              <w:bottom w:val="nil"/>
              <w:right w:val="nil"/>
            </w:tcBorders>
            <w:shd w:val="clear" w:color="auto" w:fill="auto"/>
            <w:noWrap/>
            <w:vAlign w:val="bottom"/>
            <w:hideMark/>
          </w:tcPr>
          <w:p w14:paraId="1710F849" w14:textId="67F8D1A7" w:rsidR="00E60F91" w:rsidRPr="00B2542E" w:rsidRDefault="00E60F91" w:rsidP="00B2542E">
            <w:pPr>
              <w:jc w:val="both"/>
              <w:rPr>
                <w:color w:val="000000"/>
                <w:sz w:val="18"/>
                <w:szCs w:val="18"/>
              </w:rPr>
            </w:pPr>
            <w:r w:rsidRPr="00B2542E">
              <w:rPr>
                <w:color w:val="000000"/>
                <w:sz w:val="18"/>
                <w:szCs w:val="18"/>
              </w:rPr>
              <w:t xml:space="preserve"> * pakalpojumu sniegšanai izvirzītas augstākas kvalitātes prasības un līgumu termiņš 10 gadi</w:t>
            </w:r>
            <w:r w:rsidR="00815359" w:rsidRPr="00B2542E">
              <w:rPr>
                <w:color w:val="000000"/>
                <w:sz w:val="18"/>
                <w:szCs w:val="18"/>
              </w:rPr>
              <w:t>, kā arī līgumcenā ir paredzēta arī peļņa</w:t>
            </w:r>
          </w:p>
        </w:tc>
      </w:tr>
    </w:tbl>
    <w:p w14:paraId="34255753" w14:textId="1793DAF4" w:rsidR="001B03AA" w:rsidRDefault="001B03AA" w:rsidP="00194D65">
      <w:pPr>
        <w:ind w:firstLine="709"/>
        <w:jc w:val="both"/>
        <w:rPr>
          <w:sz w:val="26"/>
          <w:szCs w:val="26"/>
        </w:rPr>
      </w:pPr>
    </w:p>
    <w:p w14:paraId="494803F2" w14:textId="0E810408" w:rsidR="00926185" w:rsidRDefault="00E60F91" w:rsidP="00926185">
      <w:pPr>
        <w:pStyle w:val="NormalWeb"/>
        <w:shd w:val="clear" w:color="auto" w:fill="FFFFFF"/>
        <w:spacing w:before="0" w:beforeAutospacing="0" w:after="0" w:afterAutospacing="0" w:line="252" w:lineRule="auto"/>
        <w:ind w:firstLine="720"/>
        <w:jc w:val="both"/>
        <w:rPr>
          <w:color w:val="222222"/>
          <w:sz w:val="26"/>
          <w:szCs w:val="26"/>
        </w:rPr>
      </w:pPr>
      <w:r>
        <w:rPr>
          <w:sz w:val="26"/>
          <w:szCs w:val="26"/>
        </w:rPr>
        <w:t xml:space="preserve">2022.gadā īstermiņa </w:t>
      </w:r>
      <w:r w:rsidR="0079498D">
        <w:rPr>
          <w:sz w:val="26"/>
          <w:szCs w:val="26"/>
        </w:rPr>
        <w:t xml:space="preserve">iepirkuma </w:t>
      </w:r>
      <w:r>
        <w:rPr>
          <w:sz w:val="26"/>
          <w:szCs w:val="26"/>
        </w:rPr>
        <w:t xml:space="preserve">līgumos izmaksu pieaugumu noteica degvielas cenu pieaugums, </w:t>
      </w:r>
      <w:r w:rsidR="005A5308">
        <w:rPr>
          <w:sz w:val="26"/>
          <w:szCs w:val="26"/>
        </w:rPr>
        <w:t>kas salīdzinot 2022.gada dīzeļdegvielas mazumtirdzniecības cenas ar 2021.gad</w:t>
      </w:r>
      <w:r w:rsidR="00866670">
        <w:rPr>
          <w:sz w:val="26"/>
          <w:szCs w:val="26"/>
        </w:rPr>
        <w:t>u</w:t>
      </w:r>
      <w:r w:rsidR="005A5308">
        <w:rPr>
          <w:sz w:val="26"/>
          <w:szCs w:val="26"/>
        </w:rPr>
        <w:t xml:space="preserve">, </w:t>
      </w:r>
      <w:r w:rsidR="0084287F">
        <w:rPr>
          <w:sz w:val="26"/>
          <w:szCs w:val="26"/>
        </w:rPr>
        <w:t>veido</w:t>
      </w:r>
      <w:r w:rsidR="005A5308">
        <w:rPr>
          <w:sz w:val="26"/>
          <w:szCs w:val="26"/>
        </w:rPr>
        <w:t xml:space="preserve"> </w:t>
      </w:r>
      <w:r w:rsidR="005A5308" w:rsidRPr="00C245CE">
        <w:rPr>
          <w:sz w:val="26"/>
          <w:szCs w:val="26"/>
        </w:rPr>
        <w:t>pieaugum</w:t>
      </w:r>
      <w:r w:rsidR="0084287F">
        <w:rPr>
          <w:sz w:val="26"/>
          <w:szCs w:val="26"/>
        </w:rPr>
        <w:t>u</w:t>
      </w:r>
      <w:r w:rsidR="005A5308" w:rsidRPr="00C245CE">
        <w:rPr>
          <w:sz w:val="26"/>
          <w:szCs w:val="26"/>
        </w:rPr>
        <w:t xml:space="preserve"> </w:t>
      </w:r>
      <w:r w:rsidR="008E3FE7" w:rsidRPr="00C245CE">
        <w:rPr>
          <w:sz w:val="26"/>
          <w:szCs w:val="26"/>
        </w:rPr>
        <w:t>43</w:t>
      </w:r>
      <w:r w:rsidR="005A5308" w:rsidRPr="00C245CE">
        <w:rPr>
          <w:sz w:val="26"/>
          <w:szCs w:val="26"/>
        </w:rPr>
        <w:t>%</w:t>
      </w:r>
      <w:r w:rsidR="008E3FE7" w:rsidRPr="00C245CE">
        <w:rPr>
          <w:rStyle w:val="FootnoteReference"/>
          <w:sz w:val="26"/>
          <w:szCs w:val="26"/>
        </w:rPr>
        <w:footnoteReference w:id="5"/>
      </w:r>
      <w:r w:rsidR="0084287F">
        <w:rPr>
          <w:sz w:val="26"/>
          <w:szCs w:val="26"/>
        </w:rPr>
        <w:t xml:space="preserve"> apmērā</w:t>
      </w:r>
      <w:r w:rsidR="005A5308" w:rsidRPr="00C245CE">
        <w:rPr>
          <w:sz w:val="26"/>
          <w:szCs w:val="26"/>
        </w:rPr>
        <w:t>.</w:t>
      </w:r>
      <w:r w:rsidR="005A5308">
        <w:rPr>
          <w:sz w:val="26"/>
          <w:szCs w:val="26"/>
        </w:rPr>
        <w:t xml:space="preserve"> </w:t>
      </w:r>
      <w:r w:rsidR="0052795E">
        <w:rPr>
          <w:sz w:val="26"/>
          <w:szCs w:val="26"/>
        </w:rPr>
        <w:t xml:space="preserve">Tādējādi, </w:t>
      </w:r>
      <w:r w:rsidR="0052795E" w:rsidRPr="00D504B5">
        <w:rPr>
          <w:sz w:val="26"/>
          <w:szCs w:val="26"/>
        </w:rPr>
        <w:t>izvērtējot faktisko situāciju saistībā ar izmaksām, kas nepieciešamas sabiedriskā transporta pakalpojumu nodrošināšanai un konstatējot, ka nepastāv citi instrumenti neplānotā</w:t>
      </w:r>
      <w:r w:rsidR="0052795E" w:rsidRPr="00D504B5">
        <w:rPr>
          <w:rStyle w:val="FootnoteReference"/>
          <w:sz w:val="26"/>
          <w:szCs w:val="26"/>
        </w:rPr>
        <w:footnoteReference w:id="6"/>
      </w:r>
      <w:r w:rsidR="0052795E" w:rsidRPr="00D504B5">
        <w:rPr>
          <w:sz w:val="26"/>
          <w:szCs w:val="26"/>
        </w:rPr>
        <w:t xml:space="preserve"> izmaksu pieauguma negatīvās ietekmes mazināšanai uz </w:t>
      </w:r>
      <w:r w:rsidR="0079498D">
        <w:rPr>
          <w:sz w:val="26"/>
          <w:szCs w:val="26"/>
        </w:rPr>
        <w:t>iepirkuma</w:t>
      </w:r>
      <w:r w:rsidR="0079498D" w:rsidRPr="00D504B5">
        <w:rPr>
          <w:sz w:val="26"/>
          <w:szCs w:val="26"/>
        </w:rPr>
        <w:t xml:space="preserve"> </w:t>
      </w:r>
      <w:r w:rsidR="0052795E" w:rsidRPr="00D504B5">
        <w:rPr>
          <w:sz w:val="26"/>
          <w:szCs w:val="26"/>
        </w:rPr>
        <w:t>līguma izpildi</w:t>
      </w:r>
      <w:r w:rsidR="001846B2">
        <w:rPr>
          <w:sz w:val="26"/>
          <w:szCs w:val="26"/>
        </w:rPr>
        <w:t xml:space="preserve">, </w:t>
      </w:r>
      <w:r w:rsidR="002F6184">
        <w:rPr>
          <w:sz w:val="26"/>
          <w:szCs w:val="26"/>
        </w:rPr>
        <w:t xml:space="preserve"> izvērtējot pakalpojuma sniedzēju veiktās darbība izmaksu pieauguma samazināšanai, </w:t>
      </w:r>
      <w:r w:rsidR="001846B2">
        <w:rPr>
          <w:sz w:val="26"/>
          <w:szCs w:val="26"/>
        </w:rPr>
        <w:t xml:space="preserve">2022.gadā </w:t>
      </w:r>
      <w:r w:rsidR="002F6184">
        <w:rPr>
          <w:sz w:val="26"/>
          <w:szCs w:val="26"/>
        </w:rPr>
        <w:t xml:space="preserve">tika </w:t>
      </w:r>
      <w:r w:rsidR="001846B2">
        <w:rPr>
          <w:sz w:val="26"/>
          <w:szCs w:val="26"/>
        </w:rPr>
        <w:t xml:space="preserve">rasti </w:t>
      </w:r>
      <w:r w:rsidR="00866670">
        <w:rPr>
          <w:sz w:val="26"/>
          <w:szCs w:val="26"/>
        </w:rPr>
        <w:t xml:space="preserve">kompensējošie pasākumi </w:t>
      </w:r>
      <w:r w:rsidR="001846B2">
        <w:rPr>
          <w:sz w:val="26"/>
          <w:szCs w:val="26"/>
        </w:rPr>
        <w:t xml:space="preserve">Publisko iepirkumu likumā </w:t>
      </w:r>
      <w:r w:rsidR="00140AAB">
        <w:rPr>
          <w:sz w:val="26"/>
          <w:szCs w:val="26"/>
        </w:rPr>
        <w:t>noteiktā pieļaujamā apjomā</w:t>
      </w:r>
      <w:r w:rsidR="00815359">
        <w:rPr>
          <w:rStyle w:val="FootnoteReference"/>
          <w:sz w:val="26"/>
          <w:szCs w:val="26"/>
        </w:rPr>
        <w:footnoteReference w:id="7"/>
      </w:r>
      <w:r w:rsidR="00946D85">
        <w:rPr>
          <w:sz w:val="26"/>
          <w:szCs w:val="26"/>
        </w:rPr>
        <w:t>.</w:t>
      </w:r>
    </w:p>
    <w:p w14:paraId="1E438747" w14:textId="7F954B40" w:rsidR="001B03AA" w:rsidRDefault="005A5308" w:rsidP="00194D65">
      <w:pPr>
        <w:ind w:firstLine="709"/>
        <w:jc w:val="both"/>
        <w:rPr>
          <w:sz w:val="26"/>
          <w:szCs w:val="26"/>
        </w:rPr>
      </w:pPr>
      <w:r>
        <w:rPr>
          <w:sz w:val="26"/>
          <w:szCs w:val="26"/>
        </w:rPr>
        <w:t xml:space="preserve">Vienlaikus </w:t>
      </w:r>
      <w:r w:rsidR="00B836B1">
        <w:rPr>
          <w:sz w:val="26"/>
          <w:szCs w:val="26"/>
        </w:rPr>
        <w:t>ar 2022.gada būtisk</w:t>
      </w:r>
      <w:r w:rsidR="00C245CE">
        <w:rPr>
          <w:sz w:val="26"/>
          <w:szCs w:val="26"/>
        </w:rPr>
        <w:t>ajām</w:t>
      </w:r>
      <w:r w:rsidR="00B836B1">
        <w:rPr>
          <w:sz w:val="26"/>
          <w:szCs w:val="26"/>
        </w:rPr>
        <w:t xml:space="preserve"> patēriņa cenu </w:t>
      </w:r>
      <w:r w:rsidR="00C245CE">
        <w:rPr>
          <w:sz w:val="26"/>
          <w:szCs w:val="26"/>
        </w:rPr>
        <w:t>pārmaiņām</w:t>
      </w:r>
      <w:r w:rsidR="00C245CE">
        <w:rPr>
          <w:rStyle w:val="FootnoteReference"/>
          <w:sz w:val="26"/>
          <w:szCs w:val="26"/>
        </w:rPr>
        <w:footnoteReference w:id="8"/>
      </w:r>
      <w:r w:rsidR="00B836B1">
        <w:rPr>
          <w:sz w:val="26"/>
          <w:szCs w:val="26"/>
        </w:rPr>
        <w:t xml:space="preserve">, nozarē saasinājās arī problēmas ar autobusu vadītāju pietiekamu skaitu </w:t>
      </w:r>
      <w:r w:rsidR="008E3FE7">
        <w:rPr>
          <w:sz w:val="26"/>
          <w:szCs w:val="26"/>
        </w:rPr>
        <w:t xml:space="preserve">reisu izpildei </w:t>
      </w:r>
      <w:r w:rsidR="00B836B1">
        <w:rPr>
          <w:sz w:val="26"/>
          <w:szCs w:val="26"/>
        </w:rPr>
        <w:t xml:space="preserve">un </w:t>
      </w:r>
      <w:r w:rsidR="008E3FE7">
        <w:rPr>
          <w:sz w:val="26"/>
          <w:szCs w:val="26"/>
        </w:rPr>
        <w:t xml:space="preserve">tiem izmaksājamo </w:t>
      </w:r>
      <w:r w:rsidR="00B836B1">
        <w:rPr>
          <w:sz w:val="26"/>
          <w:szCs w:val="26"/>
        </w:rPr>
        <w:t>atalgojumu, ievērojot to, ka nozarē esoš</w:t>
      </w:r>
      <w:r w:rsidR="00926185">
        <w:rPr>
          <w:sz w:val="26"/>
          <w:szCs w:val="26"/>
        </w:rPr>
        <w:t>ie</w:t>
      </w:r>
      <w:r w:rsidR="00B836B1">
        <w:rPr>
          <w:sz w:val="26"/>
          <w:szCs w:val="26"/>
        </w:rPr>
        <w:t xml:space="preserve"> </w:t>
      </w:r>
      <w:r w:rsidR="00866670">
        <w:rPr>
          <w:sz w:val="26"/>
          <w:szCs w:val="26"/>
        </w:rPr>
        <w:t xml:space="preserve">atbilstošās kvalifikācijas </w:t>
      </w:r>
      <w:r w:rsidR="00B836B1">
        <w:rPr>
          <w:sz w:val="26"/>
          <w:szCs w:val="26"/>
        </w:rPr>
        <w:t xml:space="preserve">darbinieki noveco, </w:t>
      </w:r>
      <w:r w:rsidR="00926185">
        <w:rPr>
          <w:sz w:val="26"/>
          <w:szCs w:val="26"/>
        </w:rPr>
        <w:t>kā arī vidējās darba stundas neveido konkurētspējīgu atalgojumu</w:t>
      </w:r>
      <w:r w:rsidR="00866670">
        <w:rPr>
          <w:sz w:val="26"/>
          <w:szCs w:val="26"/>
        </w:rPr>
        <w:t>,</w:t>
      </w:r>
      <w:r w:rsidR="00926185">
        <w:rPr>
          <w:sz w:val="26"/>
          <w:szCs w:val="26"/>
        </w:rPr>
        <w:t xml:space="preserve"> salīdzinot ar citiem pārvadājumu veidiem</w:t>
      </w:r>
      <w:r w:rsidR="008E3FE7">
        <w:rPr>
          <w:sz w:val="26"/>
          <w:szCs w:val="26"/>
        </w:rPr>
        <w:t xml:space="preserve"> (piemēram, kravu pārvadājumi)</w:t>
      </w:r>
      <w:r w:rsidR="00926185">
        <w:rPr>
          <w:sz w:val="26"/>
          <w:szCs w:val="26"/>
        </w:rPr>
        <w:t>. Līdz ar to</w:t>
      </w:r>
      <w:r w:rsidR="006A0D84">
        <w:rPr>
          <w:sz w:val="26"/>
          <w:szCs w:val="26"/>
        </w:rPr>
        <w:t>,</w:t>
      </w:r>
      <w:r w:rsidR="00926185">
        <w:rPr>
          <w:sz w:val="26"/>
          <w:szCs w:val="26"/>
        </w:rPr>
        <w:t xml:space="preserve"> 2022.gadā vairākiem pārvadātājiem, lai piesaistītu atbilstošas kvalifikācijas darbiniekus, bija jāpārskata izmaksas attiecībā uz darba atalgojumu. </w:t>
      </w:r>
    </w:p>
    <w:p w14:paraId="21DE5E38" w14:textId="0271E461" w:rsidR="00167E04" w:rsidRDefault="00B01A5B" w:rsidP="00194D65">
      <w:pPr>
        <w:ind w:firstLine="709"/>
        <w:jc w:val="both"/>
        <w:rPr>
          <w:sz w:val="26"/>
          <w:szCs w:val="26"/>
        </w:rPr>
      </w:pPr>
      <w:r>
        <w:rPr>
          <w:sz w:val="26"/>
          <w:szCs w:val="26"/>
        </w:rPr>
        <w:t>Attiecībā uz 2023.gad</w:t>
      </w:r>
      <w:r w:rsidR="00167E04">
        <w:rPr>
          <w:sz w:val="26"/>
          <w:szCs w:val="26"/>
        </w:rPr>
        <w:t>u</w:t>
      </w:r>
      <w:r>
        <w:rPr>
          <w:sz w:val="26"/>
          <w:szCs w:val="26"/>
        </w:rPr>
        <w:t xml:space="preserve"> </w:t>
      </w:r>
      <w:r w:rsidR="00167E04">
        <w:rPr>
          <w:sz w:val="26"/>
          <w:szCs w:val="26"/>
        </w:rPr>
        <w:t>degvielas cenu izmaiņas neliecina par būtisku samazināšanos, kā arī preču patēriņ</w:t>
      </w:r>
      <w:r w:rsidR="00866670">
        <w:rPr>
          <w:sz w:val="26"/>
          <w:szCs w:val="26"/>
        </w:rPr>
        <w:t>a</w:t>
      </w:r>
      <w:r w:rsidR="00167E04">
        <w:rPr>
          <w:sz w:val="26"/>
          <w:szCs w:val="26"/>
        </w:rPr>
        <w:t xml:space="preserve"> </w:t>
      </w:r>
      <w:r w:rsidR="00866670">
        <w:rPr>
          <w:sz w:val="26"/>
          <w:szCs w:val="26"/>
        </w:rPr>
        <w:t xml:space="preserve">cenu </w:t>
      </w:r>
      <w:r w:rsidR="00167E04">
        <w:rPr>
          <w:sz w:val="26"/>
          <w:szCs w:val="26"/>
        </w:rPr>
        <w:t>pieaugums</w:t>
      </w:r>
      <w:r w:rsidR="00866670">
        <w:rPr>
          <w:sz w:val="26"/>
          <w:szCs w:val="26"/>
        </w:rPr>
        <w:t xml:space="preserve"> (inflācija)</w:t>
      </w:r>
      <w:r w:rsidR="00167E04">
        <w:rPr>
          <w:sz w:val="26"/>
          <w:szCs w:val="26"/>
        </w:rPr>
        <w:t xml:space="preserve"> saglabājas augsts, līdz ar to </w:t>
      </w:r>
      <w:r>
        <w:rPr>
          <w:sz w:val="26"/>
          <w:szCs w:val="26"/>
        </w:rPr>
        <w:t xml:space="preserve">situācija </w:t>
      </w:r>
      <w:r w:rsidR="00167E04">
        <w:rPr>
          <w:sz w:val="26"/>
          <w:szCs w:val="26"/>
        </w:rPr>
        <w:t>saistībā ar izmaksu</w:t>
      </w:r>
      <w:r w:rsidR="00DF2CD4">
        <w:rPr>
          <w:sz w:val="26"/>
          <w:szCs w:val="26"/>
        </w:rPr>
        <w:t xml:space="preserve"> pieaugumu </w:t>
      </w:r>
      <w:r>
        <w:rPr>
          <w:sz w:val="26"/>
          <w:szCs w:val="26"/>
        </w:rPr>
        <w:t>saglabājas līdzīga kā 2022.gadā</w:t>
      </w:r>
      <w:r w:rsidR="00167E04">
        <w:rPr>
          <w:sz w:val="26"/>
          <w:szCs w:val="26"/>
        </w:rPr>
        <w:t xml:space="preserve">. </w:t>
      </w:r>
    </w:p>
    <w:p w14:paraId="425F2964" w14:textId="32753CCB" w:rsidR="001B03AA" w:rsidRDefault="00167E04" w:rsidP="00194D65">
      <w:pPr>
        <w:ind w:firstLine="709"/>
        <w:jc w:val="both"/>
        <w:rPr>
          <w:sz w:val="26"/>
          <w:szCs w:val="26"/>
        </w:rPr>
      </w:pPr>
      <w:r>
        <w:rPr>
          <w:sz w:val="26"/>
          <w:szCs w:val="26"/>
        </w:rPr>
        <w:lastRenderedPageBreak/>
        <w:t>Tāpat jāatzīmē, ka 2022.gada nogalē vairākas autoostas sakarā</w:t>
      </w:r>
      <w:r w:rsidR="006A0D84">
        <w:rPr>
          <w:sz w:val="26"/>
          <w:szCs w:val="26"/>
        </w:rPr>
        <w:t xml:space="preserve"> ar</w:t>
      </w:r>
      <w:r>
        <w:rPr>
          <w:sz w:val="26"/>
          <w:szCs w:val="26"/>
        </w:rPr>
        <w:t xml:space="preserve"> pieaugošajām izmaksām </w:t>
      </w:r>
      <w:r w:rsidR="00DF2CD4">
        <w:rPr>
          <w:sz w:val="26"/>
          <w:szCs w:val="26"/>
        </w:rPr>
        <w:t>(siltumenerģijai, elektroenerģijai un citas izmaksas) ir pārskatījušas 2023.gada autoostas pakalpojumu maksu, kas palielina kopējās pārvadātājiem kompensējamās izmaksas par vismaz 0,6 milj. EUR.</w:t>
      </w:r>
    </w:p>
    <w:p w14:paraId="2E1ED546" w14:textId="77777777" w:rsidR="00DF2CD4" w:rsidRDefault="00DF2CD4" w:rsidP="00194D65">
      <w:pPr>
        <w:ind w:firstLine="709"/>
        <w:jc w:val="both"/>
        <w:rPr>
          <w:sz w:val="26"/>
          <w:szCs w:val="26"/>
        </w:rPr>
      </w:pPr>
    </w:p>
    <w:p w14:paraId="49413984" w14:textId="6F0E7010" w:rsidR="00E60F91" w:rsidRPr="00E60F91" w:rsidRDefault="00E60F91" w:rsidP="00E60F91">
      <w:pPr>
        <w:ind w:firstLine="709"/>
        <w:jc w:val="both"/>
        <w:rPr>
          <w:b/>
          <w:bCs/>
          <w:sz w:val="26"/>
          <w:szCs w:val="26"/>
        </w:rPr>
      </w:pPr>
      <w:r w:rsidRPr="00E60F91">
        <w:rPr>
          <w:b/>
          <w:bCs/>
          <w:sz w:val="26"/>
          <w:szCs w:val="26"/>
        </w:rPr>
        <w:t>1.3.1.</w:t>
      </w:r>
      <w:r>
        <w:rPr>
          <w:b/>
          <w:bCs/>
          <w:sz w:val="26"/>
          <w:szCs w:val="26"/>
        </w:rPr>
        <w:t>2</w:t>
      </w:r>
      <w:r w:rsidRPr="00E60F91">
        <w:rPr>
          <w:b/>
          <w:bCs/>
          <w:sz w:val="26"/>
          <w:szCs w:val="26"/>
        </w:rPr>
        <w:t xml:space="preserve">. Kompensējamie izdevumi reģionālās nozīmes pārvadājumos ar </w:t>
      </w:r>
      <w:r>
        <w:rPr>
          <w:b/>
          <w:bCs/>
          <w:sz w:val="26"/>
          <w:szCs w:val="26"/>
        </w:rPr>
        <w:t>vilcieniem</w:t>
      </w:r>
    </w:p>
    <w:p w14:paraId="3BD582C1" w14:textId="2FD1124A" w:rsidR="00140AAB" w:rsidRDefault="00140AAB" w:rsidP="00194D65">
      <w:pPr>
        <w:ind w:firstLine="709"/>
        <w:jc w:val="both"/>
        <w:rPr>
          <w:sz w:val="26"/>
          <w:szCs w:val="26"/>
        </w:rPr>
      </w:pPr>
      <w:r>
        <w:rPr>
          <w:sz w:val="26"/>
          <w:szCs w:val="26"/>
        </w:rPr>
        <w:t xml:space="preserve">Atšķirībā no reģionālās nozīmes pārvadājumiem ar autobusiem reģionālās nozīmes pārvadājumos ar vilcieniem tiek kompensētas faktiskās </w:t>
      </w:r>
      <w:r w:rsidR="00A247ED">
        <w:rPr>
          <w:sz w:val="26"/>
          <w:szCs w:val="26"/>
        </w:rPr>
        <w:t xml:space="preserve">ar līguma izpildi saistītās </w:t>
      </w:r>
      <w:r>
        <w:rPr>
          <w:sz w:val="26"/>
          <w:szCs w:val="26"/>
        </w:rPr>
        <w:t xml:space="preserve">izmaksas pilnā apmērā. Tā kā AS “Pasažieru vilciens” kompensējamās izmaksas sastāda 99% no kompensējamām izmaksām reģionālās nozīmes pārvadājumos ar vilcieniem, tad </w:t>
      </w:r>
      <w:r w:rsidR="00797F2A">
        <w:rPr>
          <w:sz w:val="26"/>
          <w:szCs w:val="26"/>
        </w:rPr>
        <w:t xml:space="preserve">ziņojumā tiks apskatītas lielākās un </w:t>
      </w:r>
      <w:r w:rsidR="00A247ED">
        <w:rPr>
          <w:sz w:val="26"/>
          <w:szCs w:val="26"/>
        </w:rPr>
        <w:t xml:space="preserve">būtiskāko </w:t>
      </w:r>
      <w:r w:rsidR="00797F2A">
        <w:rPr>
          <w:sz w:val="26"/>
          <w:szCs w:val="26"/>
        </w:rPr>
        <w:t xml:space="preserve">ietekmi veidojošās izmaksas. </w:t>
      </w:r>
    </w:p>
    <w:p w14:paraId="7C3EDDD8" w14:textId="0B25BC0F" w:rsidR="00797F2A" w:rsidRDefault="00797F2A" w:rsidP="00194D65">
      <w:pPr>
        <w:ind w:firstLine="709"/>
        <w:jc w:val="both"/>
        <w:rPr>
          <w:sz w:val="26"/>
          <w:szCs w:val="26"/>
        </w:rPr>
      </w:pPr>
      <w:r>
        <w:rPr>
          <w:sz w:val="26"/>
          <w:szCs w:val="26"/>
        </w:rPr>
        <w:t xml:space="preserve">Vērtējot </w:t>
      </w:r>
      <w:r w:rsidR="00815359">
        <w:rPr>
          <w:sz w:val="26"/>
          <w:szCs w:val="26"/>
        </w:rPr>
        <w:t xml:space="preserve">laika </w:t>
      </w:r>
      <w:r>
        <w:rPr>
          <w:sz w:val="26"/>
          <w:szCs w:val="26"/>
        </w:rPr>
        <w:t>posmu no 2019.-2021.gadam, kompensējamo izmaksu apjomi bija salīdzinoši konstanti, atsevišķos gados savstarpēji kompensējot atsevišķu izmaksu pieaugumus vai samazinājumus.</w:t>
      </w:r>
    </w:p>
    <w:p w14:paraId="78460252" w14:textId="2A31670E" w:rsidR="00797F2A" w:rsidRDefault="00797F2A" w:rsidP="00194D65">
      <w:pPr>
        <w:ind w:firstLine="709"/>
        <w:jc w:val="both"/>
        <w:rPr>
          <w:sz w:val="26"/>
          <w:szCs w:val="26"/>
        </w:rPr>
      </w:pPr>
      <w:r>
        <w:rPr>
          <w:sz w:val="26"/>
          <w:szCs w:val="26"/>
        </w:rPr>
        <w:t>Tomēr 2022.gadā izmaksas</w:t>
      </w:r>
      <w:r w:rsidR="00F13E98">
        <w:rPr>
          <w:sz w:val="26"/>
          <w:szCs w:val="26"/>
        </w:rPr>
        <w:t>,</w:t>
      </w:r>
      <w:r>
        <w:rPr>
          <w:sz w:val="26"/>
          <w:szCs w:val="26"/>
        </w:rPr>
        <w:t xml:space="preserve"> galvenokārt</w:t>
      </w:r>
      <w:r w:rsidR="00F13E98">
        <w:rPr>
          <w:sz w:val="26"/>
          <w:szCs w:val="26"/>
        </w:rPr>
        <w:t>,</w:t>
      </w:r>
      <w:r>
        <w:rPr>
          <w:sz w:val="26"/>
          <w:szCs w:val="26"/>
        </w:rPr>
        <w:t xml:space="preserve"> palielinājās energoresursiem (dīzeļdegvielai un elektroenerģijai), personāla </w:t>
      </w:r>
      <w:r w:rsidR="00F13E98">
        <w:rPr>
          <w:sz w:val="26"/>
          <w:szCs w:val="26"/>
        </w:rPr>
        <w:t xml:space="preserve">un administrācijas personāla </w:t>
      </w:r>
      <w:r>
        <w:rPr>
          <w:sz w:val="26"/>
          <w:szCs w:val="26"/>
        </w:rPr>
        <w:t>atalgojumam</w:t>
      </w:r>
      <w:r w:rsidR="00A87255">
        <w:rPr>
          <w:sz w:val="26"/>
          <w:szCs w:val="26"/>
        </w:rPr>
        <w:t>, amortizācijas atskaitījumiem</w:t>
      </w:r>
      <w:r w:rsidR="00A87255">
        <w:rPr>
          <w:color w:val="FF0000"/>
          <w:sz w:val="26"/>
          <w:szCs w:val="26"/>
        </w:rPr>
        <w:t xml:space="preserve"> </w:t>
      </w:r>
      <w:r w:rsidR="00A87255" w:rsidRPr="00A87255">
        <w:rPr>
          <w:sz w:val="26"/>
          <w:szCs w:val="26"/>
        </w:rPr>
        <w:t xml:space="preserve">un citām </w:t>
      </w:r>
      <w:r w:rsidR="00A87255">
        <w:rPr>
          <w:sz w:val="26"/>
          <w:szCs w:val="26"/>
        </w:rPr>
        <w:t xml:space="preserve">saimniecisko procesu </w:t>
      </w:r>
      <w:r w:rsidR="00A87255" w:rsidRPr="00A87255">
        <w:rPr>
          <w:sz w:val="26"/>
          <w:szCs w:val="26"/>
        </w:rPr>
        <w:t>izmaksām</w:t>
      </w:r>
      <w:r w:rsidR="00A87255">
        <w:rPr>
          <w:sz w:val="26"/>
          <w:szCs w:val="26"/>
        </w:rPr>
        <w:t xml:space="preserve"> (piemēram, telpu uzturēšanas izdevumi), kas kopsummā veido 6,9 milj. EUR pieaugumu</w:t>
      </w:r>
      <w:r w:rsidR="00A247ED">
        <w:rPr>
          <w:sz w:val="26"/>
          <w:szCs w:val="26"/>
        </w:rPr>
        <w:t>,</w:t>
      </w:r>
      <w:r w:rsidR="00A87255">
        <w:rPr>
          <w:sz w:val="26"/>
          <w:szCs w:val="26"/>
        </w:rPr>
        <w:t xml:space="preserve"> salīdzinot ar 2021.gadu</w:t>
      </w:r>
      <w:r>
        <w:rPr>
          <w:sz w:val="26"/>
          <w:szCs w:val="26"/>
        </w:rPr>
        <w:t>.</w:t>
      </w:r>
    </w:p>
    <w:p w14:paraId="3E112421" w14:textId="77777777" w:rsidR="00A87255" w:rsidRDefault="00A87255" w:rsidP="00194D65">
      <w:pPr>
        <w:ind w:firstLine="709"/>
        <w:jc w:val="both"/>
        <w:rPr>
          <w:sz w:val="26"/>
          <w:szCs w:val="26"/>
        </w:rPr>
      </w:pPr>
    </w:p>
    <w:p w14:paraId="55DE70CE" w14:textId="6C86DEEF" w:rsidR="00140AAB" w:rsidRPr="00B2542E" w:rsidRDefault="00140AAB" w:rsidP="00140AAB">
      <w:pPr>
        <w:ind w:firstLine="709"/>
        <w:jc w:val="right"/>
      </w:pPr>
      <w:r w:rsidRPr="00B2542E">
        <w:t>Tabula</w:t>
      </w:r>
      <w:r w:rsidR="00B2542E" w:rsidRPr="00B2542E">
        <w:t xml:space="preserve"> Nr.5</w:t>
      </w:r>
    </w:p>
    <w:p w14:paraId="65192C38" w14:textId="77777777" w:rsidR="00140AAB" w:rsidRPr="00B2542E" w:rsidRDefault="00140AAB" w:rsidP="00140AAB">
      <w:pPr>
        <w:ind w:firstLine="709"/>
        <w:jc w:val="right"/>
      </w:pPr>
      <w:r w:rsidRPr="00B2542E">
        <w:t xml:space="preserve">Vidējās kompensējamās izmaksas </w:t>
      </w:r>
    </w:p>
    <w:p w14:paraId="519A677A" w14:textId="24CA2839" w:rsidR="00140AAB" w:rsidRPr="00DF2CD4" w:rsidRDefault="00140AAB" w:rsidP="00140AAB">
      <w:pPr>
        <w:ind w:firstLine="709"/>
        <w:jc w:val="right"/>
      </w:pPr>
      <w:r w:rsidRPr="00B2542E">
        <w:t>(izņemot dzelzceļa infrastruktūr</w:t>
      </w:r>
      <w:r w:rsidR="00B2542E">
        <w:t>as izdevumi</w:t>
      </w:r>
      <w:r w:rsidRPr="00B2542E">
        <w:t>)</w:t>
      </w:r>
    </w:p>
    <w:tbl>
      <w:tblPr>
        <w:tblW w:w="6946" w:type="dxa"/>
        <w:jc w:val="center"/>
        <w:tblLook w:val="04A0" w:firstRow="1" w:lastRow="0" w:firstColumn="1" w:lastColumn="0" w:noHBand="0" w:noVBand="1"/>
      </w:tblPr>
      <w:tblGrid>
        <w:gridCol w:w="1115"/>
        <w:gridCol w:w="4414"/>
        <w:gridCol w:w="1417"/>
      </w:tblGrid>
      <w:tr w:rsidR="00C245CE" w:rsidRPr="00C245CE" w14:paraId="0FEA0172" w14:textId="77777777" w:rsidTr="00140AAB">
        <w:trPr>
          <w:trHeight w:val="300"/>
          <w:jc w:val="center"/>
        </w:trPr>
        <w:tc>
          <w:tcPr>
            <w:tcW w:w="111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767B90" w14:textId="77777777" w:rsidR="00C245CE" w:rsidRPr="00C245CE" w:rsidRDefault="00C245CE">
            <w:pPr>
              <w:jc w:val="center"/>
              <w:rPr>
                <w:color w:val="000000"/>
                <w:sz w:val="22"/>
                <w:szCs w:val="22"/>
              </w:rPr>
            </w:pPr>
            <w:r w:rsidRPr="00C245CE">
              <w:rPr>
                <w:color w:val="000000"/>
                <w:sz w:val="22"/>
                <w:szCs w:val="22"/>
              </w:rPr>
              <w:t>2019.gads</w:t>
            </w:r>
          </w:p>
        </w:tc>
        <w:tc>
          <w:tcPr>
            <w:tcW w:w="4414" w:type="dxa"/>
            <w:tcBorders>
              <w:top w:val="single" w:sz="4" w:space="0" w:color="auto"/>
              <w:left w:val="nil"/>
              <w:bottom w:val="single" w:sz="4" w:space="0" w:color="auto"/>
              <w:right w:val="single" w:sz="4" w:space="0" w:color="auto"/>
            </w:tcBorders>
            <w:shd w:val="clear" w:color="auto" w:fill="auto"/>
            <w:noWrap/>
            <w:vAlign w:val="bottom"/>
            <w:hideMark/>
          </w:tcPr>
          <w:p w14:paraId="7D6EF570" w14:textId="4181C0EA" w:rsidR="00C245CE" w:rsidRPr="00C245CE" w:rsidRDefault="00C245CE">
            <w:pPr>
              <w:rPr>
                <w:color w:val="000000"/>
                <w:sz w:val="22"/>
                <w:szCs w:val="22"/>
              </w:rPr>
            </w:pPr>
            <w:r w:rsidRPr="00C245CE">
              <w:rPr>
                <w:color w:val="000000"/>
                <w:sz w:val="22"/>
                <w:szCs w:val="22"/>
              </w:rPr>
              <w:t>Nobraukums</w:t>
            </w:r>
            <w:r>
              <w:rPr>
                <w:color w:val="000000"/>
                <w:sz w:val="22"/>
                <w:szCs w:val="22"/>
              </w:rPr>
              <w:t>, vagonkm</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24CAB762" w14:textId="77777777" w:rsidR="00C245CE" w:rsidRPr="00C245CE" w:rsidRDefault="00C245CE">
            <w:pPr>
              <w:jc w:val="right"/>
              <w:rPr>
                <w:color w:val="000000"/>
                <w:sz w:val="22"/>
                <w:szCs w:val="22"/>
              </w:rPr>
            </w:pPr>
            <w:r w:rsidRPr="00C245CE">
              <w:rPr>
                <w:color w:val="000000"/>
                <w:sz w:val="22"/>
                <w:szCs w:val="22"/>
              </w:rPr>
              <w:t>25 838 408</w:t>
            </w:r>
          </w:p>
        </w:tc>
      </w:tr>
      <w:tr w:rsidR="00C245CE" w:rsidRPr="00C245CE" w14:paraId="1BA9BF32" w14:textId="77777777" w:rsidTr="00140AAB">
        <w:trPr>
          <w:trHeight w:val="300"/>
          <w:jc w:val="center"/>
        </w:trPr>
        <w:tc>
          <w:tcPr>
            <w:tcW w:w="1115" w:type="dxa"/>
            <w:vMerge/>
            <w:tcBorders>
              <w:top w:val="single" w:sz="4" w:space="0" w:color="auto"/>
              <w:left w:val="single" w:sz="4" w:space="0" w:color="auto"/>
              <w:bottom w:val="single" w:sz="4" w:space="0" w:color="auto"/>
              <w:right w:val="single" w:sz="4" w:space="0" w:color="auto"/>
            </w:tcBorders>
            <w:vAlign w:val="center"/>
            <w:hideMark/>
          </w:tcPr>
          <w:p w14:paraId="1F4639E6" w14:textId="77777777" w:rsidR="00C245CE" w:rsidRPr="00C245CE" w:rsidRDefault="00C245CE">
            <w:pPr>
              <w:rPr>
                <w:color w:val="000000"/>
                <w:sz w:val="22"/>
                <w:szCs w:val="22"/>
              </w:rPr>
            </w:pPr>
          </w:p>
        </w:tc>
        <w:tc>
          <w:tcPr>
            <w:tcW w:w="4414" w:type="dxa"/>
            <w:tcBorders>
              <w:top w:val="nil"/>
              <w:left w:val="nil"/>
              <w:bottom w:val="single" w:sz="4" w:space="0" w:color="auto"/>
              <w:right w:val="single" w:sz="4" w:space="0" w:color="auto"/>
            </w:tcBorders>
            <w:shd w:val="clear" w:color="auto" w:fill="auto"/>
            <w:noWrap/>
            <w:vAlign w:val="bottom"/>
            <w:hideMark/>
          </w:tcPr>
          <w:p w14:paraId="6427EAF8" w14:textId="0C596126" w:rsidR="00C245CE" w:rsidRPr="00C245CE" w:rsidRDefault="00C245CE">
            <w:pPr>
              <w:rPr>
                <w:color w:val="000000"/>
                <w:sz w:val="22"/>
                <w:szCs w:val="22"/>
              </w:rPr>
            </w:pPr>
            <w:r w:rsidRPr="00C245CE">
              <w:rPr>
                <w:color w:val="000000"/>
                <w:sz w:val="22"/>
                <w:szCs w:val="22"/>
              </w:rPr>
              <w:t>Kompensējamās izmaksas</w:t>
            </w:r>
            <w:r>
              <w:rPr>
                <w:color w:val="000000"/>
                <w:sz w:val="22"/>
                <w:szCs w:val="22"/>
              </w:rPr>
              <w:t>,</w:t>
            </w:r>
            <w:r w:rsidRPr="00C245CE">
              <w:rPr>
                <w:color w:val="000000"/>
                <w:sz w:val="22"/>
                <w:szCs w:val="22"/>
              </w:rPr>
              <w:t xml:space="preserve"> </w:t>
            </w:r>
            <w:r>
              <w:rPr>
                <w:color w:val="000000"/>
                <w:sz w:val="22"/>
                <w:szCs w:val="22"/>
              </w:rPr>
              <w:t>EUR/vagon</w:t>
            </w:r>
            <w:r w:rsidRPr="00C245CE">
              <w:rPr>
                <w:color w:val="000000"/>
                <w:sz w:val="22"/>
                <w:szCs w:val="22"/>
              </w:rPr>
              <w:t>km</w:t>
            </w:r>
          </w:p>
        </w:tc>
        <w:tc>
          <w:tcPr>
            <w:tcW w:w="1417" w:type="dxa"/>
            <w:tcBorders>
              <w:top w:val="nil"/>
              <w:left w:val="nil"/>
              <w:bottom w:val="single" w:sz="4" w:space="0" w:color="auto"/>
              <w:right w:val="single" w:sz="4" w:space="0" w:color="auto"/>
            </w:tcBorders>
            <w:shd w:val="clear" w:color="auto" w:fill="auto"/>
            <w:noWrap/>
            <w:vAlign w:val="bottom"/>
            <w:hideMark/>
          </w:tcPr>
          <w:p w14:paraId="6A6E11B2" w14:textId="076CE1FB" w:rsidR="00C245CE" w:rsidRPr="00C245CE" w:rsidRDefault="00C245CE">
            <w:pPr>
              <w:jc w:val="right"/>
              <w:rPr>
                <w:color w:val="000000"/>
                <w:sz w:val="22"/>
                <w:szCs w:val="22"/>
              </w:rPr>
            </w:pPr>
            <w:r w:rsidRPr="00C245CE">
              <w:rPr>
                <w:color w:val="000000"/>
                <w:sz w:val="22"/>
                <w:szCs w:val="22"/>
              </w:rPr>
              <w:t>1</w:t>
            </w:r>
            <w:r w:rsidR="00815359">
              <w:rPr>
                <w:color w:val="000000"/>
                <w:sz w:val="22"/>
                <w:szCs w:val="22"/>
              </w:rPr>
              <w:t>,</w:t>
            </w:r>
            <w:r w:rsidRPr="00C245CE">
              <w:rPr>
                <w:color w:val="000000"/>
                <w:sz w:val="22"/>
                <w:szCs w:val="22"/>
              </w:rPr>
              <w:t>320</w:t>
            </w:r>
          </w:p>
        </w:tc>
      </w:tr>
      <w:tr w:rsidR="00C245CE" w:rsidRPr="00C245CE" w14:paraId="4FBBFF94" w14:textId="77777777" w:rsidTr="00140AAB">
        <w:trPr>
          <w:trHeight w:val="300"/>
          <w:jc w:val="center"/>
        </w:trPr>
        <w:tc>
          <w:tcPr>
            <w:tcW w:w="111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A18995C" w14:textId="77777777" w:rsidR="00C245CE" w:rsidRPr="00C245CE" w:rsidRDefault="00C245CE">
            <w:pPr>
              <w:jc w:val="center"/>
              <w:rPr>
                <w:color w:val="000000"/>
                <w:sz w:val="22"/>
                <w:szCs w:val="22"/>
              </w:rPr>
            </w:pPr>
            <w:r w:rsidRPr="00C245CE">
              <w:rPr>
                <w:color w:val="000000"/>
                <w:sz w:val="22"/>
                <w:szCs w:val="22"/>
              </w:rPr>
              <w:t>2020.gads</w:t>
            </w:r>
          </w:p>
        </w:tc>
        <w:tc>
          <w:tcPr>
            <w:tcW w:w="4414" w:type="dxa"/>
            <w:tcBorders>
              <w:top w:val="nil"/>
              <w:left w:val="nil"/>
              <w:bottom w:val="single" w:sz="4" w:space="0" w:color="auto"/>
              <w:right w:val="single" w:sz="4" w:space="0" w:color="auto"/>
            </w:tcBorders>
            <w:shd w:val="clear" w:color="auto" w:fill="auto"/>
            <w:noWrap/>
            <w:vAlign w:val="bottom"/>
            <w:hideMark/>
          </w:tcPr>
          <w:p w14:paraId="7CC04119" w14:textId="117E1DAE" w:rsidR="00C245CE" w:rsidRPr="00C245CE" w:rsidRDefault="00C245CE">
            <w:pPr>
              <w:rPr>
                <w:color w:val="000000"/>
                <w:sz w:val="22"/>
                <w:szCs w:val="22"/>
              </w:rPr>
            </w:pPr>
            <w:r w:rsidRPr="00C245CE">
              <w:rPr>
                <w:color w:val="000000"/>
                <w:sz w:val="22"/>
                <w:szCs w:val="22"/>
              </w:rPr>
              <w:t>Nobraukums</w:t>
            </w:r>
            <w:r>
              <w:rPr>
                <w:color w:val="000000"/>
                <w:sz w:val="22"/>
                <w:szCs w:val="22"/>
              </w:rPr>
              <w:t>, vagonkm</w:t>
            </w:r>
          </w:p>
        </w:tc>
        <w:tc>
          <w:tcPr>
            <w:tcW w:w="1417" w:type="dxa"/>
            <w:tcBorders>
              <w:top w:val="nil"/>
              <w:left w:val="nil"/>
              <w:bottom w:val="single" w:sz="4" w:space="0" w:color="auto"/>
              <w:right w:val="single" w:sz="4" w:space="0" w:color="auto"/>
            </w:tcBorders>
            <w:shd w:val="clear" w:color="auto" w:fill="auto"/>
            <w:noWrap/>
            <w:vAlign w:val="bottom"/>
            <w:hideMark/>
          </w:tcPr>
          <w:p w14:paraId="768E64C0" w14:textId="77777777" w:rsidR="00C245CE" w:rsidRPr="00C245CE" w:rsidRDefault="00C245CE">
            <w:pPr>
              <w:jc w:val="right"/>
              <w:rPr>
                <w:color w:val="000000"/>
                <w:sz w:val="22"/>
                <w:szCs w:val="22"/>
              </w:rPr>
            </w:pPr>
            <w:r w:rsidRPr="00C245CE">
              <w:rPr>
                <w:color w:val="000000"/>
                <w:sz w:val="22"/>
                <w:szCs w:val="22"/>
              </w:rPr>
              <w:t>26 142 038</w:t>
            </w:r>
          </w:p>
        </w:tc>
      </w:tr>
      <w:tr w:rsidR="00C245CE" w:rsidRPr="00C245CE" w14:paraId="660098F5" w14:textId="77777777" w:rsidTr="00140AAB">
        <w:trPr>
          <w:trHeight w:val="300"/>
          <w:jc w:val="center"/>
        </w:trPr>
        <w:tc>
          <w:tcPr>
            <w:tcW w:w="1115" w:type="dxa"/>
            <w:vMerge/>
            <w:tcBorders>
              <w:top w:val="nil"/>
              <w:left w:val="single" w:sz="4" w:space="0" w:color="auto"/>
              <w:bottom w:val="single" w:sz="4" w:space="0" w:color="auto"/>
              <w:right w:val="single" w:sz="4" w:space="0" w:color="auto"/>
            </w:tcBorders>
            <w:vAlign w:val="center"/>
            <w:hideMark/>
          </w:tcPr>
          <w:p w14:paraId="7A48A4E8" w14:textId="77777777" w:rsidR="00C245CE" w:rsidRPr="00C245CE" w:rsidRDefault="00C245CE">
            <w:pPr>
              <w:rPr>
                <w:color w:val="000000"/>
                <w:sz w:val="22"/>
                <w:szCs w:val="22"/>
              </w:rPr>
            </w:pPr>
          </w:p>
        </w:tc>
        <w:tc>
          <w:tcPr>
            <w:tcW w:w="4414" w:type="dxa"/>
            <w:tcBorders>
              <w:top w:val="nil"/>
              <w:left w:val="nil"/>
              <w:bottom w:val="single" w:sz="4" w:space="0" w:color="auto"/>
              <w:right w:val="single" w:sz="4" w:space="0" w:color="auto"/>
            </w:tcBorders>
            <w:shd w:val="clear" w:color="auto" w:fill="auto"/>
            <w:noWrap/>
            <w:vAlign w:val="bottom"/>
            <w:hideMark/>
          </w:tcPr>
          <w:p w14:paraId="4FEB57CF" w14:textId="66C9BB01" w:rsidR="00C245CE" w:rsidRPr="00C245CE" w:rsidRDefault="00C245CE">
            <w:pPr>
              <w:rPr>
                <w:color w:val="000000"/>
                <w:sz w:val="22"/>
                <w:szCs w:val="22"/>
              </w:rPr>
            </w:pPr>
            <w:r w:rsidRPr="00C245CE">
              <w:rPr>
                <w:color w:val="000000"/>
                <w:sz w:val="22"/>
                <w:szCs w:val="22"/>
              </w:rPr>
              <w:t>Kompensējamās izmaksas</w:t>
            </w:r>
            <w:r>
              <w:rPr>
                <w:color w:val="000000"/>
                <w:sz w:val="22"/>
                <w:szCs w:val="22"/>
              </w:rPr>
              <w:t>,</w:t>
            </w:r>
            <w:r w:rsidRPr="00C245CE">
              <w:rPr>
                <w:color w:val="000000"/>
                <w:sz w:val="22"/>
                <w:szCs w:val="22"/>
              </w:rPr>
              <w:t xml:space="preserve"> </w:t>
            </w:r>
            <w:r>
              <w:rPr>
                <w:color w:val="000000"/>
                <w:sz w:val="22"/>
                <w:szCs w:val="22"/>
              </w:rPr>
              <w:t>EUR/vagon</w:t>
            </w:r>
            <w:r w:rsidRPr="00C245CE">
              <w:rPr>
                <w:color w:val="000000"/>
                <w:sz w:val="22"/>
                <w:szCs w:val="22"/>
              </w:rPr>
              <w:t>km</w:t>
            </w:r>
          </w:p>
        </w:tc>
        <w:tc>
          <w:tcPr>
            <w:tcW w:w="1417" w:type="dxa"/>
            <w:tcBorders>
              <w:top w:val="nil"/>
              <w:left w:val="nil"/>
              <w:bottom w:val="single" w:sz="4" w:space="0" w:color="auto"/>
              <w:right w:val="single" w:sz="4" w:space="0" w:color="auto"/>
            </w:tcBorders>
            <w:shd w:val="clear" w:color="auto" w:fill="auto"/>
            <w:noWrap/>
            <w:vAlign w:val="bottom"/>
            <w:hideMark/>
          </w:tcPr>
          <w:p w14:paraId="12948009" w14:textId="0ABB9480" w:rsidR="00C245CE" w:rsidRPr="00C245CE" w:rsidRDefault="00C245CE">
            <w:pPr>
              <w:jc w:val="right"/>
              <w:rPr>
                <w:color w:val="000000"/>
                <w:sz w:val="22"/>
                <w:szCs w:val="22"/>
              </w:rPr>
            </w:pPr>
            <w:r w:rsidRPr="00C245CE">
              <w:rPr>
                <w:color w:val="000000"/>
                <w:sz w:val="22"/>
                <w:szCs w:val="22"/>
              </w:rPr>
              <w:t>1</w:t>
            </w:r>
            <w:r w:rsidR="00815359">
              <w:rPr>
                <w:color w:val="000000"/>
                <w:sz w:val="22"/>
                <w:szCs w:val="22"/>
              </w:rPr>
              <w:t>,</w:t>
            </w:r>
            <w:r w:rsidRPr="00C245CE">
              <w:rPr>
                <w:color w:val="000000"/>
                <w:sz w:val="22"/>
                <w:szCs w:val="22"/>
              </w:rPr>
              <w:t>318</w:t>
            </w:r>
          </w:p>
        </w:tc>
      </w:tr>
      <w:tr w:rsidR="00C245CE" w:rsidRPr="00C245CE" w14:paraId="373130C7" w14:textId="77777777" w:rsidTr="00140AAB">
        <w:trPr>
          <w:trHeight w:val="300"/>
          <w:jc w:val="center"/>
        </w:trPr>
        <w:tc>
          <w:tcPr>
            <w:tcW w:w="111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FF8D7FB" w14:textId="77777777" w:rsidR="00C245CE" w:rsidRPr="00C245CE" w:rsidRDefault="00C245CE">
            <w:pPr>
              <w:jc w:val="center"/>
              <w:rPr>
                <w:color w:val="000000"/>
                <w:sz w:val="22"/>
                <w:szCs w:val="22"/>
              </w:rPr>
            </w:pPr>
            <w:r w:rsidRPr="00C245CE">
              <w:rPr>
                <w:color w:val="000000"/>
                <w:sz w:val="22"/>
                <w:szCs w:val="22"/>
              </w:rPr>
              <w:t>2021.gads</w:t>
            </w:r>
          </w:p>
        </w:tc>
        <w:tc>
          <w:tcPr>
            <w:tcW w:w="4414" w:type="dxa"/>
            <w:tcBorders>
              <w:top w:val="nil"/>
              <w:left w:val="nil"/>
              <w:bottom w:val="single" w:sz="4" w:space="0" w:color="auto"/>
              <w:right w:val="single" w:sz="4" w:space="0" w:color="auto"/>
            </w:tcBorders>
            <w:shd w:val="clear" w:color="auto" w:fill="auto"/>
            <w:noWrap/>
            <w:vAlign w:val="bottom"/>
            <w:hideMark/>
          </w:tcPr>
          <w:p w14:paraId="48827E04" w14:textId="2E455AA1" w:rsidR="00C245CE" w:rsidRPr="00C245CE" w:rsidRDefault="00C245CE">
            <w:pPr>
              <w:rPr>
                <w:color w:val="000000"/>
                <w:sz w:val="22"/>
                <w:szCs w:val="22"/>
              </w:rPr>
            </w:pPr>
            <w:r w:rsidRPr="00C245CE">
              <w:rPr>
                <w:color w:val="000000"/>
                <w:sz w:val="22"/>
                <w:szCs w:val="22"/>
              </w:rPr>
              <w:t>Nobraukums</w:t>
            </w:r>
            <w:r>
              <w:rPr>
                <w:color w:val="000000"/>
                <w:sz w:val="22"/>
                <w:szCs w:val="22"/>
              </w:rPr>
              <w:t>, vagonkm</w:t>
            </w:r>
          </w:p>
        </w:tc>
        <w:tc>
          <w:tcPr>
            <w:tcW w:w="1417" w:type="dxa"/>
            <w:tcBorders>
              <w:top w:val="nil"/>
              <w:left w:val="nil"/>
              <w:bottom w:val="single" w:sz="4" w:space="0" w:color="auto"/>
              <w:right w:val="single" w:sz="4" w:space="0" w:color="auto"/>
            </w:tcBorders>
            <w:shd w:val="clear" w:color="auto" w:fill="auto"/>
            <w:noWrap/>
            <w:vAlign w:val="bottom"/>
            <w:hideMark/>
          </w:tcPr>
          <w:p w14:paraId="51294461" w14:textId="77777777" w:rsidR="00C245CE" w:rsidRPr="00C245CE" w:rsidRDefault="00C245CE">
            <w:pPr>
              <w:jc w:val="right"/>
              <w:rPr>
                <w:color w:val="000000"/>
                <w:sz w:val="22"/>
                <w:szCs w:val="22"/>
              </w:rPr>
            </w:pPr>
            <w:r w:rsidRPr="00C245CE">
              <w:rPr>
                <w:color w:val="000000"/>
                <w:sz w:val="22"/>
                <w:szCs w:val="22"/>
              </w:rPr>
              <w:t>27 112 623</w:t>
            </w:r>
          </w:p>
        </w:tc>
      </w:tr>
      <w:tr w:rsidR="00C245CE" w:rsidRPr="00C245CE" w14:paraId="1DB1C198" w14:textId="77777777" w:rsidTr="00140AAB">
        <w:trPr>
          <w:trHeight w:val="300"/>
          <w:jc w:val="center"/>
        </w:trPr>
        <w:tc>
          <w:tcPr>
            <w:tcW w:w="1115" w:type="dxa"/>
            <w:vMerge/>
            <w:tcBorders>
              <w:top w:val="nil"/>
              <w:left w:val="single" w:sz="4" w:space="0" w:color="auto"/>
              <w:bottom w:val="single" w:sz="4" w:space="0" w:color="auto"/>
              <w:right w:val="single" w:sz="4" w:space="0" w:color="auto"/>
            </w:tcBorders>
            <w:vAlign w:val="center"/>
            <w:hideMark/>
          </w:tcPr>
          <w:p w14:paraId="75291F93" w14:textId="77777777" w:rsidR="00C245CE" w:rsidRPr="00C245CE" w:rsidRDefault="00C245CE">
            <w:pPr>
              <w:rPr>
                <w:color w:val="000000"/>
                <w:sz w:val="22"/>
                <w:szCs w:val="22"/>
              </w:rPr>
            </w:pPr>
          </w:p>
        </w:tc>
        <w:tc>
          <w:tcPr>
            <w:tcW w:w="4414" w:type="dxa"/>
            <w:tcBorders>
              <w:top w:val="nil"/>
              <w:left w:val="nil"/>
              <w:bottom w:val="single" w:sz="4" w:space="0" w:color="auto"/>
              <w:right w:val="single" w:sz="4" w:space="0" w:color="auto"/>
            </w:tcBorders>
            <w:shd w:val="clear" w:color="auto" w:fill="auto"/>
            <w:noWrap/>
            <w:vAlign w:val="bottom"/>
            <w:hideMark/>
          </w:tcPr>
          <w:p w14:paraId="45AD5013" w14:textId="055E4415" w:rsidR="00C245CE" w:rsidRPr="00C245CE" w:rsidRDefault="00C245CE">
            <w:pPr>
              <w:rPr>
                <w:color w:val="000000"/>
                <w:sz w:val="22"/>
                <w:szCs w:val="22"/>
              </w:rPr>
            </w:pPr>
            <w:r w:rsidRPr="00C245CE">
              <w:rPr>
                <w:color w:val="000000"/>
                <w:sz w:val="22"/>
                <w:szCs w:val="22"/>
              </w:rPr>
              <w:t>Kompensējamās izmaksas</w:t>
            </w:r>
            <w:r>
              <w:rPr>
                <w:color w:val="000000"/>
                <w:sz w:val="22"/>
                <w:szCs w:val="22"/>
              </w:rPr>
              <w:t>,</w:t>
            </w:r>
            <w:r w:rsidRPr="00C245CE">
              <w:rPr>
                <w:color w:val="000000"/>
                <w:sz w:val="22"/>
                <w:szCs w:val="22"/>
              </w:rPr>
              <w:t xml:space="preserve"> </w:t>
            </w:r>
            <w:r>
              <w:rPr>
                <w:color w:val="000000"/>
                <w:sz w:val="22"/>
                <w:szCs w:val="22"/>
              </w:rPr>
              <w:t>EUR/vagon</w:t>
            </w:r>
            <w:r w:rsidRPr="00C245CE">
              <w:rPr>
                <w:color w:val="000000"/>
                <w:sz w:val="22"/>
                <w:szCs w:val="22"/>
              </w:rPr>
              <w:t>km</w:t>
            </w:r>
          </w:p>
        </w:tc>
        <w:tc>
          <w:tcPr>
            <w:tcW w:w="1417" w:type="dxa"/>
            <w:tcBorders>
              <w:top w:val="nil"/>
              <w:left w:val="nil"/>
              <w:bottom w:val="single" w:sz="4" w:space="0" w:color="auto"/>
              <w:right w:val="single" w:sz="4" w:space="0" w:color="auto"/>
            </w:tcBorders>
            <w:shd w:val="clear" w:color="auto" w:fill="auto"/>
            <w:noWrap/>
            <w:vAlign w:val="bottom"/>
            <w:hideMark/>
          </w:tcPr>
          <w:p w14:paraId="24E5C48B" w14:textId="06F1B6E9" w:rsidR="00C245CE" w:rsidRPr="00C245CE" w:rsidRDefault="00C245CE">
            <w:pPr>
              <w:jc w:val="right"/>
              <w:rPr>
                <w:color w:val="000000"/>
                <w:sz w:val="22"/>
                <w:szCs w:val="22"/>
              </w:rPr>
            </w:pPr>
            <w:r w:rsidRPr="00C245CE">
              <w:rPr>
                <w:color w:val="000000"/>
                <w:sz w:val="22"/>
                <w:szCs w:val="22"/>
              </w:rPr>
              <w:t>1</w:t>
            </w:r>
            <w:r w:rsidR="00815359">
              <w:rPr>
                <w:color w:val="000000"/>
                <w:sz w:val="22"/>
                <w:szCs w:val="22"/>
              </w:rPr>
              <w:t>,</w:t>
            </w:r>
            <w:r w:rsidRPr="00C245CE">
              <w:rPr>
                <w:color w:val="000000"/>
                <w:sz w:val="22"/>
                <w:szCs w:val="22"/>
              </w:rPr>
              <w:t>322</w:t>
            </w:r>
          </w:p>
        </w:tc>
      </w:tr>
      <w:tr w:rsidR="00C245CE" w:rsidRPr="00C245CE" w14:paraId="25CF0CA9" w14:textId="77777777" w:rsidTr="00140AAB">
        <w:trPr>
          <w:trHeight w:val="300"/>
          <w:jc w:val="center"/>
        </w:trPr>
        <w:tc>
          <w:tcPr>
            <w:tcW w:w="111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75CA76E" w14:textId="77777777" w:rsidR="00C245CE" w:rsidRPr="00C245CE" w:rsidRDefault="00C245CE">
            <w:pPr>
              <w:jc w:val="center"/>
              <w:rPr>
                <w:color w:val="000000"/>
                <w:sz w:val="22"/>
                <w:szCs w:val="22"/>
              </w:rPr>
            </w:pPr>
            <w:r w:rsidRPr="00C245CE">
              <w:rPr>
                <w:color w:val="000000"/>
                <w:sz w:val="22"/>
                <w:szCs w:val="22"/>
              </w:rPr>
              <w:t>2022.gads</w:t>
            </w:r>
          </w:p>
        </w:tc>
        <w:tc>
          <w:tcPr>
            <w:tcW w:w="4414" w:type="dxa"/>
            <w:tcBorders>
              <w:top w:val="nil"/>
              <w:left w:val="nil"/>
              <w:bottom w:val="single" w:sz="4" w:space="0" w:color="auto"/>
              <w:right w:val="single" w:sz="4" w:space="0" w:color="auto"/>
            </w:tcBorders>
            <w:shd w:val="clear" w:color="auto" w:fill="auto"/>
            <w:noWrap/>
            <w:vAlign w:val="bottom"/>
            <w:hideMark/>
          </w:tcPr>
          <w:p w14:paraId="488FFE2D" w14:textId="35B291BB" w:rsidR="00C245CE" w:rsidRPr="00C245CE" w:rsidRDefault="00C245CE">
            <w:pPr>
              <w:rPr>
                <w:color w:val="000000"/>
                <w:sz w:val="22"/>
                <w:szCs w:val="22"/>
              </w:rPr>
            </w:pPr>
            <w:r w:rsidRPr="00C245CE">
              <w:rPr>
                <w:color w:val="000000"/>
                <w:sz w:val="22"/>
                <w:szCs w:val="22"/>
              </w:rPr>
              <w:t>Nobraukums</w:t>
            </w:r>
            <w:r>
              <w:rPr>
                <w:color w:val="000000"/>
                <w:sz w:val="22"/>
                <w:szCs w:val="22"/>
              </w:rPr>
              <w:t>, vagonkm</w:t>
            </w:r>
          </w:p>
        </w:tc>
        <w:tc>
          <w:tcPr>
            <w:tcW w:w="1417" w:type="dxa"/>
            <w:tcBorders>
              <w:top w:val="nil"/>
              <w:left w:val="nil"/>
              <w:bottom w:val="single" w:sz="4" w:space="0" w:color="auto"/>
              <w:right w:val="single" w:sz="4" w:space="0" w:color="auto"/>
            </w:tcBorders>
            <w:shd w:val="clear" w:color="auto" w:fill="auto"/>
            <w:noWrap/>
            <w:vAlign w:val="bottom"/>
            <w:hideMark/>
          </w:tcPr>
          <w:p w14:paraId="5716EEAB" w14:textId="77777777" w:rsidR="00C245CE" w:rsidRPr="00C245CE" w:rsidRDefault="00C245CE">
            <w:pPr>
              <w:jc w:val="right"/>
              <w:rPr>
                <w:color w:val="000000"/>
                <w:sz w:val="22"/>
                <w:szCs w:val="22"/>
              </w:rPr>
            </w:pPr>
            <w:r w:rsidRPr="00C245CE">
              <w:rPr>
                <w:color w:val="000000"/>
                <w:sz w:val="22"/>
                <w:szCs w:val="22"/>
              </w:rPr>
              <w:t>27 693 764</w:t>
            </w:r>
          </w:p>
        </w:tc>
      </w:tr>
      <w:tr w:rsidR="00C245CE" w:rsidRPr="00C245CE" w14:paraId="353466DC" w14:textId="77777777" w:rsidTr="00140AAB">
        <w:trPr>
          <w:trHeight w:val="300"/>
          <w:jc w:val="center"/>
        </w:trPr>
        <w:tc>
          <w:tcPr>
            <w:tcW w:w="1115" w:type="dxa"/>
            <w:vMerge/>
            <w:tcBorders>
              <w:top w:val="nil"/>
              <w:left w:val="single" w:sz="4" w:space="0" w:color="auto"/>
              <w:bottom w:val="single" w:sz="4" w:space="0" w:color="auto"/>
              <w:right w:val="single" w:sz="4" w:space="0" w:color="auto"/>
            </w:tcBorders>
            <w:vAlign w:val="center"/>
            <w:hideMark/>
          </w:tcPr>
          <w:p w14:paraId="13257083" w14:textId="77777777" w:rsidR="00C245CE" w:rsidRPr="00C245CE" w:rsidRDefault="00C245CE">
            <w:pPr>
              <w:rPr>
                <w:color w:val="000000"/>
                <w:sz w:val="22"/>
                <w:szCs w:val="22"/>
              </w:rPr>
            </w:pPr>
          </w:p>
        </w:tc>
        <w:tc>
          <w:tcPr>
            <w:tcW w:w="4414" w:type="dxa"/>
            <w:tcBorders>
              <w:top w:val="nil"/>
              <w:left w:val="nil"/>
              <w:bottom w:val="single" w:sz="4" w:space="0" w:color="auto"/>
              <w:right w:val="single" w:sz="4" w:space="0" w:color="auto"/>
            </w:tcBorders>
            <w:shd w:val="clear" w:color="auto" w:fill="auto"/>
            <w:noWrap/>
            <w:vAlign w:val="bottom"/>
            <w:hideMark/>
          </w:tcPr>
          <w:p w14:paraId="1E59FF26" w14:textId="557999D4" w:rsidR="00C245CE" w:rsidRPr="00C245CE" w:rsidRDefault="00C245CE">
            <w:pPr>
              <w:rPr>
                <w:color w:val="000000"/>
                <w:sz w:val="22"/>
                <w:szCs w:val="22"/>
              </w:rPr>
            </w:pPr>
            <w:r w:rsidRPr="00C245CE">
              <w:rPr>
                <w:color w:val="000000"/>
                <w:sz w:val="22"/>
                <w:szCs w:val="22"/>
              </w:rPr>
              <w:t>Kompensējamās izmaksas</w:t>
            </w:r>
            <w:r>
              <w:rPr>
                <w:color w:val="000000"/>
                <w:sz w:val="22"/>
                <w:szCs w:val="22"/>
              </w:rPr>
              <w:t>,</w:t>
            </w:r>
            <w:r w:rsidRPr="00C245CE">
              <w:rPr>
                <w:color w:val="000000"/>
                <w:sz w:val="22"/>
                <w:szCs w:val="22"/>
              </w:rPr>
              <w:t xml:space="preserve"> </w:t>
            </w:r>
            <w:r>
              <w:rPr>
                <w:color w:val="000000"/>
                <w:sz w:val="22"/>
                <w:szCs w:val="22"/>
              </w:rPr>
              <w:t>EUR/vagon</w:t>
            </w:r>
            <w:r w:rsidRPr="00C245CE">
              <w:rPr>
                <w:color w:val="000000"/>
                <w:sz w:val="22"/>
                <w:szCs w:val="22"/>
              </w:rPr>
              <w:t>km</w:t>
            </w:r>
          </w:p>
        </w:tc>
        <w:tc>
          <w:tcPr>
            <w:tcW w:w="1417" w:type="dxa"/>
            <w:tcBorders>
              <w:top w:val="nil"/>
              <w:left w:val="nil"/>
              <w:bottom w:val="single" w:sz="4" w:space="0" w:color="auto"/>
              <w:right w:val="single" w:sz="4" w:space="0" w:color="auto"/>
            </w:tcBorders>
            <w:shd w:val="clear" w:color="auto" w:fill="auto"/>
            <w:noWrap/>
            <w:vAlign w:val="bottom"/>
            <w:hideMark/>
          </w:tcPr>
          <w:p w14:paraId="7D9E1910" w14:textId="3D0C0D8A" w:rsidR="00C245CE" w:rsidRPr="00C245CE" w:rsidRDefault="00C245CE">
            <w:pPr>
              <w:jc w:val="right"/>
              <w:rPr>
                <w:color w:val="000000"/>
                <w:sz w:val="22"/>
                <w:szCs w:val="22"/>
              </w:rPr>
            </w:pPr>
            <w:r w:rsidRPr="00C245CE">
              <w:rPr>
                <w:color w:val="000000"/>
                <w:sz w:val="22"/>
                <w:szCs w:val="22"/>
              </w:rPr>
              <w:t>1</w:t>
            </w:r>
            <w:r w:rsidR="00815359">
              <w:rPr>
                <w:color w:val="000000"/>
                <w:sz w:val="22"/>
                <w:szCs w:val="22"/>
              </w:rPr>
              <w:t>,</w:t>
            </w:r>
            <w:r w:rsidRPr="00C245CE">
              <w:rPr>
                <w:color w:val="000000"/>
                <w:sz w:val="22"/>
                <w:szCs w:val="22"/>
              </w:rPr>
              <w:t>545</w:t>
            </w:r>
          </w:p>
        </w:tc>
      </w:tr>
    </w:tbl>
    <w:p w14:paraId="50EDB719" w14:textId="4A960F93" w:rsidR="00514A56" w:rsidRDefault="00514A56" w:rsidP="00194D65">
      <w:pPr>
        <w:ind w:firstLine="709"/>
        <w:jc w:val="both"/>
        <w:rPr>
          <w:sz w:val="26"/>
          <w:szCs w:val="26"/>
        </w:rPr>
      </w:pPr>
    </w:p>
    <w:p w14:paraId="4DF18E70" w14:textId="22834422" w:rsidR="00F13E98" w:rsidRDefault="00F13E98" w:rsidP="00F13E98">
      <w:pPr>
        <w:pStyle w:val="ListParagraph"/>
        <w:ind w:left="0" w:firstLine="709"/>
        <w:jc w:val="both"/>
        <w:rPr>
          <w:sz w:val="26"/>
          <w:szCs w:val="26"/>
        </w:rPr>
      </w:pPr>
      <w:r>
        <w:rPr>
          <w:sz w:val="26"/>
          <w:szCs w:val="26"/>
        </w:rPr>
        <w:t>K</w:t>
      </w:r>
      <w:r w:rsidRPr="00426112">
        <w:rPr>
          <w:sz w:val="26"/>
          <w:szCs w:val="26"/>
        </w:rPr>
        <w:t xml:space="preserve">opējie </w:t>
      </w:r>
      <w:r>
        <w:rPr>
          <w:sz w:val="26"/>
          <w:szCs w:val="26"/>
        </w:rPr>
        <w:t>energoresursu (dīzeļdegviela un elektroenerģija)</w:t>
      </w:r>
      <w:r w:rsidRPr="00426112">
        <w:rPr>
          <w:sz w:val="26"/>
          <w:szCs w:val="26"/>
        </w:rPr>
        <w:t xml:space="preserve"> izdevumi </w:t>
      </w:r>
      <w:r>
        <w:rPr>
          <w:sz w:val="26"/>
          <w:szCs w:val="26"/>
        </w:rPr>
        <w:t>2022.gadā</w:t>
      </w:r>
      <w:r w:rsidR="00A247ED">
        <w:rPr>
          <w:sz w:val="26"/>
          <w:szCs w:val="26"/>
        </w:rPr>
        <w:t>,</w:t>
      </w:r>
      <w:r>
        <w:rPr>
          <w:sz w:val="26"/>
          <w:szCs w:val="26"/>
        </w:rPr>
        <w:t xml:space="preserve"> salīdzinot ar 2021.gadu</w:t>
      </w:r>
      <w:r w:rsidR="00A247ED">
        <w:rPr>
          <w:sz w:val="26"/>
          <w:szCs w:val="26"/>
        </w:rPr>
        <w:t>,</w:t>
      </w:r>
      <w:r>
        <w:rPr>
          <w:sz w:val="26"/>
          <w:szCs w:val="26"/>
        </w:rPr>
        <w:t xml:space="preserve"> </w:t>
      </w:r>
      <w:r w:rsidRPr="00426112">
        <w:rPr>
          <w:sz w:val="26"/>
          <w:szCs w:val="26"/>
        </w:rPr>
        <w:t xml:space="preserve">ir pieauguši </w:t>
      </w:r>
      <w:r w:rsidRPr="00B37290">
        <w:rPr>
          <w:sz w:val="26"/>
          <w:szCs w:val="26"/>
        </w:rPr>
        <w:t>par 72,6%</w:t>
      </w:r>
      <w:r w:rsidR="00754B8B" w:rsidRPr="00B37290">
        <w:rPr>
          <w:sz w:val="26"/>
          <w:szCs w:val="26"/>
        </w:rPr>
        <w:t>,</w:t>
      </w:r>
      <w:r w:rsidRPr="00B37290">
        <w:rPr>
          <w:sz w:val="26"/>
          <w:szCs w:val="26"/>
        </w:rPr>
        <w:t xml:space="preserve"> ņemot vērā straujo dīzeļdegvielas cenas kāpumu globālajā tirgū</w:t>
      </w:r>
      <w:r w:rsidR="00754B8B" w:rsidRPr="00B37290">
        <w:rPr>
          <w:sz w:val="26"/>
          <w:szCs w:val="26"/>
        </w:rPr>
        <w:t>, un</w:t>
      </w:r>
      <w:r w:rsidRPr="00B37290">
        <w:rPr>
          <w:sz w:val="26"/>
          <w:szCs w:val="26"/>
        </w:rPr>
        <w:t xml:space="preserve"> no 2022.gada 1.septembra iepirkuma rezultātā </w:t>
      </w:r>
      <w:r w:rsidR="00B37290" w:rsidRPr="00B37290">
        <w:rPr>
          <w:sz w:val="26"/>
          <w:szCs w:val="26"/>
        </w:rPr>
        <w:t xml:space="preserve">noteiktā </w:t>
      </w:r>
      <w:r w:rsidRPr="00B37290">
        <w:rPr>
          <w:sz w:val="26"/>
          <w:szCs w:val="26"/>
        </w:rPr>
        <w:t>fiksēt</w:t>
      </w:r>
      <w:r w:rsidR="00754B8B" w:rsidRPr="00B37290">
        <w:rPr>
          <w:sz w:val="26"/>
          <w:szCs w:val="26"/>
        </w:rPr>
        <w:t>ās</w:t>
      </w:r>
      <w:r w:rsidRPr="00B37290">
        <w:rPr>
          <w:sz w:val="26"/>
          <w:szCs w:val="26"/>
        </w:rPr>
        <w:t xml:space="preserve"> elektroenerģijas cen</w:t>
      </w:r>
      <w:r w:rsidR="00A247ED">
        <w:rPr>
          <w:sz w:val="26"/>
          <w:szCs w:val="26"/>
        </w:rPr>
        <w:t>a</w:t>
      </w:r>
      <w:r w:rsidR="00B37290" w:rsidRPr="00B37290">
        <w:rPr>
          <w:sz w:val="26"/>
          <w:szCs w:val="26"/>
        </w:rPr>
        <w:t xml:space="preserve"> palielinājusi kopējās izmaksas vismaz par 133%.</w:t>
      </w:r>
      <w:r w:rsidR="00B37290">
        <w:rPr>
          <w:sz w:val="26"/>
          <w:szCs w:val="26"/>
        </w:rPr>
        <w:t xml:space="preserve"> Līdz ar to energoresursu izmaksu pieaugums 2022.gadā bijis vismaz 4,3 milj. EUR. </w:t>
      </w:r>
    </w:p>
    <w:p w14:paraId="0F8434EE" w14:textId="35B971E0" w:rsidR="000705FB" w:rsidRDefault="00B37290" w:rsidP="000705FB">
      <w:pPr>
        <w:ind w:firstLine="709"/>
        <w:jc w:val="both"/>
        <w:rPr>
          <w:sz w:val="26"/>
          <w:szCs w:val="26"/>
        </w:rPr>
      </w:pPr>
      <w:r>
        <w:rPr>
          <w:sz w:val="26"/>
          <w:szCs w:val="26"/>
        </w:rPr>
        <w:t>Attiecībā uz personāla un administrācijas personāla atalgojuma izmaksu pieaugumu jāņem vērā, ka 2021.gadā sakarā ar</w:t>
      </w:r>
      <w:r w:rsidR="006A0D84">
        <w:rPr>
          <w:sz w:val="26"/>
          <w:szCs w:val="26"/>
        </w:rPr>
        <w:t xml:space="preserve"> Covid - 19</w:t>
      </w:r>
      <w:r>
        <w:rPr>
          <w:sz w:val="26"/>
          <w:szCs w:val="26"/>
        </w:rPr>
        <w:t xml:space="preserve"> pandēmijas ietekmi objektīvi atalgojuma izmaksas bija zemākas darbinieku darbanespējas dēļ, pašizolācijas un karantīnas dēļ, kā arī </w:t>
      </w:r>
      <w:r w:rsidRPr="00426112">
        <w:rPr>
          <w:sz w:val="26"/>
          <w:szCs w:val="26"/>
        </w:rPr>
        <w:t xml:space="preserve">epidemioloģisko apstākļu dēļ palielinājās vakanču skaits, kā arī grūtāk bija nokomplektēt brīvās </w:t>
      </w:r>
      <w:r>
        <w:rPr>
          <w:sz w:val="26"/>
          <w:szCs w:val="26"/>
        </w:rPr>
        <w:t>darba</w:t>
      </w:r>
      <w:r w:rsidRPr="00426112">
        <w:rPr>
          <w:sz w:val="26"/>
          <w:szCs w:val="26"/>
        </w:rPr>
        <w:t xml:space="preserve"> vietas</w:t>
      </w:r>
      <w:r>
        <w:rPr>
          <w:sz w:val="26"/>
          <w:szCs w:val="26"/>
        </w:rPr>
        <w:t xml:space="preserve">. Savukārt 2022.gadā, situācijai uzlabojoties, </w:t>
      </w:r>
      <w:r w:rsidR="000705FB">
        <w:rPr>
          <w:sz w:val="26"/>
          <w:szCs w:val="26"/>
        </w:rPr>
        <w:t xml:space="preserve">atalgojuma izmaksas tika nodrošinātas atbilstoši darbinieku skaitam, kā arī no 2022.gada 1.maija tika </w:t>
      </w:r>
      <w:r w:rsidR="000705FB" w:rsidRPr="00140C9E">
        <w:rPr>
          <w:sz w:val="26"/>
          <w:szCs w:val="26"/>
        </w:rPr>
        <w:t>paaugstināts darbinieku atalgojums, līdz ar to 2022.gada 2.pusgadā mainīgās daļas u.c. izmaksas, kas tiek rēķinātas no pamatalgas</w:t>
      </w:r>
      <w:r w:rsidR="000705FB">
        <w:rPr>
          <w:sz w:val="26"/>
          <w:szCs w:val="26"/>
        </w:rPr>
        <w:t xml:space="preserve">, palielinājās. </w:t>
      </w:r>
      <w:r w:rsidR="000705FB">
        <w:rPr>
          <w:sz w:val="26"/>
          <w:szCs w:val="26"/>
        </w:rPr>
        <w:lastRenderedPageBreak/>
        <w:t xml:space="preserve">Savukārt attiecībā uz administrācijas darbinieku atalgojuma izmaksām, ievērojot patēriņa cenu pārmaiņu ietekmi, kā arī kvalificēta darbaspēka piesaisti un noturēšanu nozarē, </w:t>
      </w:r>
      <w:r w:rsidR="000705FB" w:rsidRPr="00C83637">
        <w:rPr>
          <w:sz w:val="26"/>
          <w:szCs w:val="26"/>
        </w:rPr>
        <w:t>tika pārskatīt</w:t>
      </w:r>
      <w:r w:rsidR="000705FB">
        <w:rPr>
          <w:sz w:val="26"/>
          <w:szCs w:val="26"/>
        </w:rPr>
        <w:t>s</w:t>
      </w:r>
      <w:r w:rsidR="000705FB" w:rsidRPr="00C83637">
        <w:rPr>
          <w:sz w:val="26"/>
          <w:szCs w:val="26"/>
        </w:rPr>
        <w:t xml:space="preserve"> atalgojum</w:t>
      </w:r>
      <w:r w:rsidR="000705FB">
        <w:rPr>
          <w:sz w:val="26"/>
          <w:szCs w:val="26"/>
        </w:rPr>
        <w:t>s</w:t>
      </w:r>
      <w:r w:rsidR="000705FB" w:rsidRPr="00C83637">
        <w:rPr>
          <w:sz w:val="26"/>
          <w:szCs w:val="26"/>
        </w:rPr>
        <w:t xml:space="preserve"> AS “Pasažieru vilciens” amatu grupām, paredzot no 2022.gada 1.maija palielināt atalgojumu visām amatu grupām apstiprinātā budžeta ietvaros - administrācijai darbiniekiem, augsti kvalificētiem strādniekiem un vadītājiem palielin</w:t>
      </w:r>
      <w:r w:rsidR="000705FB">
        <w:rPr>
          <w:sz w:val="26"/>
          <w:szCs w:val="26"/>
        </w:rPr>
        <w:t>o</w:t>
      </w:r>
      <w:r w:rsidR="000705FB" w:rsidRPr="00C83637">
        <w:rPr>
          <w:sz w:val="26"/>
          <w:szCs w:val="26"/>
        </w:rPr>
        <w:t>t algas likmes par 5-10%, jo šo amatu atalgojums visvairāk atpaliek no darba tirgus līmeņa.</w:t>
      </w:r>
      <w:r w:rsidR="000705FB">
        <w:rPr>
          <w:sz w:val="26"/>
          <w:szCs w:val="26"/>
        </w:rPr>
        <w:t xml:space="preserve"> Kopējās izmaksu izmaiņas personāla un administrācijas personāla atalgojumam salīdzinājumā ar 2021.gadu </w:t>
      </w:r>
      <w:r w:rsidR="00A87255">
        <w:rPr>
          <w:sz w:val="26"/>
          <w:szCs w:val="26"/>
        </w:rPr>
        <w:t>veidoja 1,73 milj. EUR.</w:t>
      </w:r>
    </w:p>
    <w:p w14:paraId="5A27344D" w14:textId="5691CD93" w:rsidR="00A87255" w:rsidRPr="00C83637" w:rsidRDefault="00A87255" w:rsidP="000705FB">
      <w:pPr>
        <w:ind w:firstLine="709"/>
        <w:jc w:val="both"/>
        <w:rPr>
          <w:sz w:val="26"/>
          <w:szCs w:val="26"/>
        </w:rPr>
      </w:pPr>
      <w:r>
        <w:rPr>
          <w:sz w:val="26"/>
          <w:szCs w:val="26"/>
        </w:rPr>
        <w:t xml:space="preserve">Attiecīgi </w:t>
      </w:r>
      <w:r w:rsidR="007052E9">
        <w:rPr>
          <w:sz w:val="26"/>
          <w:szCs w:val="26"/>
        </w:rPr>
        <w:t>prognozējot 2023.gada izdevumus</w:t>
      </w:r>
      <w:r w:rsidR="00D351DC">
        <w:rPr>
          <w:sz w:val="26"/>
          <w:szCs w:val="26"/>
        </w:rPr>
        <w:t>, kas, pamatojoties uz ekonomisko situāciju un cenām</w:t>
      </w:r>
      <w:r w:rsidR="006A0D84">
        <w:rPr>
          <w:sz w:val="26"/>
          <w:szCs w:val="26"/>
        </w:rPr>
        <w:t>,</w:t>
      </w:r>
      <w:r w:rsidR="00D351DC">
        <w:rPr>
          <w:sz w:val="26"/>
          <w:szCs w:val="26"/>
        </w:rPr>
        <w:t xml:space="preserve"> saglabāsies 2022.gada līmenī</w:t>
      </w:r>
      <w:r w:rsidR="007052E9">
        <w:rPr>
          <w:sz w:val="26"/>
          <w:szCs w:val="26"/>
        </w:rPr>
        <w:t xml:space="preserve">, kopumā izmaksās nav iespējams veikt ekonomiju vai izmaksu samazinošos pasākumus, jo energoresursu izmaksas </w:t>
      </w:r>
      <w:r w:rsidR="00815359">
        <w:rPr>
          <w:sz w:val="26"/>
          <w:szCs w:val="26"/>
        </w:rPr>
        <w:t xml:space="preserve">2022.gada cenās </w:t>
      </w:r>
      <w:r w:rsidR="007052E9">
        <w:rPr>
          <w:sz w:val="26"/>
          <w:szCs w:val="26"/>
        </w:rPr>
        <w:t>veido vismaz 24% no kopējiem izdevumiem, bet personāla un administrācijas personāla izmaksas</w:t>
      </w:r>
      <w:r w:rsidR="00D351DC">
        <w:rPr>
          <w:sz w:val="26"/>
          <w:szCs w:val="26"/>
        </w:rPr>
        <w:t xml:space="preserve"> –</w:t>
      </w:r>
      <w:r w:rsidR="007052E9">
        <w:rPr>
          <w:sz w:val="26"/>
          <w:szCs w:val="26"/>
        </w:rPr>
        <w:t xml:space="preserve"> 36%, kā arī amortizācijas izmaksas </w:t>
      </w:r>
      <w:r w:rsidR="00D351DC">
        <w:rPr>
          <w:sz w:val="26"/>
          <w:szCs w:val="26"/>
        </w:rPr>
        <w:t xml:space="preserve">sastāda </w:t>
      </w:r>
      <w:r w:rsidR="007052E9">
        <w:rPr>
          <w:sz w:val="26"/>
          <w:szCs w:val="26"/>
        </w:rPr>
        <w:t xml:space="preserve">12% no kopējiem izdevumiem. </w:t>
      </w:r>
    </w:p>
    <w:p w14:paraId="0D1DEADD" w14:textId="4FC7D974" w:rsidR="00194D65" w:rsidRDefault="00194D65" w:rsidP="00194D65">
      <w:pPr>
        <w:ind w:firstLine="709"/>
        <w:jc w:val="both"/>
        <w:rPr>
          <w:sz w:val="26"/>
          <w:szCs w:val="26"/>
        </w:rPr>
      </w:pPr>
    </w:p>
    <w:p w14:paraId="11154DE2" w14:textId="656752B1" w:rsidR="006F5A57" w:rsidRPr="00004192" w:rsidRDefault="00194D65" w:rsidP="00194D65">
      <w:pPr>
        <w:ind w:firstLine="709"/>
        <w:jc w:val="both"/>
        <w:rPr>
          <w:b/>
          <w:bCs/>
          <w:sz w:val="26"/>
          <w:szCs w:val="26"/>
        </w:rPr>
      </w:pPr>
      <w:r w:rsidRPr="00004192">
        <w:rPr>
          <w:b/>
          <w:bCs/>
          <w:sz w:val="26"/>
          <w:szCs w:val="26"/>
        </w:rPr>
        <w:t xml:space="preserve">1.3.2. </w:t>
      </w:r>
      <w:r w:rsidR="007073CC" w:rsidRPr="00004192">
        <w:rPr>
          <w:b/>
          <w:bCs/>
          <w:sz w:val="26"/>
          <w:szCs w:val="26"/>
        </w:rPr>
        <w:t>Pārvadātie pasažieri un biļešu ieņēmumi</w:t>
      </w:r>
    </w:p>
    <w:p w14:paraId="14BFAA3B" w14:textId="11D63441" w:rsidR="007A6853" w:rsidRDefault="007A6853" w:rsidP="007A6853">
      <w:pPr>
        <w:ind w:firstLine="720"/>
        <w:jc w:val="both"/>
        <w:rPr>
          <w:bCs/>
          <w:sz w:val="26"/>
          <w:szCs w:val="26"/>
        </w:rPr>
      </w:pPr>
      <w:r w:rsidRPr="00BC4C4C">
        <w:rPr>
          <w:bCs/>
          <w:sz w:val="26"/>
          <w:szCs w:val="26"/>
        </w:rPr>
        <w:t xml:space="preserve">Pasažieru skaita (braucienu) dinamika un izmaiņas </w:t>
      </w:r>
      <w:r>
        <w:rPr>
          <w:bCs/>
          <w:sz w:val="26"/>
          <w:szCs w:val="26"/>
        </w:rPr>
        <w:t>reģionālās nozīmes pārvadājumos</w:t>
      </w:r>
      <w:r w:rsidRPr="00BC4C4C">
        <w:rPr>
          <w:bCs/>
          <w:sz w:val="26"/>
          <w:szCs w:val="26"/>
        </w:rPr>
        <w:t xml:space="preserve"> ir atspoguļota</w:t>
      </w:r>
      <w:r w:rsidR="00C53E0F">
        <w:rPr>
          <w:bCs/>
          <w:sz w:val="26"/>
          <w:szCs w:val="26"/>
        </w:rPr>
        <w:t>s</w:t>
      </w:r>
      <w:r w:rsidRPr="00BC4C4C">
        <w:rPr>
          <w:bCs/>
          <w:sz w:val="26"/>
          <w:szCs w:val="26"/>
        </w:rPr>
        <w:t xml:space="preserve"> </w:t>
      </w:r>
      <w:r w:rsidRPr="00B2542E">
        <w:rPr>
          <w:bCs/>
          <w:sz w:val="26"/>
          <w:szCs w:val="26"/>
        </w:rPr>
        <w:t>ziņojuma attēlā Nr.</w:t>
      </w:r>
      <w:r w:rsidR="00B2542E" w:rsidRPr="00B2542E">
        <w:rPr>
          <w:bCs/>
          <w:sz w:val="26"/>
          <w:szCs w:val="26"/>
        </w:rPr>
        <w:t>6</w:t>
      </w:r>
      <w:r w:rsidRPr="00B2542E">
        <w:rPr>
          <w:bCs/>
          <w:sz w:val="26"/>
          <w:szCs w:val="26"/>
        </w:rPr>
        <w:t>.</w:t>
      </w:r>
      <w:r w:rsidRPr="00BC4C4C">
        <w:rPr>
          <w:bCs/>
          <w:sz w:val="26"/>
          <w:szCs w:val="26"/>
        </w:rPr>
        <w:t xml:space="preserve"> </w:t>
      </w:r>
      <w:r>
        <w:rPr>
          <w:bCs/>
          <w:sz w:val="26"/>
          <w:szCs w:val="26"/>
        </w:rPr>
        <w:t>Jāatzīmē, ka</w:t>
      </w:r>
      <w:r w:rsidRPr="00A51124">
        <w:rPr>
          <w:bCs/>
          <w:sz w:val="26"/>
          <w:szCs w:val="26"/>
        </w:rPr>
        <w:t xml:space="preserve"> reģionāl</w:t>
      </w:r>
      <w:r w:rsidR="0095784F">
        <w:rPr>
          <w:bCs/>
          <w:sz w:val="26"/>
          <w:szCs w:val="26"/>
        </w:rPr>
        <w:t xml:space="preserve">ās nozīmes </w:t>
      </w:r>
      <w:r w:rsidRPr="00A51124">
        <w:rPr>
          <w:bCs/>
          <w:sz w:val="26"/>
          <w:szCs w:val="26"/>
        </w:rPr>
        <w:t xml:space="preserve"> pārvadājumos</w:t>
      </w:r>
      <w:r>
        <w:rPr>
          <w:bCs/>
          <w:sz w:val="26"/>
          <w:szCs w:val="26"/>
        </w:rPr>
        <w:t xml:space="preserve"> </w:t>
      </w:r>
      <w:r w:rsidRPr="00A51124">
        <w:rPr>
          <w:bCs/>
          <w:sz w:val="26"/>
          <w:szCs w:val="26"/>
        </w:rPr>
        <w:t xml:space="preserve"> ar autobusiem </w:t>
      </w:r>
      <w:r>
        <w:rPr>
          <w:bCs/>
          <w:sz w:val="26"/>
          <w:szCs w:val="26"/>
        </w:rPr>
        <w:t>2022.gadā tika pārvadāti par 26%</w:t>
      </w:r>
      <w:r w:rsidR="0075403B">
        <w:rPr>
          <w:bCs/>
          <w:sz w:val="26"/>
          <w:szCs w:val="26"/>
        </w:rPr>
        <w:t xml:space="preserve"> jeb par 7,78 milj. </w:t>
      </w:r>
      <w:r>
        <w:rPr>
          <w:bCs/>
          <w:sz w:val="26"/>
          <w:szCs w:val="26"/>
        </w:rPr>
        <w:t xml:space="preserve">mazāk pasažieru nekā </w:t>
      </w:r>
      <w:r w:rsidRPr="00A51124">
        <w:rPr>
          <w:bCs/>
          <w:sz w:val="26"/>
          <w:szCs w:val="26"/>
        </w:rPr>
        <w:t>2019.gadā</w:t>
      </w:r>
      <w:r>
        <w:rPr>
          <w:bCs/>
          <w:sz w:val="26"/>
          <w:szCs w:val="26"/>
        </w:rPr>
        <w:t xml:space="preserve">, kad tika pārvadāti 29,46 miljoni pasažieru. Savukārt, salīdzinot pārvadājumu apjomu </w:t>
      </w:r>
      <w:r w:rsidR="00EF657B">
        <w:rPr>
          <w:bCs/>
          <w:sz w:val="26"/>
          <w:szCs w:val="26"/>
        </w:rPr>
        <w:t xml:space="preserve">ar </w:t>
      </w:r>
      <w:r>
        <w:rPr>
          <w:bCs/>
          <w:sz w:val="26"/>
          <w:szCs w:val="26"/>
        </w:rPr>
        <w:t>analogu periodu 2020.gadā, 2022.gadā pārvadāto pasažieru skaits ir pieaudzis par 8% jeb par 1,57 miljoniem</w:t>
      </w:r>
      <w:r w:rsidR="0075403B">
        <w:rPr>
          <w:bCs/>
          <w:sz w:val="26"/>
          <w:szCs w:val="26"/>
        </w:rPr>
        <w:t xml:space="preserve"> pasažieru</w:t>
      </w:r>
      <w:r>
        <w:rPr>
          <w:bCs/>
          <w:sz w:val="26"/>
          <w:szCs w:val="26"/>
        </w:rPr>
        <w:t xml:space="preserve"> un attiecībā pret 2021. gadu pārvadāto pasažieru skaits ir pieaudzis par 29 % jeb par 4,82 miljoniem pasažieru. </w:t>
      </w:r>
    </w:p>
    <w:p w14:paraId="028A45BF" w14:textId="44B36161" w:rsidR="007A6853" w:rsidRDefault="007A6853" w:rsidP="007A6853">
      <w:pPr>
        <w:ind w:firstLine="720"/>
        <w:jc w:val="both"/>
        <w:rPr>
          <w:sz w:val="26"/>
          <w:szCs w:val="26"/>
        </w:rPr>
      </w:pPr>
      <w:r>
        <w:rPr>
          <w:bCs/>
          <w:sz w:val="26"/>
          <w:szCs w:val="26"/>
        </w:rPr>
        <w:t>Arī r</w:t>
      </w:r>
      <w:r w:rsidRPr="00A51124">
        <w:rPr>
          <w:bCs/>
          <w:sz w:val="26"/>
          <w:szCs w:val="26"/>
        </w:rPr>
        <w:t>eģionālās nozīmes pārvadājumos pa dzelzceļu 2022.gad</w:t>
      </w:r>
      <w:r w:rsidR="0075403B">
        <w:rPr>
          <w:bCs/>
          <w:sz w:val="26"/>
          <w:szCs w:val="26"/>
        </w:rPr>
        <w:t>ā</w:t>
      </w:r>
      <w:r w:rsidRPr="00A51124">
        <w:rPr>
          <w:bCs/>
          <w:sz w:val="26"/>
          <w:szCs w:val="26"/>
        </w:rPr>
        <w:t xml:space="preserve"> tika pārvadāti </w:t>
      </w:r>
      <w:r>
        <w:rPr>
          <w:bCs/>
          <w:sz w:val="26"/>
          <w:szCs w:val="26"/>
        </w:rPr>
        <w:t xml:space="preserve">par 15% </w:t>
      </w:r>
      <w:r w:rsidR="00FC77CE">
        <w:rPr>
          <w:bCs/>
          <w:sz w:val="26"/>
          <w:szCs w:val="26"/>
        </w:rPr>
        <w:t xml:space="preserve">jeb par 2,76 milj. </w:t>
      </w:r>
      <w:r>
        <w:rPr>
          <w:bCs/>
          <w:sz w:val="26"/>
          <w:szCs w:val="26"/>
        </w:rPr>
        <w:t xml:space="preserve">mazāk pasažieru nekā 2019.gadā, bet attiecībā pret 2020.gadu pārvadājumu apjoms pieauga par 22% </w:t>
      </w:r>
      <w:r w:rsidR="00FC77CE">
        <w:rPr>
          <w:bCs/>
          <w:sz w:val="26"/>
          <w:szCs w:val="26"/>
        </w:rPr>
        <w:t xml:space="preserve">jeb par 2,84 milj. </w:t>
      </w:r>
      <w:r>
        <w:rPr>
          <w:bCs/>
          <w:sz w:val="26"/>
          <w:szCs w:val="26"/>
        </w:rPr>
        <w:t xml:space="preserve">un pret 2021.gadu tas palielinājās par 42% jeb par 4,66 miljoniem. </w:t>
      </w:r>
    </w:p>
    <w:p w14:paraId="2503C44C" w14:textId="7CEB1944" w:rsidR="007073CC" w:rsidRDefault="007A6853" w:rsidP="00D1613F">
      <w:pPr>
        <w:ind w:firstLine="720"/>
        <w:jc w:val="both"/>
        <w:rPr>
          <w:sz w:val="26"/>
          <w:szCs w:val="26"/>
        </w:rPr>
      </w:pPr>
      <w:r w:rsidRPr="007A6853">
        <w:rPr>
          <w:sz w:val="26"/>
          <w:szCs w:val="26"/>
        </w:rPr>
        <w:t xml:space="preserve">Līdz ar to </w:t>
      </w:r>
      <w:r w:rsidR="00D1613F" w:rsidRPr="007A6853">
        <w:rPr>
          <w:sz w:val="26"/>
          <w:szCs w:val="26"/>
        </w:rPr>
        <w:t xml:space="preserve">sabiedriskā transporta pakalpojumu nozare atkopjas no </w:t>
      </w:r>
      <w:r w:rsidR="00D1613F">
        <w:rPr>
          <w:sz w:val="26"/>
          <w:szCs w:val="26"/>
        </w:rPr>
        <w:t xml:space="preserve">2020. un 2021.gadā </w:t>
      </w:r>
      <w:r w:rsidR="006A0D84">
        <w:rPr>
          <w:sz w:val="26"/>
          <w:szCs w:val="26"/>
        </w:rPr>
        <w:t xml:space="preserve">Covid – 19 </w:t>
      </w:r>
      <w:r w:rsidR="00D1613F" w:rsidRPr="007A6853">
        <w:rPr>
          <w:sz w:val="26"/>
          <w:szCs w:val="26"/>
        </w:rPr>
        <w:t>pandēmijas izraisītajām sekām</w:t>
      </w:r>
      <w:r w:rsidR="00C53E0F">
        <w:rPr>
          <w:sz w:val="26"/>
          <w:szCs w:val="26"/>
        </w:rPr>
        <w:t>,</w:t>
      </w:r>
      <w:r w:rsidR="00D1613F" w:rsidRPr="007A6853">
        <w:rPr>
          <w:sz w:val="26"/>
          <w:szCs w:val="26"/>
        </w:rPr>
        <w:t xml:space="preserve"> </w:t>
      </w:r>
      <w:r w:rsidR="00D1613F">
        <w:rPr>
          <w:sz w:val="26"/>
          <w:szCs w:val="26"/>
        </w:rPr>
        <w:t xml:space="preserve">un </w:t>
      </w:r>
      <w:r w:rsidRPr="007A6853">
        <w:rPr>
          <w:sz w:val="26"/>
          <w:szCs w:val="26"/>
        </w:rPr>
        <w:t xml:space="preserve">2022.gadā pasažieru skaits reģionālās nozīmes pārvadājumos </w:t>
      </w:r>
      <w:r w:rsidR="00D1613F">
        <w:rPr>
          <w:sz w:val="26"/>
          <w:szCs w:val="26"/>
        </w:rPr>
        <w:t xml:space="preserve">stabilizējas un plānots, ka arī 2023.gadā sagaidāma pasažieru plūsmas palielināšanās. </w:t>
      </w:r>
    </w:p>
    <w:p w14:paraId="1F9FA985" w14:textId="4B370512" w:rsidR="007A6853" w:rsidRDefault="007A6853" w:rsidP="006F5A57">
      <w:pPr>
        <w:ind w:firstLine="709"/>
        <w:jc w:val="both"/>
        <w:rPr>
          <w:sz w:val="26"/>
          <w:szCs w:val="26"/>
        </w:rPr>
      </w:pPr>
    </w:p>
    <w:p w14:paraId="18CA4E65" w14:textId="6A9BACD1" w:rsidR="007A6853" w:rsidRDefault="007A6853" w:rsidP="007A6853">
      <w:pPr>
        <w:jc w:val="center"/>
        <w:rPr>
          <w:sz w:val="26"/>
          <w:szCs w:val="26"/>
        </w:rPr>
      </w:pPr>
      <w:r>
        <w:rPr>
          <w:noProof/>
        </w:rPr>
        <w:drawing>
          <wp:inline distT="0" distB="0" distL="0" distR="0" wp14:anchorId="7141AEBB" wp14:editId="4E8DBB1B">
            <wp:extent cx="4695825" cy="2638425"/>
            <wp:effectExtent l="0" t="0" r="9525" b="9525"/>
            <wp:docPr id="8" name="Chart 8">
              <a:extLst xmlns:a="http://schemas.openxmlformats.org/drawingml/2006/main">
                <a:ext uri="{FF2B5EF4-FFF2-40B4-BE49-F238E27FC236}">
                  <a16:creationId xmlns:a16="http://schemas.microsoft.com/office/drawing/2014/main" id="{DD6175D3-D2A8-C7EC-C8E9-9E1C8C7C07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8F01C4C" w14:textId="759CAFE0" w:rsidR="007A6853" w:rsidRPr="006E22CC" w:rsidRDefault="00B2542E" w:rsidP="007A6853">
      <w:pPr>
        <w:jc w:val="center"/>
        <w:rPr>
          <w:sz w:val="26"/>
          <w:szCs w:val="26"/>
        </w:rPr>
      </w:pPr>
      <w:r w:rsidRPr="00B2542E">
        <w:lastRenderedPageBreak/>
        <w:t>6.</w:t>
      </w:r>
      <w:r w:rsidR="007A6853" w:rsidRPr="00B2542E">
        <w:t>attēls</w:t>
      </w:r>
      <w:r w:rsidRPr="00B2542E">
        <w:t xml:space="preserve">. </w:t>
      </w:r>
      <w:r w:rsidR="007A6853" w:rsidRPr="00B2542E">
        <w:t>Pārvadāto pasažieru skaits (braucienu skaits), milj.</w:t>
      </w:r>
    </w:p>
    <w:p w14:paraId="7E7A3452" w14:textId="77777777" w:rsidR="007A6853" w:rsidRPr="006E22CC" w:rsidRDefault="007A6853" w:rsidP="007A6853">
      <w:pPr>
        <w:ind w:firstLine="709"/>
        <w:jc w:val="both"/>
        <w:rPr>
          <w:sz w:val="26"/>
          <w:szCs w:val="26"/>
        </w:rPr>
      </w:pPr>
    </w:p>
    <w:p w14:paraId="4CBAE6A7" w14:textId="28D610E3" w:rsidR="00D1613F" w:rsidRDefault="008A0098" w:rsidP="00D1613F">
      <w:pPr>
        <w:ind w:firstLine="720"/>
        <w:jc w:val="both"/>
        <w:rPr>
          <w:sz w:val="26"/>
          <w:szCs w:val="26"/>
        </w:rPr>
      </w:pPr>
      <w:r>
        <w:rPr>
          <w:sz w:val="26"/>
          <w:szCs w:val="26"/>
        </w:rPr>
        <w:t xml:space="preserve">Ievērojot to, ka </w:t>
      </w:r>
      <w:r w:rsidR="00D1613F">
        <w:rPr>
          <w:sz w:val="26"/>
          <w:szCs w:val="26"/>
        </w:rPr>
        <w:t xml:space="preserve">atkarībā no pasažieru </w:t>
      </w:r>
      <w:r w:rsidR="001C6C76">
        <w:rPr>
          <w:sz w:val="26"/>
          <w:szCs w:val="26"/>
        </w:rPr>
        <w:t xml:space="preserve">skaita pieauguma </w:t>
      </w:r>
      <w:r w:rsidR="009712CC">
        <w:rPr>
          <w:sz w:val="26"/>
          <w:szCs w:val="26"/>
        </w:rPr>
        <w:t xml:space="preserve">palielinās </w:t>
      </w:r>
      <w:r w:rsidR="00D1613F">
        <w:rPr>
          <w:sz w:val="26"/>
          <w:szCs w:val="26"/>
        </w:rPr>
        <w:t>arī biļešu ieņēmumi, kas kompensē pārvadājumos radušos izdevumus</w:t>
      </w:r>
      <w:r>
        <w:rPr>
          <w:sz w:val="26"/>
          <w:szCs w:val="26"/>
        </w:rPr>
        <w:t>, a</w:t>
      </w:r>
      <w:r w:rsidR="00D1613F" w:rsidRPr="00082264">
        <w:rPr>
          <w:bCs/>
          <w:sz w:val="26"/>
          <w:szCs w:val="26"/>
        </w:rPr>
        <w:t>p</w:t>
      </w:r>
      <w:r w:rsidR="00D1613F">
        <w:rPr>
          <w:bCs/>
          <w:sz w:val="26"/>
          <w:szCs w:val="26"/>
        </w:rPr>
        <w:t xml:space="preserve">kopojot informāciju par </w:t>
      </w:r>
      <w:r w:rsidR="00D1613F" w:rsidRPr="00082264">
        <w:rPr>
          <w:bCs/>
          <w:sz w:val="26"/>
          <w:szCs w:val="26"/>
        </w:rPr>
        <w:t>ieņēmu</w:t>
      </w:r>
      <w:r w:rsidR="00D1613F">
        <w:rPr>
          <w:bCs/>
          <w:sz w:val="26"/>
          <w:szCs w:val="26"/>
        </w:rPr>
        <w:t>miem 2022.</w:t>
      </w:r>
      <w:r w:rsidR="00C53E0F">
        <w:rPr>
          <w:bCs/>
          <w:sz w:val="26"/>
          <w:szCs w:val="26"/>
        </w:rPr>
        <w:t> </w:t>
      </w:r>
      <w:r w:rsidR="00D1613F">
        <w:rPr>
          <w:bCs/>
          <w:sz w:val="26"/>
          <w:szCs w:val="26"/>
        </w:rPr>
        <w:t>gad</w:t>
      </w:r>
      <w:r w:rsidR="001C6C76">
        <w:rPr>
          <w:bCs/>
          <w:sz w:val="26"/>
          <w:szCs w:val="26"/>
        </w:rPr>
        <w:t>ā</w:t>
      </w:r>
      <w:r w:rsidR="00D1613F">
        <w:rPr>
          <w:bCs/>
          <w:sz w:val="26"/>
          <w:szCs w:val="26"/>
        </w:rPr>
        <w:t xml:space="preserve"> </w:t>
      </w:r>
      <w:r w:rsidR="00D1613F" w:rsidRPr="00082264">
        <w:rPr>
          <w:bCs/>
          <w:sz w:val="26"/>
          <w:szCs w:val="26"/>
        </w:rPr>
        <w:t xml:space="preserve">reģionālajos pārvadājumos ar autobusiem un vilcieniem </w:t>
      </w:r>
      <w:r w:rsidR="00D1613F">
        <w:rPr>
          <w:bCs/>
          <w:sz w:val="26"/>
          <w:szCs w:val="26"/>
        </w:rPr>
        <w:t>secināms,</w:t>
      </w:r>
      <w:r w:rsidR="00D1613F" w:rsidRPr="00082264">
        <w:rPr>
          <w:bCs/>
          <w:sz w:val="26"/>
          <w:szCs w:val="26"/>
        </w:rPr>
        <w:t xml:space="preserve"> ka pārvadājumos ar autobusiem ieņēmumi, kas</w:t>
      </w:r>
      <w:r w:rsidR="00D1613F" w:rsidRPr="00082264">
        <w:rPr>
          <w:b/>
          <w:sz w:val="26"/>
          <w:szCs w:val="26"/>
        </w:rPr>
        <w:t xml:space="preserve"> </w:t>
      </w:r>
      <w:r w:rsidR="00D1613F" w:rsidRPr="00082264">
        <w:rPr>
          <w:sz w:val="26"/>
          <w:szCs w:val="26"/>
        </w:rPr>
        <w:t>2022.</w:t>
      </w:r>
      <w:r w:rsidR="00C53E0F">
        <w:rPr>
          <w:sz w:val="26"/>
          <w:szCs w:val="26"/>
        </w:rPr>
        <w:t> </w:t>
      </w:r>
      <w:r w:rsidR="00D1613F" w:rsidRPr="00082264">
        <w:rPr>
          <w:sz w:val="26"/>
          <w:szCs w:val="26"/>
        </w:rPr>
        <w:t xml:space="preserve">gadā </w:t>
      </w:r>
      <w:r w:rsidR="00D1613F" w:rsidRPr="00A65D81">
        <w:rPr>
          <w:sz w:val="26"/>
          <w:szCs w:val="26"/>
        </w:rPr>
        <w:t>sastādīja 26,78 milj</w:t>
      </w:r>
      <w:r>
        <w:rPr>
          <w:sz w:val="26"/>
          <w:szCs w:val="26"/>
        </w:rPr>
        <w:t>.</w:t>
      </w:r>
      <w:r w:rsidR="00D1613F" w:rsidRPr="00A65D81">
        <w:rPr>
          <w:sz w:val="26"/>
          <w:szCs w:val="26"/>
        </w:rPr>
        <w:t xml:space="preserve"> </w:t>
      </w:r>
      <w:r>
        <w:rPr>
          <w:sz w:val="26"/>
          <w:szCs w:val="26"/>
        </w:rPr>
        <w:t>EUR</w:t>
      </w:r>
      <w:r w:rsidR="00D1613F" w:rsidRPr="00A65D81">
        <w:rPr>
          <w:sz w:val="26"/>
          <w:szCs w:val="26"/>
        </w:rPr>
        <w:t>, joprojām nav atgriezušies 2019.</w:t>
      </w:r>
      <w:r w:rsidR="0052750F">
        <w:rPr>
          <w:sz w:val="26"/>
          <w:szCs w:val="26"/>
        </w:rPr>
        <w:t> </w:t>
      </w:r>
      <w:r w:rsidR="00D1613F" w:rsidRPr="00A65D81">
        <w:rPr>
          <w:sz w:val="26"/>
          <w:szCs w:val="26"/>
        </w:rPr>
        <w:t xml:space="preserve">gada </w:t>
      </w:r>
      <w:r w:rsidR="00D1613F">
        <w:rPr>
          <w:sz w:val="26"/>
          <w:szCs w:val="26"/>
        </w:rPr>
        <w:t xml:space="preserve">ieņēmumu </w:t>
      </w:r>
      <w:r w:rsidR="00D1613F" w:rsidRPr="00A65D81">
        <w:rPr>
          <w:sz w:val="26"/>
          <w:szCs w:val="26"/>
        </w:rPr>
        <w:t>līmenī, k</w:t>
      </w:r>
      <w:r w:rsidR="0095784F">
        <w:rPr>
          <w:sz w:val="26"/>
          <w:szCs w:val="26"/>
        </w:rPr>
        <w:t>ad</w:t>
      </w:r>
      <w:r w:rsidR="00D1613F" w:rsidRPr="00A65D81">
        <w:rPr>
          <w:sz w:val="26"/>
          <w:szCs w:val="26"/>
        </w:rPr>
        <w:t xml:space="preserve"> ieņēmumu apjoms sasniedza 36,20 milj</w:t>
      </w:r>
      <w:r>
        <w:rPr>
          <w:sz w:val="26"/>
          <w:szCs w:val="26"/>
        </w:rPr>
        <w:t>. EUR</w:t>
      </w:r>
      <w:r w:rsidR="00D1613F" w:rsidRPr="00A65D81">
        <w:rPr>
          <w:sz w:val="26"/>
          <w:szCs w:val="26"/>
        </w:rPr>
        <w:t xml:space="preserve">. </w:t>
      </w:r>
    </w:p>
    <w:p w14:paraId="392F6C7C" w14:textId="58AB5A6A" w:rsidR="00D1613F" w:rsidRDefault="00D1613F" w:rsidP="00D1613F">
      <w:pPr>
        <w:ind w:firstLine="720"/>
        <w:jc w:val="both"/>
        <w:rPr>
          <w:bCs/>
          <w:sz w:val="26"/>
          <w:szCs w:val="26"/>
        </w:rPr>
      </w:pPr>
      <w:r>
        <w:rPr>
          <w:sz w:val="26"/>
          <w:szCs w:val="26"/>
        </w:rPr>
        <w:t xml:space="preserve">Pozitīvas tendences ir novērojamas pārvadājumos </w:t>
      </w:r>
      <w:r w:rsidRPr="00082264">
        <w:rPr>
          <w:sz w:val="26"/>
          <w:szCs w:val="26"/>
        </w:rPr>
        <w:t>ar vilcien</w:t>
      </w:r>
      <w:r>
        <w:rPr>
          <w:sz w:val="26"/>
          <w:szCs w:val="26"/>
        </w:rPr>
        <w:t>iem, jo</w:t>
      </w:r>
      <w:r w:rsidRPr="00082264">
        <w:rPr>
          <w:sz w:val="26"/>
          <w:szCs w:val="26"/>
        </w:rPr>
        <w:t xml:space="preserve"> 2022.</w:t>
      </w:r>
      <w:r>
        <w:rPr>
          <w:sz w:val="26"/>
          <w:szCs w:val="26"/>
        </w:rPr>
        <w:t> </w:t>
      </w:r>
      <w:r w:rsidRPr="00082264">
        <w:rPr>
          <w:sz w:val="26"/>
          <w:szCs w:val="26"/>
        </w:rPr>
        <w:t>gad</w:t>
      </w:r>
      <w:r>
        <w:rPr>
          <w:sz w:val="26"/>
          <w:szCs w:val="26"/>
        </w:rPr>
        <w:t>ā gūtie biļešu</w:t>
      </w:r>
      <w:r w:rsidRPr="00082264">
        <w:rPr>
          <w:sz w:val="26"/>
          <w:szCs w:val="26"/>
        </w:rPr>
        <w:t xml:space="preserve"> ieņēmumi 18,70 milj</w:t>
      </w:r>
      <w:r>
        <w:rPr>
          <w:sz w:val="26"/>
          <w:szCs w:val="26"/>
        </w:rPr>
        <w:t>.</w:t>
      </w:r>
      <w:r w:rsidRPr="00082264">
        <w:rPr>
          <w:sz w:val="26"/>
          <w:szCs w:val="26"/>
        </w:rPr>
        <w:t xml:space="preserve"> </w:t>
      </w:r>
      <w:r>
        <w:rPr>
          <w:sz w:val="26"/>
          <w:szCs w:val="26"/>
        </w:rPr>
        <w:t>EUR apmērā</w:t>
      </w:r>
      <w:r w:rsidRPr="00082264">
        <w:rPr>
          <w:sz w:val="26"/>
          <w:szCs w:val="26"/>
        </w:rPr>
        <w:t xml:space="preserve"> ir par 6% mazāki nekā tie bija pirms pandēmijas laika, bet</w:t>
      </w:r>
      <w:r>
        <w:rPr>
          <w:sz w:val="26"/>
          <w:szCs w:val="26"/>
        </w:rPr>
        <w:t>,</w:t>
      </w:r>
      <w:r w:rsidRPr="00082264">
        <w:rPr>
          <w:sz w:val="26"/>
          <w:szCs w:val="26"/>
        </w:rPr>
        <w:t xml:space="preserve"> salīdzinot </w:t>
      </w:r>
      <w:r>
        <w:rPr>
          <w:sz w:val="26"/>
          <w:szCs w:val="26"/>
        </w:rPr>
        <w:t xml:space="preserve">tos </w:t>
      </w:r>
      <w:r w:rsidRPr="00082264">
        <w:rPr>
          <w:sz w:val="26"/>
          <w:szCs w:val="26"/>
        </w:rPr>
        <w:t>ar 2020.</w:t>
      </w:r>
      <w:r w:rsidR="00C53E0F">
        <w:rPr>
          <w:sz w:val="26"/>
          <w:szCs w:val="26"/>
        </w:rPr>
        <w:t> </w:t>
      </w:r>
      <w:r w:rsidRPr="00082264">
        <w:rPr>
          <w:sz w:val="26"/>
          <w:szCs w:val="26"/>
        </w:rPr>
        <w:t>gadu</w:t>
      </w:r>
      <w:r>
        <w:rPr>
          <w:sz w:val="26"/>
          <w:szCs w:val="26"/>
        </w:rPr>
        <w:t>,</w:t>
      </w:r>
      <w:r w:rsidRPr="00082264">
        <w:rPr>
          <w:sz w:val="26"/>
          <w:szCs w:val="26"/>
        </w:rPr>
        <w:t xml:space="preserve"> tie ir pieauguši par </w:t>
      </w:r>
      <w:r>
        <w:rPr>
          <w:sz w:val="26"/>
          <w:szCs w:val="26"/>
        </w:rPr>
        <w:t xml:space="preserve">attiecīgi </w:t>
      </w:r>
      <w:r w:rsidRPr="00082264">
        <w:rPr>
          <w:sz w:val="26"/>
          <w:szCs w:val="26"/>
        </w:rPr>
        <w:t xml:space="preserve">28% </w:t>
      </w:r>
      <w:r>
        <w:rPr>
          <w:sz w:val="26"/>
          <w:szCs w:val="26"/>
        </w:rPr>
        <w:t>jeb par 4,05 milj</w:t>
      </w:r>
      <w:r w:rsidR="008A0098">
        <w:rPr>
          <w:sz w:val="26"/>
          <w:szCs w:val="26"/>
        </w:rPr>
        <w:t>.</w:t>
      </w:r>
      <w:r w:rsidR="00C53E0F">
        <w:rPr>
          <w:sz w:val="26"/>
          <w:szCs w:val="26"/>
        </w:rPr>
        <w:t>, bet salīdzinot ar 2021. gadu</w:t>
      </w:r>
      <w:r>
        <w:rPr>
          <w:sz w:val="26"/>
          <w:szCs w:val="26"/>
        </w:rPr>
        <w:t xml:space="preserve"> </w:t>
      </w:r>
      <w:r w:rsidR="00C53E0F">
        <w:rPr>
          <w:sz w:val="26"/>
          <w:szCs w:val="26"/>
        </w:rPr>
        <w:t>par</w:t>
      </w:r>
      <w:r w:rsidRPr="00082264">
        <w:rPr>
          <w:sz w:val="26"/>
          <w:szCs w:val="26"/>
        </w:rPr>
        <w:t xml:space="preserve"> 45% </w:t>
      </w:r>
      <w:r>
        <w:rPr>
          <w:sz w:val="26"/>
          <w:szCs w:val="26"/>
        </w:rPr>
        <w:t>jeb par 5,76 milj. EUR</w:t>
      </w:r>
      <w:r w:rsidRPr="00082264">
        <w:rPr>
          <w:bCs/>
          <w:sz w:val="26"/>
          <w:szCs w:val="26"/>
        </w:rPr>
        <w:t>.</w:t>
      </w:r>
      <w:r>
        <w:rPr>
          <w:bCs/>
          <w:sz w:val="26"/>
          <w:szCs w:val="26"/>
        </w:rPr>
        <w:t xml:space="preserve"> Līdz ar to var secināt, ka pārvadājumos ar vilcieniem faktiski ir atjaunota pasažieru plūsma un ieņēmumi pirms pandēmijas apmēros sakarā ar pasažieru skaita pieaugumu un veiktajām izmaiņām braukšanas maksā, kas tika īstenota 2020.gadā</w:t>
      </w:r>
      <w:r w:rsidR="007F1872">
        <w:rPr>
          <w:bCs/>
          <w:sz w:val="26"/>
          <w:szCs w:val="26"/>
        </w:rPr>
        <w:t>, kā arī maršrutu tīkla palielinājumu tieši vilcienu segmentā</w:t>
      </w:r>
      <w:r>
        <w:rPr>
          <w:bCs/>
          <w:sz w:val="26"/>
          <w:szCs w:val="26"/>
        </w:rPr>
        <w:t>.</w:t>
      </w:r>
    </w:p>
    <w:p w14:paraId="6B61A663" w14:textId="33ECD10D" w:rsidR="00D1613F" w:rsidRDefault="00D1613F" w:rsidP="00D1613F">
      <w:pPr>
        <w:ind w:firstLine="720"/>
        <w:jc w:val="both"/>
        <w:rPr>
          <w:bCs/>
          <w:sz w:val="26"/>
          <w:szCs w:val="26"/>
        </w:rPr>
      </w:pPr>
      <w:r>
        <w:rPr>
          <w:bCs/>
          <w:sz w:val="26"/>
          <w:szCs w:val="26"/>
        </w:rPr>
        <w:t xml:space="preserve">Ieņēmumu un pasažieru skaita pieauguma atšķirības starp pārvadājumu veidiem norāda uz veiktajām izmaiņām pēdējo divu gadu laikā, kad būtiski ir samazināts reģionālo autobusu apkalpoto reisu skaits, kas veic pārvadājumus atsevišķos vilcienu virzienos (piemēram, Jūrmalas, Jelgavas, Ogres, Siguldas, Salaspils, Daugavpils virzienos). Līdz ar to ir novērojama pasažieru izvēle par labu vilcienu pārvadājumiem. Vienlaikus jāatzīmē, ka pasažieru skaita salīdzinoši lēnais pieaugums autobusu maršrutos ir saistāms ar komercmaršrutu atvēršanu, kur pārvadātie pasažieri un gūtie ieņēmumi tirgus pārdales rezultātā vairs nav ieskaitāmi dotētā </w:t>
      </w:r>
      <w:r w:rsidR="00C53E0F">
        <w:rPr>
          <w:bCs/>
          <w:sz w:val="26"/>
          <w:szCs w:val="26"/>
        </w:rPr>
        <w:t xml:space="preserve">reģionālās nozīmes </w:t>
      </w:r>
      <w:r>
        <w:rPr>
          <w:bCs/>
          <w:sz w:val="26"/>
          <w:szCs w:val="26"/>
        </w:rPr>
        <w:t>maršrutu tīkla apjomā.</w:t>
      </w:r>
    </w:p>
    <w:p w14:paraId="49E20BCD" w14:textId="01138B88" w:rsidR="008A0098" w:rsidRPr="007F1872" w:rsidRDefault="008A0098" w:rsidP="008A0098">
      <w:pPr>
        <w:pStyle w:val="ListParagraph"/>
        <w:ind w:left="0" w:firstLine="709"/>
        <w:jc w:val="both"/>
        <w:rPr>
          <w:sz w:val="26"/>
          <w:szCs w:val="26"/>
        </w:rPr>
      </w:pPr>
      <w:r>
        <w:rPr>
          <w:bCs/>
          <w:sz w:val="26"/>
          <w:szCs w:val="26"/>
        </w:rPr>
        <w:t xml:space="preserve">Tāpat attiecībā uz ieņēmumiem jāņem vērā arī apstākļi, ka pēdējās izmaiņas attiecībā uz reģionālās nozīmes </w:t>
      </w:r>
      <w:r w:rsidR="007A7A4B">
        <w:rPr>
          <w:bCs/>
          <w:sz w:val="26"/>
          <w:szCs w:val="26"/>
        </w:rPr>
        <w:t>braukšanas maksu</w:t>
      </w:r>
      <w:r w:rsidR="007A7A4B" w:rsidDel="007A7A4B">
        <w:rPr>
          <w:bCs/>
          <w:sz w:val="26"/>
          <w:szCs w:val="26"/>
        </w:rPr>
        <w:t xml:space="preserve"> </w:t>
      </w:r>
      <w:r>
        <w:rPr>
          <w:bCs/>
          <w:sz w:val="26"/>
          <w:szCs w:val="26"/>
        </w:rPr>
        <w:t>(</w:t>
      </w:r>
      <w:r w:rsidR="007A7A4B">
        <w:rPr>
          <w:bCs/>
          <w:sz w:val="26"/>
          <w:szCs w:val="26"/>
        </w:rPr>
        <w:t>tarifiem</w:t>
      </w:r>
      <w:r>
        <w:rPr>
          <w:bCs/>
          <w:sz w:val="26"/>
          <w:szCs w:val="26"/>
        </w:rPr>
        <w:t xml:space="preserve">) veiktas </w:t>
      </w:r>
      <w:r>
        <w:rPr>
          <w:sz w:val="26"/>
          <w:szCs w:val="26"/>
        </w:rPr>
        <w:t>2020.gada sākumā, kad, p</w:t>
      </w:r>
      <w:r w:rsidRPr="00570EB2">
        <w:rPr>
          <w:sz w:val="26"/>
          <w:szCs w:val="26"/>
        </w:rPr>
        <w:t>amatojoties uz Sabiedriskā transporta padomes 2019.gada 6.decembra lēmumu (prot. Nr.12</w:t>
      </w:r>
      <w:r>
        <w:rPr>
          <w:sz w:val="26"/>
          <w:szCs w:val="26"/>
        </w:rPr>
        <w:t xml:space="preserve">, </w:t>
      </w:r>
      <w:r w:rsidRPr="00570EB2">
        <w:rPr>
          <w:sz w:val="26"/>
          <w:szCs w:val="26"/>
        </w:rPr>
        <w:t>1</w:t>
      </w:r>
      <w:r>
        <w:rPr>
          <w:sz w:val="26"/>
          <w:szCs w:val="26"/>
        </w:rPr>
        <w:t>.</w:t>
      </w:r>
      <w:r w:rsidRPr="00570EB2">
        <w:rPr>
          <w:sz w:val="26"/>
          <w:szCs w:val="26"/>
        </w:rPr>
        <w:t xml:space="preserve">§), lai mazinātu valsts budžeta izdevumus saistībā potenciālo ar sabiedriskā transporta pakalpojumu sniegšanā radušos </w:t>
      </w:r>
      <w:r w:rsidRPr="007F1872">
        <w:rPr>
          <w:sz w:val="26"/>
          <w:szCs w:val="26"/>
        </w:rPr>
        <w:t xml:space="preserve">zaudējumu kompensēšanu 2020.gadā, no 2020.gada 15.janvāra paaugstināja braukšanas maksu par 0,10 </w:t>
      </w:r>
      <w:r w:rsidR="007F1872" w:rsidRPr="007F1872">
        <w:rPr>
          <w:sz w:val="26"/>
          <w:szCs w:val="26"/>
        </w:rPr>
        <w:t>EUR</w:t>
      </w:r>
      <w:r w:rsidRPr="007F1872">
        <w:rPr>
          <w:sz w:val="26"/>
          <w:szCs w:val="26"/>
        </w:rPr>
        <w:t xml:space="preserve"> visos reģionālās nozīmes autobusu maršrutos. Savukārt reģionālās nozīmes dzelzceļa maršrutos braukšanas maksa tika paaugstināta par 0,10 </w:t>
      </w:r>
      <w:r w:rsidR="007F1872" w:rsidRPr="007F1872">
        <w:rPr>
          <w:sz w:val="26"/>
          <w:szCs w:val="26"/>
        </w:rPr>
        <w:t>EUR</w:t>
      </w:r>
      <w:r w:rsidRPr="007F1872">
        <w:rPr>
          <w:sz w:val="26"/>
          <w:szCs w:val="26"/>
        </w:rPr>
        <w:t xml:space="preserve"> braucieniem, kur braukšanas maksa nepārsniedza 1,90 </w:t>
      </w:r>
      <w:r w:rsidR="007F1872" w:rsidRPr="007F1872">
        <w:rPr>
          <w:sz w:val="26"/>
          <w:szCs w:val="26"/>
        </w:rPr>
        <w:t>EUR</w:t>
      </w:r>
      <w:r w:rsidRPr="007F1872">
        <w:rPr>
          <w:sz w:val="26"/>
          <w:szCs w:val="26"/>
        </w:rPr>
        <w:t xml:space="preserve">, un par 0,20 </w:t>
      </w:r>
      <w:r w:rsidR="007F1872" w:rsidRPr="007F1872">
        <w:rPr>
          <w:sz w:val="26"/>
          <w:szCs w:val="26"/>
        </w:rPr>
        <w:t>EUR</w:t>
      </w:r>
      <w:r w:rsidRPr="007F1872">
        <w:rPr>
          <w:sz w:val="26"/>
          <w:szCs w:val="26"/>
        </w:rPr>
        <w:t xml:space="preserve">, kur braukšanas maksa bija no 1,90 </w:t>
      </w:r>
      <w:r w:rsidR="007F1872" w:rsidRPr="007F1872">
        <w:rPr>
          <w:sz w:val="26"/>
          <w:szCs w:val="26"/>
        </w:rPr>
        <w:t xml:space="preserve">EUR </w:t>
      </w:r>
      <w:r w:rsidRPr="007F1872">
        <w:rPr>
          <w:sz w:val="26"/>
          <w:szCs w:val="26"/>
        </w:rPr>
        <w:t xml:space="preserve">un augstāka. </w:t>
      </w:r>
    </w:p>
    <w:p w14:paraId="57F1A90A" w14:textId="3FF4FB06" w:rsidR="008A0098" w:rsidRPr="00A10347" w:rsidRDefault="008A0098" w:rsidP="008A0098">
      <w:pPr>
        <w:ind w:firstLine="720"/>
        <w:jc w:val="both"/>
        <w:rPr>
          <w:sz w:val="26"/>
          <w:szCs w:val="26"/>
        </w:rPr>
      </w:pPr>
      <w:r w:rsidRPr="00570EB2">
        <w:rPr>
          <w:sz w:val="26"/>
          <w:szCs w:val="26"/>
        </w:rPr>
        <w:t xml:space="preserve">Tomēr </w:t>
      </w:r>
      <w:r>
        <w:rPr>
          <w:sz w:val="26"/>
          <w:szCs w:val="26"/>
        </w:rPr>
        <w:t xml:space="preserve">gan 2020.gadā, gan 2021.gadā, kad sabiedriskā transporta pakalpojumu nozarē sakarā ar Covid-19 infekcijas slimības ierobežojošiem pasākumiem kopējais pasažieru skaits samazinājās </w:t>
      </w:r>
      <w:r w:rsidR="00CC0569">
        <w:rPr>
          <w:sz w:val="26"/>
          <w:szCs w:val="26"/>
        </w:rPr>
        <w:t xml:space="preserve">vidēji </w:t>
      </w:r>
      <w:r>
        <w:rPr>
          <w:sz w:val="26"/>
          <w:szCs w:val="26"/>
        </w:rPr>
        <w:t xml:space="preserve">vairāk </w:t>
      </w:r>
      <w:r w:rsidRPr="0014763F">
        <w:rPr>
          <w:sz w:val="26"/>
          <w:szCs w:val="26"/>
        </w:rPr>
        <w:t>kā par 3</w:t>
      </w:r>
      <w:r w:rsidR="00CC0569">
        <w:rPr>
          <w:sz w:val="26"/>
          <w:szCs w:val="26"/>
        </w:rPr>
        <w:t>6</w:t>
      </w:r>
      <w:r w:rsidRPr="0014763F">
        <w:rPr>
          <w:sz w:val="26"/>
          <w:szCs w:val="26"/>
        </w:rPr>
        <w:t xml:space="preserve">% salīdzinājumā ar pirmspandēmijas </w:t>
      </w:r>
      <w:r w:rsidRPr="00A10347">
        <w:rPr>
          <w:sz w:val="26"/>
          <w:szCs w:val="26"/>
        </w:rPr>
        <w:t xml:space="preserve">periodu, tad arī plānotās ieņēmumu prognozes saistībā ar tarifa palielinājumu nebija iespējams realizēt. </w:t>
      </w:r>
    </w:p>
    <w:p w14:paraId="3BA7FE55" w14:textId="77777777" w:rsidR="006D771B" w:rsidRPr="00905F32" w:rsidRDefault="006D771B" w:rsidP="00A10347">
      <w:pPr>
        <w:ind w:firstLine="709"/>
        <w:jc w:val="both"/>
        <w:rPr>
          <w:sz w:val="26"/>
          <w:szCs w:val="26"/>
        </w:rPr>
      </w:pPr>
    </w:p>
    <w:p w14:paraId="01CD82AF" w14:textId="60A33FB0" w:rsidR="007073CC" w:rsidRPr="00A10347" w:rsidRDefault="008A0098" w:rsidP="00491A90">
      <w:pPr>
        <w:ind w:firstLine="709"/>
        <w:jc w:val="both"/>
        <w:rPr>
          <w:b/>
          <w:bCs/>
          <w:sz w:val="26"/>
          <w:szCs w:val="26"/>
        </w:rPr>
      </w:pPr>
      <w:bookmarkStart w:id="5" w:name="_Hlk129116643"/>
      <w:r w:rsidRPr="00A10347">
        <w:rPr>
          <w:b/>
          <w:bCs/>
          <w:sz w:val="26"/>
          <w:szCs w:val="26"/>
        </w:rPr>
        <w:t xml:space="preserve">1.3.2.1. </w:t>
      </w:r>
      <w:r w:rsidR="007F1872">
        <w:rPr>
          <w:b/>
          <w:bCs/>
          <w:sz w:val="26"/>
          <w:szCs w:val="26"/>
        </w:rPr>
        <w:t>Biļešu ieņēmumus mazinošie apstākļi, to starpā b</w:t>
      </w:r>
      <w:r w:rsidRPr="00A10347">
        <w:rPr>
          <w:b/>
          <w:bCs/>
          <w:sz w:val="26"/>
          <w:szCs w:val="26"/>
        </w:rPr>
        <w:t>raukšanas maksas atvieglojum</w:t>
      </w:r>
      <w:r w:rsidR="007F1872">
        <w:rPr>
          <w:b/>
          <w:bCs/>
          <w:sz w:val="26"/>
          <w:szCs w:val="26"/>
        </w:rPr>
        <w:t>u piešķiršana</w:t>
      </w:r>
    </w:p>
    <w:p w14:paraId="2EEDF292" w14:textId="3B51EA33" w:rsidR="007460BB" w:rsidRPr="007460BB" w:rsidRDefault="00491A90" w:rsidP="00491A90">
      <w:pPr>
        <w:ind w:firstLine="709"/>
        <w:jc w:val="both"/>
        <w:rPr>
          <w:sz w:val="26"/>
          <w:szCs w:val="26"/>
        </w:rPr>
      </w:pPr>
      <w:r w:rsidRPr="007460BB">
        <w:rPr>
          <w:sz w:val="26"/>
          <w:szCs w:val="26"/>
        </w:rPr>
        <w:t xml:space="preserve">Kopumā reģionālās nozīmes maršrutos 2022.gadā tika </w:t>
      </w:r>
      <w:r w:rsidR="00706075">
        <w:rPr>
          <w:sz w:val="26"/>
          <w:szCs w:val="26"/>
        </w:rPr>
        <w:t>veikti</w:t>
      </w:r>
      <w:r w:rsidRPr="007460BB">
        <w:rPr>
          <w:sz w:val="26"/>
          <w:szCs w:val="26"/>
        </w:rPr>
        <w:t xml:space="preserve"> </w:t>
      </w:r>
      <w:r w:rsidR="00670B72" w:rsidRPr="007460BB">
        <w:rPr>
          <w:sz w:val="26"/>
          <w:szCs w:val="26"/>
        </w:rPr>
        <w:t>37,3</w:t>
      </w:r>
      <w:r w:rsidR="007460BB" w:rsidRPr="007460BB">
        <w:rPr>
          <w:sz w:val="26"/>
          <w:szCs w:val="26"/>
        </w:rPr>
        <w:t>8</w:t>
      </w:r>
      <w:r w:rsidRPr="007460BB">
        <w:rPr>
          <w:sz w:val="26"/>
          <w:szCs w:val="26"/>
        </w:rPr>
        <w:t xml:space="preserve"> mil</w:t>
      </w:r>
      <w:r w:rsidR="007460BB" w:rsidRPr="007460BB">
        <w:rPr>
          <w:sz w:val="26"/>
          <w:szCs w:val="26"/>
        </w:rPr>
        <w:t>joni</w:t>
      </w:r>
      <w:r w:rsidRPr="007460BB">
        <w:rPr>
          <w:sz w:val="26"/>
          <w:szCs w:val="26"/>
        </w:rPr>
        <w:t xml:space="preserve"> </w:t>
      </w:r>
      <w:r w:rsidR="00706075">
        <w:rPr>
          <w:sz w:val="26"/>
          <w:szCs w:val="26"/>
        </w:rPr>
        <w:t>pasažieru braucienu</w:t>
      </w:r>
      <w:r w:rsidRPr="007460BB">
        <w:rPr>
          <w:sz w:val="26"/>
          <w:szCs w:val="26"/>
        </w:rPr>
        <w:t xml:space="preserve">, </w:t>
      </w:r>
      <w:r w:rsidR="007460BB" w:rsidRPr="007460BB">
        <w:rPr>
          <w:sz w:val="26"/>
          <w:szCs w:val="26"/>
        </w:rPr>
        <w:t xml:space="preserve">no kuriem 19% jeb 7,11 miljoni </w:t>
      </w:r>
      <w:r w:rsidR="00706075">
        <w:rPr>
          <w:sz w:val="26"/>
          <w:szCs w:val="26"/>
        </w:rPr>
        <w:t>pasažieru braucienu</w:t>
      </w:r>
      <w:r w:rsidR="007460BB" w:rsidRPr="007460BB">
        <w:rPr>
          <w:sz w:val="26"/>
          <w:szCs w:val="26"/>
        </w:rPr>
        <w:t xml:space="preserve"> </w:t>
      </w:r>
      <w:r w:rsidR="00C53E0F">
        <w:rPr>
          <w:sz w:val="26"/>
          <w:szCs w:val="26"/>
        </w:rPr>
        <w:t xml:space="preserve">ir tādi, kurus  </w:t>
      </w:r>
      <w:r w:rsidR="00C53E0F">
        <w:rPr>
          <w:sz w:val="26"/>
          <w:szCs w:val="26"/>
        </w:rPr>
        <w:lastRenderedPageBreak/>
        <w:t xml:space="preserve">veic </w:t>
      </w:r>
      <w:r w:rsidR="007460BB" w:rsidRPr="00941CF9">
        <w:rPr>
          <w:sz w:val="26"/>
          <w:szCs w:val="26"/>
        </w:rPr>
        <w:t>sociāli mazaizsargāt</w:t>
      </w:r>
      <w:r w:rsidR="00C53E0F">
        <w:rPr>
          <w:sz w:val="26"/>
          <w:szCs w:val="26"/>
        </w:rPr>
        <w:t>ās</w:t>
      </w:r>
      <w:r w:rsidR="007460BB" w:rsidRPr="00941CF9">
        <w:rPr>
          <w:sz w:val="26"/>
          <w:szCs w:val="26"/>
        </w:rPr>
        <w:t xml:space="preserve"> person</w:t>
      </w:r>
      <w:r w:rsidR="00C53E0F">
        <w:rPr>
          <w:sz w:val="26"/>
          <w:szCs w:val="26"/>
        </w:rPr>
        <w:t>as</w:t>
      </w:r>
      <w:r w:rsidR="007460BB" w:rsidRPr="00941CF9">
        <w:rPr>
          <w:rStyle w:val="FootnoteReference"/>
          <w:sz w:val="26"/>
          <w:szCs w:val="26"/>
        </w:rPr>
        <w:footnoteReference w:id="9"/>
      </w:r>
      <w:r w:rsidR="00C53E0F">
        <w:rPr>
          <w:sz w:val="26"/>
          <w:szCs w:val="26"/>
        </w:rPr>
        <w:t>, izmantojot braukšanas maksas atvieglojumus</w:t>
      </w:r>
      <w:r w:rsidR="007460BB">
        <w:rPr>
          <w:sz w:val="26"/>
          <w:szCs w:val="26"/>
        </w:rPr>
        <w:t xml:space="preserve"> (</w:t>
      </w:r>
      <w:r w:rsidR="007460BB" w:rsidRPr="00941CF9">
        <w:rPr>
          <w:sz w:val="26"/>
          <w:szCs w:val="26"/>
        </w:rPr>
        <w:t xml:space="preserve">turpmāk – personas ar braukšanas maksas atvieglojumiem) </w:t>
      </w:r>
      <w:r w:rsidR="007460BB" w:rsidRPr="007460BB">
        <w:rPr>
          <w:sz w:val="26"/>
          <w:szCs w:val="26"/>
        </w:rPr>
        <w:t xml:space="preserve">saskaņā ar Ministru kabineta </w:t>
      </w:r>
      <w:r w:rsidR="00C53E0F" w:rsidRPr="007460BB">
        <w:rPr>
          <w:sz w:val="26"/>
          <w:szCs w:val="26"/>
        </w:rPr>
        <w:t xml:space="preserve">2021.gada 22.jūnija </w:t>
      </w:r>
      <w:r w:rsidR="007460BB" w:rsidRPr="007460BB">
        <w:rPr>
          <w:sz w:val="26"/>
          <w:szCs w:val="26"/>
        </w:rPr>
        <w:t>noteikumiem Nr.414 “Braukšanas maksas atvieglojumu noteikumi”.</w:t>
      </w:r>
    </w:p>
    <w:p w14:paraId="7C62998D" w14:textId="591231B8" w:rsidR="007460BB" w:rsidRDefault="007460BB" w:rsidP="00491A90">
      <w:pPr>
        <w:ind w:firstLine="709"/>
        <w:jc w:val="both"/>
        <w:rPr>
          <w:sz w:val="26"/>
          <w:szCs w:val="26"/>
        </w:rPr>
      </w:pPr>
      <w:r w:rsidRPr="007460BB">
        <w:rPr>
          <w:sz w:val="26"/>
          <w:szCs w:val="26"/>
        </w:rPr>
        <w:t>S</w:t>
      </w:r>
      <w:r w:rsidR="00491A90" w:rsidRPr="007460BB">
        <w:rPr>
          <w:sz w:val="26"/>
          <w:szCs w:val="26"/>
        </w:rPr>
        <w:t xml:space="preserve">avukārt </w:t>
      </w:r>
      <w:r w:rsidRPr="007460BB">
        <w:rPr>
          <w:sz w:val="26"/>
          <w:szCs w:val="26"/>
        </w:rPr>
        <w:t>valsts</w:t>
      </w:r>
      <w:r w:rsidR="00491A90" w:rsidRPr="007460BB">
        <w:rPr>
          <w:sz w:val="26"/>
          <w:szCs w:val="26"/>
        </w:rPr>
        <w:t xml:space="preserve">pilsētas </w:t>
      </w:r>
      <w:r w:rsidRPr="007460BB">
        <w:rPr>
          <w:sz w:val="26"/>
          <w:szCs w:val="26"/>
        </w:rPr>
        <w:t xml:space="preserve">pašvaldību organizētajos pilsētas </w:t>
      </w:r>
      <w:r w:rsidR="00491A90" w:rsidRPr="007460BB">
        <w:rPr>
          <w:sz w:val="26"/>
          <w:szCs w:val="26"/>
        </w:rPr>
        <w:t>nozīmes maršrutos</w:t>
      </w:r>
      <w:r w:rsidRPr="007460BB">
        <w:rPr>
          <w:sz w:val="26"/>
          <w:szCs w:val="26"/>
        </w:rPr>
        <w:t>, kuros valsts budžeta izdevumi tiek piešķirti saistībā ar personu ar invaliditāti</w:t>
      </w:r>
      <w:r>
        <w:rPr>
          <w:rStyle w:val="FootnoteReference"/>
          <w:sz w:val="26"/>
          <w:szCs w:val="26"/>
        </w:rPr>
        <w:footnoteReference w:id="10"/>
      </w:r>
      <w:r w:rsidRPr="007460BB">
        <w:rPr>
          <w:sz w:val="26"/>
          <w:szCs w:val="26"/>
        </w:rPr>
        <w:t xml:space="preserve"> pārvadāšanu</w:t>
      </w:r>
      <w:r>
        <w:rPr>
          <w:sz w:val="26"/>
          <w:szCs w:val="26"/>
        </w:rPr>
        <w:t xml:space="preserve">, kas veido </w:t>
      </w:r>
      <w:r w:rsidR="00706075">
        <w:rPr>
          <w:sz w:val="26"/>
          <w:szCs w:val="26"/>
        </w:rPr>
        <w:t>6% no kopējā pārvadāto pasažieru braucienu skaita un sastāda 7,46 miljonus braucienu.</w:t>
      </w:r>
    </w:p>
    <w:p w14:paraId="2E4CA486" w14:textId="43F7B4BE" w:rsidR="006F5F1A" w:rsidRDefault="00706075" w:rsidP="006F5F1A">
      <w:pPr>
        <w:ind w:firstLine="709"/>
        <w:jc w:val="both"/>
        <w:rPr>
          <w:sz w:val="26"/>
          <w:szCs w:val="26"/>
        </w:rPr>
      </w:pPr>
      <w:r>
        <w:rPr>
          <w:sz w:val="26"/>
          <w:szCs w:val="26"/>
        </w:rPr>
        <w:t xml:space="preserve">Pēdējos četros gados saistībā ar izmaiņām kopējā pasažieru skaitā, ir konstatējamas arī izmaiņas attiecībā uz </w:t>
      </w:r>
      <w:r w:rsidR="006F5F1A">
        <w:rPr>
          <w:sz w:val="26"/>
          <w:szCs w:val="26"/>
        </w:rPr>
        <w:t xml:space="preserve">pasažieru, kas izmanto braukšanas </w:t>
      </w:r>
      <w:r w:rsidR="00C53E0F">
        <w:rPr>
          <w:sz w:val="26"/>
          <w:szCs w:val="26"/>
        </w:rPr>
        <w:t xml:space="preserve">maksas </w:t>
      </w:r>
      <w:r>
        <w:rPr>
          <w:sz w:val="26"/>
          <w:szCs w:val="26"/>
        </w:rPr>
        <w:t>atvieglojumu</w:t>
      </w:r>
      <w:r w:rsidR="006F5F1A">
        <w:rPr>
          <w:sz w:val="26"/>
          <w:szCs w:val="26"/>
        </w:rPr>
        <w:t>s, braucieniem, proti:</w:t>
      </w:r>
    </w:p>
    <w:p w14:paraId="4B40661B" w14:textId="63630DD7" w:rsidR="003937D8" w:rsidRPr="003937D8" w:rsidRDefault="006F5F1A" w:rsidP="00105E75">
      <w:pPr>
        <w:pStyle w:val="ListParagraph"/>
        <w:numPr>
          <w:ilvl w:val="0"/>
          <w:numId w:val="32"/>
        </w:numPr>
        <w:ind w:left="0" w:firstLine="709"/>
        <w:jc w:val="both"/>
        <w:rPr>
          <w:sz w:val="26"/>
          <w:szCs w:val="26"/>
        </w:rPr>
      </w:pPr>
      <w:r>
        <w:rPr>
          <w:sz w:val="26"/>
          <w:szCs w:val="26"/>
        </w:rPr>
        <w:t xml:space="preserve">Reģionālās nozīmes pārvadājumos </w:t>
      </w:r>
      <w:r w:rsidR="003937D8" w:rsidRPr="003937D8">
        <w:rPr>
          <w:sz w:val="26"/>
          <w:szCs w:val="26"/>
        </w:rPr>
        <w:t>daudzbērnu ģimenes locekļ</w:t>
      </w:r>
      <w:r w:rsidR="003937D8">
        <w:rPr>
          <w:sz w:val="26"/>
          <w:szCs w:val="26"/>
        </w:rPr>
        <w:t>u</w:t>
      </w:r>
      <w:r w:rsidR="003937D8" w:rsidRPr="003937D8">
        <w:rPr>
          <w:sz w:val="26"/>
          <w:szCs w:val="26"/>
        </w:rPr>
        <w:t xml:space="preserve"> un ģime</w:t>
      </w:r>
      <w:r w:rsidR="003937D8">
        <w:rPr>
          <w:sz w:val="26"/>
          <w:szCs w:val="26"/>
        </w:rPr>
        <w:t>ņu</w:t>
      </w:r>
      <w:r w:rsidR="003937D8" w:rsidRPr="003937D8">
        <w:rPr>
          <w:sz w:val="26"/>
          <w:szCs w:val="26"/>
        </w:rPr>
        <w:t xml:space="preserve">, </w:t>
      </w:r>
      <w:r w:rsidR="003937D8" w:rsidRPr="003937D8">
        <w:rPr>
          <w:sz w:val="26"/>
          <w:szCs w:val="26"/>
          <w:shd w:val="clear" w:color="auto" w:fill="FFFFFF"/>
        </w:rPr>
        <w:t>kuras izmanto valstī īstenotās Latvijas Goda ģimenes apliecības programmas ietvaros piešķirto apliecību</w:t>
      </w:r>
      <w:r w:rsidR="003937D8">
        <w:rPr>
          <w:sz w:val="26"/>
          <w:szCs w:val="26"/>
        </w:rPr>
        <w:t xml:space="preserve">, </w:t>
      </w:r>
      <w:r w:rsidR="003937D8" w:rsidRPr="003937D8">
        <w:rPr>
          <w:sz w:val="26"/>
          <w:szCs w:val="26"/>
        </w:rPr>
        <w:t>braucienu skai</w:t>
      </w:r>
      <w:r w:rsidR="0095784F">
        <w:rPr>
          <w:sz w:val="26"/>
          <w:szCs w:val="26"/>
        </w:rPr>
        <w:t>ts</w:t>
      </w:r>
      <w:r w:rsidR="003937D8" w:rsidRPr="003937D8">
        <w:rPr>
          <w:sz w:val="26"/>
          <w:szCs w:val="26"/>
        </w:rPr>
        <w:t xml:space="preserve"> </w:t>
      </w:r>
      <w:r w:rsidR="0095784F">
        <w:rPr>
          <w:sz w:val="26"/>
          <w:szCs w:val="26"/>
        </w:rPr>
        <w:t xml:space="preserve">kopš 2019.gada </w:t>
      </w:r>
      <w:r w:rsidR="003937D8">
        <w:rPr>
          <w:sz w:val="26"/>
          <w:szCs w:val="26"/>
        </w:rPr>
        <w:t>vidēji palielin</w:t>
      </w:r>
      <w:r w:rsidR="0095784F">
        <w:rPr>
          <w:sz w:val="26"/>
          <w:szCs w:val="26"/>
        </w:rPr>
        <w:t>ājies</w:t>
      </w:r>
      <w:r w:rsidR="003937D8">
        <w:rPr>
          <w:sz w:val="26"/>
          <w:szCs w:val="26"/>
        </w:rPr>
        <w:t xml:space="preserve"> par 13%, savukārt pārējās pasažieru kategorijās ir vērojams samazinājums, ko var skaidrot ar kopējo pasažieru skaita samazināšanos. D</w:t>
      </w:r>
      <w:r w:rsidR="003937D8" w:rsidRPr="003937D8">
        <w:rPr>
          <w:sz w:val="26"/>
          <w:szCs w:val="26"/>
        </w:rPr>
        <w:t>audzbērnu ģimenes locekļ</w:t>
      </w:r>
      <w:r w:rsidR="003937D8">
        <w:rPr>
          <w:sz w:val="26"/>
          <w:szCs w:val="26"/>
        </w:rPr>
        <w:t>u</w:t>
      </w:r>
      <w:r w:rsidR="003937D8" w:rsidRPr="003937D8">
        <w:rPr>
          <w:sz w:val="26"/>
          <w:szCs w:val="26"/>
        </w:rPr>
        <w:t xml:space="preserve"> un ģime</w:t>
      </w:r>
      <w:r w:rsidR="003937D8">
        <w:rPr>
          <w:sz w:val="26"/>
          <w:szCs w:val="26"/>
        </w:rPr>
        <w:t>ņu</w:t>
      </w:r>
      <w:r w:rsidR="003937D8" w:rsidRPr="003937D8">
        <w:rPr>
          <w:sz w:val="26"/>
          <w:szCs w:val="26"/>
        </w:rPr>
        <w:t xml:space="preserve">, </w:t>
      </w:r>
      <w:r w:rsidR="003937D8" w:rsidRPr="003937D8">
        <w:rPr>
          <w:sz w:val="26"/>
          <w:szCs w:val="26"/>
          <w:shd w:val="clear" w:color="auto" w:fill="FFFFFF"/>
        </w:rPr>
        <w:t>kuras izmanto valstī īstenotās Latvijas Goda ģimenes apliecības programmas ietvaros piešķirto apliecību</w:t>
      </w:r>
      <w:r w:rsidR="003937D8">
        <w:rPr>
          <w:sz w:val="26"/>
          <w:szCs w:val="26"/>
          <w:shd w:val="clear" w:color="auto" w:fill="FFFFFF"/>
        </w:rPr>
        <w:t xml:space="preserve">, braucienu skaita palielinājums saistāms ar to, ka </w:t>
      </w:r>
      <w:r w:rsidR="00105E75">
        <w:rPr>
          <w:sz w:val="26"/>
          <w:szCs w:val="26"/>
          <w:shd w:val="clear" w:color="auto" w:fill="FFFFFF"/>
        </w:rPr>
        <w:t>no</w:t>
      </w:r>
      <w:r w:rsidR="003937D8">
        <w:rPr>
          <w:sz w:val="26"/>
          <w:szCs w:val="26"/>
          <w:shd w:val="clear" w:color="auto" w:fill="FFFFFF"/>
        </w:rPr>
        <w:t xml:space="preserve"> 2021.gada vidus ir paplašināts personu loks, </w:t>
      </w:r>
      <w:r w:rsidR="003937D8" w:rsidRPr="003937D8">
        <w:rPr>
          <w:sz w:val="26"/>
          <w:szCs w:val="26"/>
          <w:shd w:val="clear" w:color="auto" w:fill="FFFFFF"/>
        </w:rPr>
        <w:t xml:space="preserve">paredzot </w:t>
      </w:r>
      <w:r w:rsidR="003937D8">
        <w:rPr>
          <w:sz w:val="26"/>
          <w:szCs w:val="26"/>
          <w:shd w:val="clear" w:color="auto" w:fill="FFFFFF"/>
        </w:rPr>
        <w:t xml:space="preserve">atvieglojumu piešķiršanu arī </w:t>
      </w:r>
      <w:r w:rsidR="003937D8" w:rsidRPr="003937D8">
        <w:rPr>
          <w:sz w:val="26"/>
          <w:szCs w:val="26"/>
          <w:shd w:val="clear" w:color="auto" w:fill="FFFFFF"/>
        </w:rPr>
        <w:t>ģimenēm, kuru aprūpē ir bērns ar invaliditāti vai pilngadīga persona, kas nav sasniegusi 24 gadu vecumu, ja tai noteikta I vai II invaliditātes grupa</w:t>
      </w:r>
      <w:r w:rsidR="003937D8">
        <w:rPr>
          <w:sz w:val="26"/>
          <w:szCs w:val="26"/>
          <w:shd w:val="clear" w:color="auto" w:fill="FFFFFF"/>
        </w:rPr>
        <w:t>.</w:t>
      </w:r>
    </w:p>
    <w:p w14:paraId="1E177588" w14:textId="79BCBD29" w:rsidR="00187D2E" w:rsidRPr="00187D2E" w:rsidRDefault="00187D2E" w:rsidP="00187D2E">
      <w:pPr>
        <w:pStyle w:val="ListParagraph"/>
        <w:numPr>
          <w:ilvl w:val="0"/>
          <w:numId w:val="32"/>
        </w:numPr>
        <w:ind w:left="0" w:firstLine="709"/>
        <w:jc w:val="both"/>
        <w:rPr>
          <w:sz w:val="26"/>
          <w:szCs w:val="26"/>
        </w:rPr>
      </w:pPr>
      <w:r w:rsidRPr="00187D2E">
        <w:rPr>
          <w:sz w:val="26"/>
          <w:szCs w:val="26"/>
        </w:rPr>
        <w:t>Valstspilsētu pašvaldībās personu ar invaliditāti braucienu skaits kopš 2019.gada samazinājies vidēji par 10%, ko nosaka kopējais pasažieru skaita samazinājums, kā arī veiktā sadarbība ar pārvadājumu apjoma ziņā intensīvāko Rīgas valstspilsētas pašvaldību par Autotransporta direkcijas izstrādātās Braukšanas maksas atvieglojumu saņēmēju sistēmas izmatošanu, nodrošinot tai piekļuvi informācijai par personu ar valsts noteiktiem braukšanas maksas atvieglojumiem aktuālajiem statusiem un jauniem kontroles mehānismiem savas elektroniskās braucienu uzskaites sistēmas darbības nodrošināšanai.</w:t>
      </w:r>
    </w:p>
    <w:p w14:paraId="17E863D9" w14:textId="77777777" w:rsidR="00187D2E" w:rsidRPr="00187D2E" w:rsidRDefault="00187D2E" w:rsidP="00187D2E">
      <w:pPr>
        <w:ind w:firstLine="709"/>
        <w:jc w:val="both"/>
        <w:rPr>
          <w:sz w:val="26"/>
          <w:szCs w:val="26"/>
        </w:rPr>
      </w:pPr>
    </w:p>
    <w:p w14:paraId="22A5C6E6" w14:textId="3BAC8DC3" w:rsidR="007460BB" w:rsidRPr="00105E75" w:rsidRDefault="00C53E0F" w:rsidP="00C53E0F">
      <w:pPr>
        <w:pStyle w:val="ListParagraph"/>
        <w:ind w:left="1069" w:hanging="1069"/>
        <w:jc w:val="center"/>
        <w:rPr>
          <w:sz w:val="26"/>
          <w:szCs w:val="26"/>
        </w:rPr>
      </w:pPr>
      <w:r>
        <w:rPr>
          <w:noProof/>
        </w:rPr>
        <w:lastRenderedPageBreak/>
        <w:drawing>
          <wp:inline distT="0" distB="0" distL="0" distR="0" wp14:anchorId="65C75618" wp14:editId="2B3EB1E8">
            <wp:extent cx="5400675" cy="2762250"/>
            <wp:effectExtent l="0" t="0" r="9525" b="0"/>
            <wp:docPr id="11" name="Chart 11">
              <a:extLst xmlns:a="http://schemas.openxmlformats.org/drawingml/2006/main">
                <a:ext uri="{FF2B5EF4-FFF2-40B4-BE49-F238E27FC236}">
                  <a16:creationId xmlns:a16="http://schemas.microsoft.com/office/drawing/2014/main" id="{1CE1B3E2-1175-EF75-6FBC-B64268F2A4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CEB0982" w14:textId="3AF73F43" w:rsidR="00E136E8" w:rsidRDefault="0052750F" w:rsidP="006F5F1A">
      <w:pPr>
        <w:jc w:val="center"/>
      </w:pPr>
      <w:r w:rsidRPr="0052750F">
        <w:t>7.</w:t>
      </w:r>
      <w:r w:rsidR="006F5F1A" w:rsidRPr="0052750F">
        <w:t>attēls</w:t>
      </w:r>
      <w:r w:rsidRPr="0052750F">
        <w:t xml:space="preserve">. </w:t>
      </w:r>
      <w:r w:rsidR="006F5F1A" w:rsidRPr="0052750F">
        <w:t>Personu</w:t>
      </w:r>
      <w:r w:rsidR="006F5F1A">
        <w:t xml:space="preserve"> ar braukšanas maksas atvieglojumiem </w:t>
      </w:r>
    </w:p>
    <w:p w14:paraId="506F19D8" w14:textId="6E802BEA" w:rsidR="006F5F1A" w:rsidRPr="006E22CC" w:rsidRDefault="006F5F1A" w:rsidP="006F5F1A">
      <w:pPr>
        <w:jc w:val="center"/>
        <w:rPr>
          <w:sz w:val="26"/>
          <w:szCs w:val="26"/>
        </w:rPr>
      </w:pPr>
      <w:r>
        <w:t>kategoriju struktūra</w:t>
      </w:r>
      <w:r w:rsidR="00E136E8">
        <w:t xml:space="preserve"> pēc braucienu skaita 2022.gadā</w:t>
      </w:r>
      <w:r>
        <w:t>,</w:t>
      </w:r>
      <w:r w:rsidR="00E136E8">
        <w:t xml:space="preserve"> %</w:t>
      </w:r>
    </w:p>
    <w:p w14:paraId="6D8E7ABE" w14:textId="0E07AEC2" w:rsidR="00741A53" w:rsidRDefault="00741A53" w:rsidP="00491A90">
      <w:pPr>
        <w:ind w:firstLine="709"/>
        <w:jc w:val="both"/>
        <w:rPr>
          <w:sz w:val="26"/>
          <w:szCs w:val="26"/>
          <w:highlight w:val="yellow"/>
        </w:rPr>
      </w:pPr>
    </w:p>
    <w:p w14:paraId="57C7F2F6" w14:textId="59E3A4FA" w:rsidR="00741A53" w:rsidRPr="000C4EDE" w:rsidRDefault="00105E75" w:rsidP="00491A90">
      <w:pPr>
        <w:ind w:firstLine="709"/>
        <w:jc w:val="both"/>
        <w:rPr>
          <w:sz w:val="26"/>
          <w:szCs w:val="26"/>
        </w:rPr>
      </w:pPr>
      <w:r w:rsidRPr="00105E75">
        <w:rPr>
          <w:sz w:val="26"/>
          <w:szCs w:val="26"/>
        </w:rPr>
        <w:t xml:space="preserve">Attiecībā uz pasažieru, kuri saņem braukšanas maksas atvieglojumus, veiktajiem braucieniem un aprēķināto kompensācijas apmēru, kas sedzams reģionālās nozīmes pārvadātājiem un valstspilsētu pašvaldībām, kopējais finansējuma apmērs ir samazinājies, ievērojot braucienu skaitu samazinājumu. Proti, 2022.gadā aprēķinātais kompensācijas apmērs </w:t>
      </w:r>
      <w:r w:rsidR="00A100CD">
        <w:rPr>
          <w:sz w:val="26"/>
          <w:szCs w:val="26"/>
        </w:rPr>
        <w:t xml:space="preserve">(t.sk. kompensējamais pievienotās vērtības nodoklis) </w:t>
      </w:r>
      <w:r w:rsidRPr="00105E75">
        <w:rPr>
          <w:sz w:val="26"/>
          <w:szCs w:val="26"/>
        </w:rPr>
        <w:t>ir bijis par 18,65% jeb 4,5 milj. EUR mazāks nekā 2019.</w:t>
      </w:r>
      <w:r w:rsidRPr="000C4EDE">
        <w:rPr>
          <w:sz w:val="26"/>
          <w:szCs w:val="26"/>
        </w:rPr>
        <w:t>gadā (skatīt</w:t>
      </w:r>
      <w:r w:rsidR="000C4EDE" w:rsidRPr="000C4EDE">
        <w:rPr>
          <w:sz w:val="26"/>
          <w:szCs w:val="26"/>
        </w:rPr>
        <w:t xml:space="preserve"> </w:t>
      </w:r>
      <w:r w:rsidRPr="000C4EDE">
        <w:rPr>
          <w:sz w:val="26"/>
          <w:szCs w:val="26"/>
        </w:rPr>
        <w:t>tabulu</w:t>
      </w:r>
      <w:r w:rsidR="000C4EDE" w:rsidRPr="000C4EDE">
        <w:rPr>
          <w:sz w:val="26"/>
          <w:szCs w:val="26"/>
        </w:rPr>
        <w:t xml:space="preserve"> Nr.7</w:t>
      </w:r>
      <w:r w:rsidRPr="000C4EDE">
        <w:rPr>
          <w:sz w:val="26"/>
          <w:szCs w:val="26"/>
        </w:rPr>
        <w:t>).</w:t>
      </w:r>
    </w:p>
    <w:p w14:paraId="6176488C" w14:textId="11CA102F" w:rsidR="00E136E8" w:rsidRDefault="00E136E8" w:rsidP="00491A90">
      <w:pPr>
        <w:ind w:firstLine="709"/>
        <w:jc w:val="both"/>
        <w:rPr>
          <w:sz w:val="26"/>
          <w:szCs w:val="26"/>
          <w:highlight w:val="yellow"/>
        </w:rPr>
      </w:pPr>
    </w:p>
    <w:p w14:paraId="7CB1CE02" w14:textId="5CCA1D46" w:rsidR="00491A90" w:rsidRPr="000C4EDE" w:rsidRDefault="00491A90" w:rsidP="00491A90">
      <w:pPr>
        <w:jc w:val="right"/>
      </w:pPr>
      <w:r w:rsidRPr="000C4EDE">
        <w:t>Tabula</w:t>
      </w:r>
      <w:r w:rsidR="000C4EDE" w:rsidRPr="000C4EDE">
        <w:t xml:space="preserve"> Nr.7</w:t>
      </w:r>
    </w:p>
    <w:p w14:paraId="4C392CF8" w14:textId="77777777" w:rsidR="00491A90" w:rsidRPr="000C4EDE" w:rsidRDefault="00491A90" w:rsidP="00491A90">
      <w:pPr>
        <w:jc w:val="right"/>
      </w:pPr>
      <w:r w:rsidRPr="000C4EDE">
        <w:t xml:space="preserve">Valsts budžeta finansējuma izlietojums </w:t>
      </w:r>
    </w:p>
    <w:p w14:paraId="487F04E1" w14:textId="77777777" w:rsidR="00491A90" w:rsidRPr="00E925D2" w:rsidRDefault="00491A90" w:rsidP="00491A90">
      <w:pPr>
        <w:jc w:val="right"/>
      </w:pPr>
      <w:r w:rsidRPr="000C4EDE">
        <w:t>par valsts noteiktajiem braukšanas maksas atvieglojumiem, EUR</w:t>
      </w:r>
    </w:p>
    <w:tbl>
      <w:tblPr>
        <w:tblW w:w="9209" w:type="dxa"/>
        <w:tblLook w:val="04A0" w:firstRow="1" w:lastRow="0" w:firstColumn="1" w:lastColumn="0" w:noHBand="0" w:noVBand="1"/>
      </w:tblPr>
      <w:tblGrid>
        <w:gridCol w:w="3964"/>
        <w:gridCol w:w="1474"/>
        <w:gridCol w:w="1220"/>
        <w:gridCol w:w="1275"/>
        <w:gridCol w:w="1276"/>
      </w:tblGrid>
      <w:tr w:rsidR="00491A90" w:rsidRPr="00CB7C7F" w14:paraId="16B3A0BA" w14:textId="77777777" w:rsidTr="00191118">
        <w:trPr>
          <w:trHeight w:val="300"/>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EAFCF6" w14:textId="77777777" w:rsidR="00491A90" w:rsidRPr="00CB7C7F" w:rsidRDefault="00491A90" w:rsidP="00191118">
            <w:pPr>
              <w:rPr>
                <w:color w:val="000000"/>
                <w:sz w:val="22"/>
                <w:szCs w:val="22"/>
              </w:rPr>
            </w:pPr>
            <w:r w:rsidRPr="00CB7C7F">
              <w:rPr>
                <w:color w:val="000000"/>
                <w:sz w:val="22"/>
                <w:szCs w:val="22"/>
              </w:rPr>
              <w:t> </w:t>
            </w:r>
          </w:p>
        </w:tc>
        <w:tc>
          <w:tcPr>
            <w:tcW w:w="1474" w:type="dxa"/>
            <w:tcBorders>
              <w:top w:val="single" w:sz="4" w:space="0" w:color="auto"/>
              <w:left w:val="nil"/>
              <w:bottom w:val="single" w:sz="4" w:space="0" w:color="auto"/>
              <w:right w:val="single" w:sz="4" w:space="0" w:color="auto"/>
            </w:tcBorders>
            <w:shd w:val="clear" w:color="auto" w:fill="auto"/>
            <w:noWrap/>
            <w:vAlign w:val="bottom"/>
            <w:hideMark/>
          </w:tcPr>
          <w:p w14:paraId="10F73F50" w14:textId="77777777" w:rsidR="00491A90" w:rsidRPr="00CB7C7F" w:rsidRDefault="00491A90" w:rsidP="00191118">
            <w:pPr>
              <w:jc w:val="right"/>
              <w:rPr>
                <w:color w:val="000000"/>
                <w:sz w:val="22"/>
                <w:szCs w:val="22"/>
              </w:rPr>
            </w:pPr>
            <w:r w:rsidRPr="00CB7C7F">
              <w:rPr>
                <w:color w:val="000000"/>
                <w:sz w:val="22"/>
                <w:szCs w:val="22"/>
              </w:rPr>
              <w:t>2019</w:t>
            </w:r>
          </w:p>
        </w:tc>
        <w:tc>
          <w:tcPr>
            <w:tcW w:w="1220" w:type="dxa"/>
            <w:tcBorders>
              <w:top w:val="single" w:sz="4" w:space="0" w:color="auto"/>
              <w:left w:val="nil"/>
              <w:bottom w:val="single" w:sz="4" w:space="0" w:color="auto"/>
              <w:right w:val="single" w:sz="4" w:space="0" w:color="auto"/>
            </w:tcBorders>
            <w:shd w:val="clear" w:color="auto" w:fill="auto"/>
            <w:noWrap/>
            <w:vAlign w:val="bottom"/>
            <w:hideMark/>
          </w:tcPr>
          <w:p w14:paraId="7844A0A6" w14:textId="77777777" w:rsidR="00491A90" w:rsidRPr="00CB7C7F" w:rsidRDefault="00491A90" w:rsidP="00191118">
            <w:pPr>
              <w:jc w:val="right"/>
              <w:rPr>
                <w:color w:val="000000"/>
                <w:sz w:val="22"/>
                <w:szCs w:val="22"/>
              </w:rPr>
            </w:pPr>
            <w:r w:rsidRPr="00CB7C7F">
              <w:rPr>
                <w:color w:val="000000"/>
                <w:sz w:val="22"/>
                <w:szCs w:val="22"/>
              </w:rPr>
              <w:t>2020</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7BD3F02B" w14:textId="77777777" w:rsidR="00491A90" w:rsidRPr="00CB7C7F" w:rsidRDefault="00491A90" w:rsidP="00191118">
            <w:pPr>
              <w:jc w:val="right"/>
              <w:rPr>
                <w:color w:val="000000"/>
                <w:sz w:val="22"/>
                <w:szCs w:val="22"/>
              </w:rPr>
            </w:pPr>
            <w:r w:rsidRPr="00CB7C7F">
              <w:rPr>
                <w:color w:val="000000"/>
                <w:sz w:val="22"/>
                <w:szCs w:val="22"/>
              </w:rPr>
              <w:t>2021</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0CB1A92B" w14:textId="77777777" w:rsidR="00491A90" w:rsidRPr="00CB7C7F" w:rsidRDefault="00491A90" w:rsidP="00191118">
            <w:pPr>
              <w:jc w:val="right"/>
              <w:rPr>
                <w:color w:val="000000"/>
                <w:sz w:val="22"/>
                <w:szCs w:val="22"/>
              </w:rPr>
            </w:pPr>
            <w:r w:rsidRPr="00CB7C7F">
              <w:rPr>
                <w:color w:val="000000"/>
                <w:sz w:val="22"/>
                <w:szCs w:val="22"/>
              </w:rPr>
              <w:t>2022</w:t>
            </w:r>
          </w:p>
        </w:tc>
      </w:tr>
      <w:tr w:rsidR="00491A90" w:rsidRPr="00CB7C7F" w14:paraId="210A6335" w14:textId="77777777" w:rsidTr="00191118">
        <w:trPr>
          <w:trHeight w:val="300"/>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0429CBB4" w14:textId="77777777" w:rsidR="00491A90" w:rsidRPr="00CB7C7F" w:rsidRDefault="00491A90" w:rsidP="00191118">
            <w:pPr>
              <w:rPr>
                <w:color w:val="000000"/>
                <w:sz w:val="22"/>
                <w:szCs w:val="22"/>
              </w:rPr>
            </w:pPr>
            <w:r w:rsidRPr="00CB7C7F">
              <w:rPr>
                <w:color w:val="000000"/>
                <w:sz w:val="22"/>
                <w:szCs w:val="22"/>
              </w:rPr>
              <w:t>Pirmsskolas vecuma bērni</w:t>
            </w:r>
          </w:p>
        </w:tc>
        <w:tc>
          <w:tcPr>
            <w:tcW w:w="1474" w:type="dxa"/>
            <w:tcBorders>
              <w:top w:val="nil"/>
              <w:left w:val="nil"/>
              <w:bottom w:val="single" w:sz="4" w:space="0" w:color="auto"/>
              <w:right w:val="single" w:sz="4" w:space="0" w:color="auto"/>
            </w:tcBorders>
            <w:shd w:val="clear" w:color="auto" w:fill="auto"/>
            <w:noWrap/>
            <w:vAlign w:val="bottom"/>
            <w:hideMark/>
          </w:tcPr>
          <w:p w14:paraId="52785A7B" w14:textId="77777777" w:rsidR="00491A90" w:rsidRPr="00CB7C7F" w:rsidRDefault="00491A90" w:rsidP="00191118">
            <w:pPr>
              <w:jc w:val="right"/>
              <w:rPr>
                <w:color w:val="000000"/>
                <w:sz w:val="22"/>
                <w:szCs w:val="22"/>
              </w:rPr>
            </w:pPr>
            <w:r w:rsidRPr="00CB7C7F">
              <w:rPr>
                <w:color w:val="000000"/>
                <w:sz w:val="22"/>
                <w:szCs w:val="22"/>
              </w:rPr>
              <w:t>1 425 784</w:t>
            </w:r>
          </w:p>
        </w:tc>
        <w:tc>
          <w:tcPr>
            <w:tcW w:w="1220" w:type="dxa"/>
            <w:tcBorders>
              <w:top w:val="nil"/>
              <w:left w:val="nil"/>
              <w:bottom w:val="single" w:sz="4" w:space="0" w:color="auto"/>
              <w:right w:val="single" w:sz="4" w:space="0" w:color="auto"/>
            </w:tcBorders>
            <w:shd w:val="clear" w:color="auto" w:fill="auto"/>
            <w:noWrap/>
            <w:vAlign w:val="bottom"/>
            <w:hideMark/>
          </w:tcPr>
          <w:p w14:paraId="6E341352" w14:textId="77777777" w:rsidR="00491A90" w:rsidRPr="00CB7C7F" w:rsidRDefault="00491A90" w:rsidP="00191118">
            <w:pPr>
              <w:jc w:val="right"/>
              <w:rPr>
                <w:color w:val="000000"/>
                <w:sz w:val="22"/>
                <w:szCs w:val="22"/>
              </w:rPr>
            </w:pPr>
            <w:r w:rsidRPr="00CB7C7F">
              <w:rPr>
                <w:color w:val="000000"/>
                <w:sz w:val="22"/>
                <w:szCs w:val="22"/>
              </w:rPr>
              <w:t>846 645</w:t>
            </w:r>
          </w:p>
        </w:tc>
        <w:tc>
          <w:tcPr>
            <w:tcW w:w="1275" w:type="dxa"/>
            <w:tcBorders>
              <w:top w:val="nil"/>
              <w:left w:val="nil"/>
              <w:bottom w:val="single" w:sz="4" w:space="0" w:color="auto"/>
              <w:right w:val="single" w:sz="4" w:space="0" w:color="auto"/>
            </w:tcBorders>
            <w:shd w:val="clear" w:color="auto" w:fill="auto"/>
            <w:noWrap/>
            <w:vAlign w:val="bottom"/>
            <w:hideMark/>
          </w:tcPr>
          <w:p w14:paraId="5ED62D8B" w14:textId="77777777" w:rsidR="00491A90" w:rsidRPr="00CB7C7F" w:rsidRDefault="00491A90" w:rsidP="00191118">
            <w:pPr>
              <w:jc w:val="right"/>
              <w:rPr>
                <w:color w:val="000000"/>
                <w:sz w:val="22"/>
                <w:szCs w:val="22"/>
              </w:rPr>
            </w:pPr>
            <w:r w:rsidRPr="00CB7C7F">
              <w:rPr>
                <w:color w:val="000000"/>
                <w:sz w:val="22"/>
                <w:szCs w:val="22"/>
              </w:rPr>
              <w:t>757 662</w:t>
            </w:r>
          </w:p>
        </w:tc>
        <w:tc>
          <w:tcPr>
            <w:tcW w:w="1276" w:type="dxa"/>
            <w:tcBorders>
              <w:top w:val="nil"/>
              <w:left w:val="nil"/>
              <w:bottom w:val="single" w:sz="4" w:space="0" w:color="auto"/>
              <w:right w:val="single" w:sz="4" w:space="0" w:color="auto"/>
            </w:tcBorders>
            <w:shd w:val="clear" w:color="auto" w:fill="auto"/>
            <w:noWrap/>
            <w:vAlign w:val="bottom"/>
            <w:hideMark/>
          </w:tcPr>
          <w:p w14:paraId="599E17F8" w14:textId="77777777" w:rsidR="00491A90" w:rsidRPr="00CB7C7F" w:rsidRDefault="00491A90" w:rsidP="00191118">
            <w:pPr>
              <w:jc w:val="right"/>
              <w:rPr>
                <w:color w:val="000000"/>
                <w:sz w:val="22"/>
                <w:szCs w:val="22"/>
              </w:rPr>
            </w:pPr>
            <w:r w:rsidRPr="00CB7C7F">
              <w:rPr>
                <w:color w:val="000000"/>
                <w:sz w:val="22"/>
                <w:szCs w:val="22"/>
              </w:rPr>
              <w:t>1 073 855</w:t>
            </w:r>
          </w:p>
        </w:tc>
      </w:tr>
      <w:tr w:rsidR="00491A90" w:rsidRPr="00CB7C7F" w14:paraId="6F08B047" w14:textId="77777777" w:rsidTr="00191118">
        <w:trPr>
          <w:trHeight w:val="300"/>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268CA120" w14:textId="77777777" w:rsidR="00491A90" w:rsidRPr="00CB7C7F" w:rsidRDefault="00491A90" w:rsidP="00191118">
            <w:pPr>
              <w:rPr>
                <w:color w:val="000000"/>
                <w:sz w:val="22"/>
                <w:szCs w:val="22"/>
              </w:rPr>
            </w:pPr>
            <w:r w:rsidRPr="00CB7C7F">
              <w:rPr>
                <w:color w:val="000000"/>
                <w:sz w:val="22"/>
                <w:szCs w:val="22"/>
              </w:rPr>
              <w:t>Bērni bāreņi</w:t>
            </w:r>
          </w:p>
        </w:tc>
        <w:tc>
          <w:tcPr>
            <w:tcW w:w="1474" w:type="dxa"/>
            <w:tcBorders>
              <w:top w:val="nil"/>
              <w:left w:val="nil"/>
              <w:bottom w:val="single" w:sz="4" w:space="0" w:color="auto"/>
              <w:right w:val="single" w:sz="4" w:space="0" w:color="auto"/>
            </w:tcBorders>
            <w:shd w:val="clear" w:color="auto" w:fill="auto"/>
            <w:noWrap/>
            <w:vAlign w:val="bottom"/>
            <w:hideMark/>
          </w:tcPr>
          <w:p w14:paraId="7C0E1D4A" w14:textId="77777777" w:rsidR="00491A90" w:rsidRPr="00CB7C7F" w:rsidRDefault="00491A90" w:rsidP="00191118">
            <w:pPr>
              <w:jc w:val="right"/>
              <w:rPr>
                <w:color w:val="000000"/>
                <w:sz w:val="22"/>
                <w:szCs w:val="22"/>
              </w:rPr>
            </w:pPr>
            <w:r w:rsidRPr="00CB7C7F">
              <w:rPr>
                <w:color w:val="000000"/>
                <w:sz w:val="22"/>
                <w:szCs w:val="22"/>
              </w:rPr>
              <w:t>645 914</w:t>
            </w:r>
          </w:p>
        </w:tc>
        <w:tc>
          <w:tcPr>
            <w:tcW w:w="1220" w:type="dxa"/>
            <w:tcBorders>
              <w:top w:val="nil"/>
              <w:left w:val="nil"/>
              <w:bottom w:val="single" w:sz="4" w:space="0" w:color="auto"/>
              <w:right w:val="single" w:sz="4" w:space="0" w:color="auto"/>
            </w:tcBorders>
            <w:shd w:val="clear" w:color="auto" w:fill="auto"/>
            <w:noWrap/>
            <w:vAlign w:val="bottom"/>
            <w:hideMark/>
          </w:tcPr>
          <w:p w14:paraId="4486A9D3" w14:textId="77777777" w:rsidR="00491A90" w:rsidRPr="00CB7C7F" w:rsidRDefault="00491A90" w:rsidP="00191118">
            <w:pPr>
              <w:jc w:val="right"/>
              <w:rPr>
                <w:color w:val="000000"/>
                <w:sz w:val="22"/>
                <w:szCs w:val="22"/>
              </w:rPr>
            </w:pPr>
            <w:r w:rsidRPr="00CB7C7F">
              <w:rPr>
                <w:color w:val="000000"/>
                <w:sz w:val="22"/>
                <w:szCs w:val="22"/>
              </w:rPr>
              <w:t>452 975</w:t>
            </w:r>
          </w:p>
        </w:tc>
        <w:tc>
          <w:tcPr>
            <w:tcW w:w="1275" w:type="dxa"/>
            <w:tcBorders>
              <w:top w:val="nil"/>
              <w:left w:val="nil"/>
              <w:bottom w:val="single" w:sz="4" w:space="0" w:color="auto"/>
              <w:right w:val="single" w:sz="4" w:space="0" w:color="auto"/>
            </w:tcBorders>
            <w:shd w:val="clear" w:color="auto" w:fill="auto"/>
            <w:noWrap/>
            <w:vAlign w:val="bottom"/>
            <w:hideMark/>
          </w:tcPr>
          <w:p w14:paraId="7D2DECEC" w14:textId="77777777" w:rsidR="00491A90" w:rsidRPr="00CB7C7F" w:rsidRDefault="00491A90" w:rsidP="00191118">
            <w:pPr>
              <w:jc w:val="right"/>
              <w:rPr>
                <w:color w:val="000000"/>
                <w:sz w:val="22"/>
                <w:szCs w:val="22"/>
              </w:rPr>
            </w:pPr>
            <w:r w:rsidRPr="00CB7C7F">
              <w:rPr>
                <w:color w:val="000000"/>
                <w:sz w:val="22"/>
                <w:szCs w:val="22"/>
              </w:rPr>
              <w:t>357 616</w:t>
            </w:r>
          </w:p>
        </w:tc>
        <w:tc>
          <w:tcPr>
            <w:tcW w:w="1276" w:type="dxa"/>
            <w:tcBorders>
              <w:top w:val="nil"/>
              <w:left w:val="nil"/>
              <w:bottom w:val="single" w:sz="4" w:space="0" w:color="auto"/>
              <w:right w:val="single" w:sz="4" w:space="0" w:color="auto"/>
            </w:tcBorders>
            <w:shd w:val="clear" w:color="auto" w:fill="auto"/>
            <w:noWrap/>
            <w:vAlign w:val="bottom"/>
            <w:hideMark/>
          </w:tcPr>
          <w:p w14:paraId="65E721CD" w14:textId="77777777" w:rsidR="00491A90" w:rsidRPr="00CB7C7F" w:rsidRDefault="00491A90" w:rsidP="00191118">
            <w:pPr>
              <w:jc w:val="right"/>
              <w:rPr>
                <w:color w:val="000000"/>
                <w:sz w:val="22"/>
                <w:szCs w:val="22"/>
              </w:rPr>
            </w:pPr>
            <w:r w:rsidRPr="00CB7C7F">
              <w:rPr>
                <w:color w:val="000000"/>
                <w:sz w:val="22"/>
                <w:szCs w:val="22"/>
              </w:rPr>
              <w:t>495 552</w:t>
            </w:r>
          </w:p>
        </w:tc>
      </w:tr>
      <w:tr w:rsidR="00491A90" w:rsidRPr="00CB7C7F" w14:paraId="4595F9C2" w14:textId="77777777" w:rsidTr="00191118">
        <w:trPr>
          <w:trHeight w:val="300"/>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3B5F88D5" w14:textId="77777777" w:rsidR="00491A90" w:rsidRPr="00CB7C7F" w:rsidRDefault="00491A90" w:rsidP="00191118">
            <w:pPr>
              <w:rPr>
                <w:color w:val="000000"/>
                <w:sz w:val="22"/>
                <w:szCs w:val="22"/>
              </w:rPr>
            </w:pPr>
            <w:r w:rsidRPr="00CB7C7F">
              <w:rPr>
                <w:color w:val="000000"/>
                <w:sz w:val="22"/>
                <w:szCs w:val="22"/>
              </w:rPr>
              <w:t>Politiski represētās personas/Nacionālās pretošanās kustības dalībnieki</w:t>
            </w:r>
          </w:p>
        </w:tc>
        <w:tc>
          <w:tcPr>
            <w:tcW w:w="1474" w:type="dxa"/>
            <w:tcBorders>
              <w:top w:val="nil"/>
              <w:left w:val="nil"/>
              <w:bottom w:val="single" w:sz="4" w:space="0" w:color="auto"/>
              <w:right w:val="single" w:sz="4" w:space="0" w:color="auto"/>
            </w:tcBorders>
            <w:shd w:val="clear" w:color="auto" w:fill="auto"/>
            <w:noWrap/>
            <w:vAlign w:val="bottom"/>
            <w:hideMark/>
          </w:tcPr>
          <w:p w14:paraId="5B1122BA" w14:textId="77777777" w:rsidR="00491A90" w:rsidRPr="00CB7C7F" w:rsidRDefault="00491A90" w:rsidP="00191118">
            <w:pPr>
              <w:jc w:val="right"/>
              <w:rPr>
                <w:color w:val="000000"/>
                <w:sz w:val="22"/>
                <w:szCs w:val="22"/>
              </w:rPr>
            </w:pPr>
            <w:r w:rsidRPr="00CB7C7F">
              <w:rPr>
                <w:color w:val="000000"/>
                <w:sz w:val="22"/>
                <w:szCs w:val="22"/>
              </w:rPr>
              <w:t>639 084</w:t>
            </w:r>
          </w:p>
        </w:tc>
        <w:tc>
          <w:tcPr>
            <w:tcW w:w="1220" w:type="dxa"/>
            <w:tcBorders>
              <w:top w:val="nil"/>
              <w:left w:val="nil"/>
              <w:bottom w:val="single" w:sz="4" w:space="0" w:color="auto"/>
              <w:right w:val="single" w:sz="4" w:space="0" w:color="auto"/>
            </w:tcBorders>
            <w:shd w:val="clear" w:color="auto" w:fill="auto"/>
            <w:noWrap/>
            <w:vAlign w:val="bottom"/>
            <w:hideMark/>
          </w:tcPr>
          <w:p w14:paraId="3B6E211F" w14:textId="77777777" w:rsidR="00491A90" w:rsidRPr="00CB7C7F" w:rsidRDefault="00491A90" w:rsidP="00191118">
            <w:pPr>
              <w:jc w:val="right"/>
              <w:rPr>
                <w:color w:val="000000"/>
                <w:sz w:val="22"/>
                <w:szCs w:val="22"/>
              </w:rPr>
            </w:pPr>
            <w:r w:rsidRPr="00CB7C7F">
              <w:rPr>
                <w:color w:val="000000"/>
                <w:sz w:val="22"/>
                <w:szCs w:val="22"/>
              </w:rPr>
              <w:t>418 965</w:t>
            </w:r>
          </w:p>
        </w:tc>
        <w:tc>
          <w:tcPr>
            <w:tcW w:w="1275" w:type="dxa"/>
            <w:tcBorders>
              <w:top w:val="nil"/>
              <w:left w:val="nil"/>
              <w:bottom w:val="single" w:sz="4" w:space="0" w:color="auto"/>
              <w:right w:val="single" w:sz="4" w:space="0" w:color="auto"/>
            </w:tcBorders>
            <w:shd w:val="clear" w:color="auto" w:fill="auto"/>
            <w:noWrap/>
            <w:vAlign w:val="bottom"/>
            <w:hideMark/>
          </w:tcPr>
          <w:p w14:paraId="0AF97D27" w14:textId="77777777" w:rsidR="00491A90" w:rsidRPr="00CB7C7F" w:rsidRDefault="00491A90" w:rsidP="00191118">
            <w:pPr>
              <w:jc w:val="right"/>
              <w:rPr>
                <w:color w:val="000000"/>
                <w:sz w:val="22"/>
                <w:szCs w:val="22"/>
              </w:rPr>
            </w:pPr>
            <w:r w:rsidRPr="00CB7C7F">
              <w:rPr>
                <w:color w:val="000000"/>
                <w:sz w:val="22"/>
                <w:szCs w:val="22"/>
              </w:rPr>
              <w:t>313 448</w:t>
            </w:r>
          </w:p>
        </w:tc>
        <w:tc>
          <w:tcPr>
            <w:tcW w:w="1276" w:type="dxa"/>
            <w:tcBorders>
              <w:top w:val="nil"/>
              <w:left w:val="nil"/>
              <w:bottom w:val="single" w:sz="4" w:space="0" w:color="auto"/>
              <w:right w:val="single" w:sz="4" w:space="0" w:color="auto"/>
            </w:tcBorders>
            <w:shd w:val="clear" w:color="auto" w:fill="auto"/>
            <w:noWrap/>
            <w:vAlign w:val="bottom"/>
            <w:hideMark/>
          </w:tcPr>
          <w:p w14:paraId="2043014F" w14:textId="77777777" w:rsidR="00491A90" w:rsidRPr="00CB7C7F" w:rsidRDefault="00491A90" w:rsidP="00191118">
            <w:pPr>
              <w:jc w:val="right"/>
              <w:rPr>
                <w:color w:val="000000"/>
                <w:sz w:val="22"/>
                <w:szCs w:val="22"/>
              </w:rPr>
            </w:pPr>
            <w:r w:rsidRPr="00CB7C7F">
              <w:rPr>
                <w:color w:val="000000"/>
                <w:sz w:val="22"/>
                <w:szCs w:val="22"/>
              </w:rPr>
              <w:t>374 863</w:t>
            </w:r>
          </w:p>
        </w:tc>
      </w:tr>
      <w:tr w:rsidR="00491A90" w:rsidRPr="00CB7C7F" w14:paraId="75C651F1" w14:textId="77777777" w:rsidTr="00191118">
        <w:trPr>
          <w:trHeight w:val="300"/>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259B5AF3" w14:textId="40171C3D" w:rsidR="00491A90" w:rsidRPr="00CB7C7F" w:rsidRDefault="00C53E0F" w:rsidP="00191118">
            <w:pPr>
              <w:rPr>
                <w:color w:val="000000"/>
                <w:sz w:val="22"/>
                <w:szCs w:val="22"/>
              </w:rPr>
            </w:pPr>
            <w:r>
              <w:rPr>
                <w:color w:val="000000"/>
                <w:sz w:val="22"/>
                <w:szCs w:val="22"/>
              </w:rPr>
              <w:t>P</w:t>
            </w:r>
            <w:r w:rsidRPr="000666F3">
              <w:rPr>
                <w:color w:val="000000"/>
                <w:sz w:val="22"/>
                <w:szCs w:val="22"/>
              </w:rPr>
              <w:t>ersonas ar I vai II invaliditātes grupu, personas līdz 18 gadu vecumam ar invaliditāti</w:t>
            </w:r>
            <w:r w:rsidRPr="00CB7C7F">
              <w:rPr>
                <w:color w:val="000000"/>
                <w:sz w:val="22"/>
                <w:szCs w:val="22"/>
              </w:rPr>
              <w:t xml:space="preserve"> un pavadošās personas</w:t>
            </w:r>
          </w:p>
        </w:tc>
        <w:tc>
          <w:tcPr>
            <w:tcW w:w="1474" w:type="dxa"/>
            <w:tcBorders>
              <w:top w:val="nil"/>
              <w:left w:val="nil"/>
              <w:bottom w:val="single" w:sz="4" w:space="0" w:color="auto"/>
              <w:right w:val="single" w:sz="4" w:space="0" w:color="auto"/>
            </w:tcBorders>
            <w:shd w:val="clear" w:color="auto" w:fill="auto"/>
            <w:noWrap/>
            <w:vAlign w:val="bottom"/>
            <w:hideMark/>
          </w:tcPr>
          <w:p w14:paraId="53FCDD17" w14:textId="77777777" w:rsidR="00491A90" w:rsidRPr="00CB7C7F" w:rsidRDefault="00491A90" w:rsidP="00191118">
            <w:pPr>
              <w:jc w:val="right"/>
              <w:rPr>
                <w:color w:val="000000"/>
                <w:sz w:val="22"/>
                <w:szCs w:val="22"/>
              </w:rPr>
            </w:pPr>
            <w:r w:rsidRPr="00CB7C7F">
              <w:rPr>
                <w:color w:val="000000"/>
                <w:sz w:val="22"/>
                <w:szCs w:val="22"/>
              </w:rPr>
              <w:t>17 994 698</w:t>
            </w:r>
          </w:p>
        </w:tc>
        <w:tc>
          <w:tcPr>
            <w:tcW w:w="1220" w:type="dxa"/>
            <w:tcBorders>
              <w:top w:val="nil"/>
              <w:left w:val="nil"/>
              <w:bottom w:val="single" w:sz="4" w:space="0" w:color="auto"/>
              <w:right w:val="single" w:sz="4" w:space="0" w:color="auto"/>
            </w:tcBorders>
            <w:shd w:val="clear" w:color="auto" w:fill="auto"/>
            <w:noWrap/>
            <w:vAlign w:val="bottom"/>
            <w:hideMark/>
          </w:tcPr>
          <w:p w14:paraId="26BA99C4" w14:textId="77777777" w:rsidR="00491A90" w:rsidRPr="00CB7C7F" w:rsidRDefault="00491A90" w:rsidP="00191118">
            <w:pPr>
              <w:jc w:val="right"/>
              <w:rPr>
                <w:color w:val="000000"/>
                <w:sz w:val="22"/>
                <w:szCs w:val="22"/>
              </w:rPr>
            </w:pPr>
            <w:r w:rsidRPr="00CB7C7F">
              <w:rPr>
                <w:color w:val="000000"/>
                <w:sz w:val="22"/>
                <w:szCs w:val="22"/>
              </w:rPr>
              <w:t>13 218 457</w:t>
            </w:r>
          </w:p>
        </w:tc>
        <w:tc>
          <w:tcPr>
            <w:tcW w:w="1275" w:type="dxa"/>
            <w:tcBorders>
              <w:top w:val="nil"/>
              <w:left w:val="nil"/>
              <w:bottom w:val="single" w:sz="4" w:space="0" w:color="auto"/>
              <w:right w:val="single" w:sz="4" w:space="0" w:color="auto"/>
            </w:tcBorders>
            <w:shd w:val="clear" w:color="auto" w:fill="auto"/>
            <w:noWrap/>
            <w:vAlign w:val="bottom"/>
            <w:hideMark/>
          </w:tcPr>
          <w:p w14:paraId="5FA9C8F2" w14:textId="0684524B" w:rsidR="00491A90" w:rsidRPr="00CB7C7F" w:rsidRDefault="00491A90" w:rsidP="00191118">
            <w:pPr>
              <w:jc w:val="right"/>
              <w:rPr>
                <w:color w:val="000000"/>
                <w:sz w:val="22"/>
                <w:szCs w:val="22"/>
              </w:rPr>
            </w:pPr>
            <w:r w:rsidRPr="00CB7C7F">
              <w:rPr>
                <w:color w:val="000000"/>
                <w:sz w:val="22"/>
                <w:szCs w:val="22"/>
              </w:rPr>
              <w:t xml:space="preserve">11 357 </w:t>
            </w:r>
            <w:r w:rsidR="00807E02" w:rsidRPr="00CB7C7F">
              <w:rPr>
                <w:color w:val="000000"/>
                <w:sz w:val="22"/>
                <w:szCs w:val="22"/>
              </w:rPr>
              <w:t>79</w:t>
            </w:r>
            <w:r w:rsidR="00807E02">
              <w:rPr>
                <w:color w:val="000000"/>
                <w:sz w:val="22"/>
                <w:szCs w:val="22"/>
              </w:rPr>
              <w:t>7</w:t>
            </w:r>
          </w:p>
        </w:tc>
        <w:tc>
          <w:tcPr>
            <w:tcW w:w="1276" w:type="dxa"/>
            <w:tcBorders>
              <w:top w:val="nil"/>
              <w:left w:val="nil"/>
              <w:bottom w:val="single" w:sz="4" w:space="0" w:color="auto"/>
              <w:right w:val="single" w:sz="4" w:space="0" w:color="auto"/>
            </w:tcBorders>
            <w:shd w:val="clear" w:color="auto" w:fill="auto"/>
            <w:noWrap/>
            <w:vAlign w:val="bottom"/>
            <w:hideMark/>
          </w:tcPr>
          <w:p w14:paraId="0F8ED677" w14:textId="77777777" w:rsidR="00491A90" w:rsidRPr="00CB7C7F" w:rsidRDefault="00491A90" w:rsidP="00191118">
            <w:pPr>
              <w:jc w:val="right"/>
              <w:rPr>
                <w:color w:val="000000"/>
                <w:sz w:val="22"/>
                <w:szCs w:val="22"/>
              </w:rPr>
            </w:pPr>
            <w:r w:rsidRPr="00CB7C7F">
              <w:rPr>
                <w:color w:val="000000"/>
                <w:sz w:val="22"/>
                <w:szCs w:val="22"/>
              </w:rPr>
              <w:t>12 879 025</w:t>
            </w:r>
          </w:p>
        </w:tc>
      </w:tr>
      <w:tr w:rsidR="00491A90" w:rsidRPr="00CB7C7F" w14:paraId="5BD49717" w14:textId="77777777" w:rsidTr="00191118">
        <w:trPr>
          <w:trHeight w:val="300"/>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54428C07" w14:textId="77777777" w:rsidR="00491A90" w:rsidRPr="00CB7C7F" w:rsidRDefault="00491A90" w:rsidP="00191118">
            <w:pPr>
              <w:jc w:val="right"/>
              <w:rPr>
                <w:color w:val="000000"/>
                <w:sz w:val="22"/>
                <w:szCs w:val="22"/>
              </w:rPr>
            </w:pPr>
            <w:r w:rsidRPr="00CB7C7F">
              <w:rPr>
                <w:color w:val="000000"/>
                <w:sz w:val="22"/>
                <w:szCs w:val="22"/>
              </w:rPr>
              <w:t>t.sk. reģionālais transports</w:t>
            </w:r>
          </w:p>
        </w:tc>
        <w:tc>
          <w:tcPr>
            <w:tcW w:w="1474" w:type="dxa"/>
            <w:tcBorders>
              <w:top w:val="nil"/>
              <w:left w:val="nil"/>
              <w:bottom w:val="single" w:sz="4" w:space="0" w:color="auto"/>
              <w:right w:val="single" w:sz="4" w:space="0" w:color="auto"/>
            </w:tcBorders>
            <w:shd w:val="clear" w:color="auto" w:fill="auto"/>
            <w:noWrap/>
            <w:vAlign w:val="bottom"/>
            <w:hideMark/>
          </w:tcPr>
          <w:p w14:paraId="1802BD97" w14:textId="77777777" w:rsidR="00491A90" w:rsidRPr="00CB7C7F" w:rsidRDefault="00491A90" w:rsidP="00191118">
            <w:pPr>
              <w:jc w:val="right"/>
              <w:rPr>
                <w:color w:val="000000"/>
                <w:sz w:val="22"/>
                <w:szCs w:val="22"/>
              </w:rPr>
            </w:pPr>
            <w:r w:rsidRPr="00CB7C7F">
              <w:rPr>
                <w:color w:val="000000"/>
                <w:sz w:val="22"/>
                <w:szCs w:val="22"/>
              </w:rPr>
              <w:t>7 236 582</w:t>
            </w:r>
          </w:p>
        </w:tc>
        <w:tc>
          <w:tcPr>
            <w:tcW w:w="1220" w:type="dxa"/>
            <w:tcBorders>
              <w:top w:val="nil"/>
              <w:left w:val="nil"/>
              <w:bottom w:val="single" w:sz="4" w:space="0" w:color="auto"/>
              <w:right w:val="single" w:sz="4" w:space="0" w:color="auto"/>
            </w:tcBorders>
            <w:shd w:val="clear" w:color="auto" w:fill="auto"/>
            <w:noWrap/>
            <w:vAlign w:val="bottom"/>
            <w:hideMark/>
          </w:tcPr>
          <w:p w14:paraId="3C30038D" w14:textId="77777777" w:rsidR="00491A90" w:rsidRPr="00CB7C7F" w:rsidRDefault="00491A90" w:rsidP="00191118">
            <w:pPr>
              <w:jc w:val="right"/>
              <w:rPr>
                <w:color w:val="000000"/>
                <w:sz w:val="22"/>
                <w:szCs w:val="22"/>
              </w:rPr>
            </w:pPr>
            <w:r w:rsidRPr="00CB7C7F">
              <w:rPr>
                <w:color w:val="000000"/>
                <w:sz w:val="22"/>
                <w:szCs w:val="22"/>
              </w:rPr>
              <w:t>5 409 274</w:t>
            </w:r>
          </w:p>
        </w:tc>
        <w:tc>
          <w:tcPr>
            <w:tcW w:w="1275" w:type="dxa"/>
            <w:tcBorders>
              <w:top w:val="nil"/>
              <w:left w:val="nil"/>
              <w:bottom w:val="single" w:sz="4" w:space="0" w:color="auto"/>
              <w:right w:val="single" w:sz="4" w:space="0" w:color="auto"/>
            </w:tcBorders>
            <w:shd w:val="clear" w:color="auto" w:fill="auto"/>
            <w:noWrap/>
            <w:vAlign w:val="bottom"/>
            <w:hideMark/>
          </w:tcPr>
          <w:p w14:paraId="19050CD2" w14:textId="77777777" w:rsidR="00491A90" w:rsidRPr="00CB7C7F" w:rsidRDefault="00491A90" w:rsidP="00191118">
            <w:pPr>
              <w:jc w:val="right"/>
              <w:rPr>
                <w:color w:val="000000"/>
                <w:sz w:val="22"/>
                <w:szCs w:val="22"/>
              </w:rPr>
            </w:pPr>
            <w:r w:rsidRPr="00CB7C7F">
              <w:rPr>
                <w:color w:val="000000"/>
                <w:sz w:val="22"/>
                <w:szCs w:val="22"/>
              </w:rPr>
              <w:t>4 481 087</w:t>
            </w:r>
          </w:p>
        </w:tc>
        <w:tc>
          <w:tcPr>
            <w:tcW w:w="1276" w:type="dxa"/>
            <w:tcBorders>
              <w:top w:val="nil"/>
              <w:left w:val="nil"/>
              <w:bottom w:val="single" w:sz="4" w:space="0" w:color="auto"/>
              <w:right w:val="single" w:sz="4" w:space="0" w:color="auto"/>
            </w:tcBorders>
            <w:shd w:val="clear" w:color="auto" w:fill="auto"/>
            <w:noWrap/>
            <w:vAlign w:val="bottom"/>
            <w:hideMark/>
          </w:tcPr>
          <w:p w14:paraId="71C98A89" w14:textId="77777777" w:rsidR="00491A90" w:rsidRPr="00CB7C7F" w:rsidRDefault="00491A90" w:rsidP="00191118">
            <w:pPr>
              <w:jc w:val="right"/>
              <w:rPr>
                <w:color w:val="000000"/>
                <w:sz w:val="22"/>
                <w:szCs w:val="22"/>
              </w:rPr>
            </w:pPr>
            <w:r w:rsidRPr="00CB7C7F">
              <w:rPr>
                <w:color w:val="000000"/>
                <w:sz w:val="22"/>
                <w:szCs w:val="22"/>
              </w:rPr>
              <w:t>5 275 594</w:t>
            </w:r>
          </w:p>
        </w:tc>
      </w:tr>
      <w:tr w:rsidR="00491A90" w:rsidRPr="00CB7C7F" w14:paraId="48080D8C" w14:textId="77777777" w:rsidTr="00191118">
        <w:trPr>
          <w:trHeight w:val="300"/>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05B527CC" w14:textId="77777777" w:rsidR="00491A90" w:rsidRPr="00CB7C7F" w:rsidRDefault="00491A90" w:rsidP="00191118">
            <w:pPr>
              <w:jc w:val="right"/>
              <w:rPr>
                <w:color w:val="000000"/>
                <w:sz w:val="22"/>
                <w:szCs w:val="22"/>
              </w:rPr>
            </w:pPr>
            <w:r w:rsidRPr="00CB7C7F">
              <w:rPr>
                <w:color w:val="000000"/>
                <w:sz w:val="22"/>
                <w:szCs w:val="22"/>
              </w:rPr>
              <w:t>t.sk. valstspilsētu transports</w:t>
            </w:r>
          </w:p>
        </w:tc>
        <w:tc>
          <w:tcPr>
            <w:tcW w:w="1474" w:type="dxa"/>
            <w:tcBorders>
              <w:top w:val="nil"/>
              <w:left w:val="nil"/>
              <w:bottom w:val="single" w:sz="4" w:space="0" w:color="auto"/>
              <w:right w:val="single" w:sz="4" w:space="0" w:color="auto"/>
            </w:tcBorders>
            <w:shd w:val="clear" w:color="auto" w:fill="auto"/>
            <w:noWrap/>
            <w:vAlign w:val="bottom"/>
            <w:hideMark/>
          </w:tcPr>
          <w:p w14:paraId="11C479CE" w14:textId="77777777" w:rsidR="00491A90" w:rsidRPr="00CB7C7F" w:rsidRDefault="00491A90" w:rsidP="00191118">
            <w:pPr>
              <w:jc w:val="right"/>
              <w:rPr>
                <w:color w:val="000000"/>
                <w:sz w:val="22"/>
                <w:szCs w:val="22"/>
              </w:rPr>
            </w:pPr>
            <w:r w:rsidRPr="00CB7C7F">
              <w:rPr>
                <w:color w:val="000000"/>
                <w:sz w:val="22"/>
                <w:szCs w:val="22"/>
              </w:rPr>
              <w:t>10 758 116</w:t>
            </w:r>
          </w:p>
        </w:tc>
        <w:tc>
          <w:tcPr>
            <w:tcW w:w="1220" w:type="dxa"/>
            <w:tcBorders>
              <w:top w:val="nil"/>
              <w:left w:val="nil"/>
              <w:bottom w:val="single" w:sz="4" w:space="0" w:color="auto"/>
              <w:right w:val="single" w:sz="4" w:space="0" w:color="auto"/>
            </w:tcBorders>
            <w:shd w:val="clear" w:color="auto" w:fill="auto"/>
            <w:noWrap/>
            <w:vAlign w:val="bottom"/>
            <w:hideMark/>
          </w:tcPr>
          <w:p w14:paraId="39818C42" w14:textId="77777777" w:rsidR="00491A90" w:rsidRPr="00CB7C7F" w:rsidRDefault="00491A90" w:rsidP="00191118">
            <w:pPr>
              <w:jc w:val="right"/>
              <w:rPr>
                <w:color w:val="000000"/>
                <w:sz w:val="22"/>
                <w:szCs w:val="22"/>
              </w:rPr>
            </w:pPr>
            <w:r w:rsidRPr="00CB7C7F">
              <w:rPr>
                <w:color w:val="000000"/>
                <w:sz w:val="22"/>
                <w:szCs w:val="22"/>
              </w:rPr>
              <w:t>7 809 183</w:t>
            </w:r>
          </w:p>
        </w:tc>
        <w:tc>
          <w:tcPr>
            <w:tcW w:w="1275" w:type="dxa"/>
            <w:tcBorders>
              <w:top w:val="nil"/>
              <w:left w:val="nil"/>
              <w:bottom w:val="single" w:sz="4" w:space="0" w:color="auto"/>
              <w:right w:val="single" w:sz="4" w:space="0" w:color="auto"/>
            </w:tcBorders>
            <w:shd w:val="clear" w:color="auto" w:fill="auto"/>
            <w:noWrap/>
            <w:vAlign w:val="bottom"/>
            <w:hideMark/>
          </w:tcPr>
          <w:p w14:paraId="39EE9133" w14:textId="77777777" w:rsidR="00491A90" w:rsidRPr="00CB7C7F" w:rsidRDefault="00491A90" w:rsidP="00191118">
            <w:pPr>
              <w:jc w:val="right"/>
              <w:rPr>
                <w:color w:val="000000"/>
                <w:sz w:val="22"/>
                <w:szCs w:val="22"/>
              </w:rPr>
            </w:pPr>
            <w:r w:rsidRPr="00CB7C7F">
              <w:rPr>
                <w:color w:val="000000"/>
                <w:sz w:val="22"/>
                <w:szCs w:val="22"/>
              </w:rPr>
              <w:t>6 876 710</w:t>
            </w:r>
          </w:p>
        </w:tc>
        <w:tc>
          <w:tcPr>
            <w:tcW w:w="1276" w:type="dxa"/>
            <w:tcBorders>
              <w:top w:val="nil"/>
              <w:left w:val="nil"/>
              <w:bottom w:val="single" w:sz="4" w:space="0" w:color="auto"/>
              <w:right w:val="single" w:sz="4" w:space="0" w:color="auto"/>
            </w:tcBorders>
            <w:shd w:val="clear" w:color="auto" w:fill="auto"/>
            <w:noWrap/>
            <w:vAlign w:val="bottom"/>
            <w:hideMark/>
          </w:tcPr>
          <w:p w14:paraId="10452779" w14:textId="77777777" w:rsidR="00491A90" w:rsidRPr="00CB7C7F" w:rsidRDefault="00491A90" w:rsidP="00191118">
            <w:pPr>
              <w:jc w:val="right"/>
              <w:rPr>
                <w:color w:val="000000"/>
                <w:sz w:val="22"/>
                <w:szCs w:val="22"/>
              </w:rPr>
            </w:pPr>
            <w:r w:rsidRPr="00CB7C7F">
              <w:rPr>
                <w:color w:val="000000"/>
                <w:sz w:val="22"/>
                <w:szCs w:val="22"/>
              </w:rPr>
              <w:t>7 603 431</w:t>
            </w:r>
          </w:p>
        </w:tc>
      </w:tr>
      <w:tr w:rsidR="00491A90" w:rsidRPr="00CB7C7F" w14:paraId="05CF9E1F" w14:textId="77777777" w:rsidTr="00191118">
        <w:trPr>
          <w:trHeight w:val="300"/>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77FC7D5C" w14:textId="77777777" w:rsidR="00491A90" w:rsidRPr="00CB7C7F" w:rsidRDefault="00491A90" w:rsidP="00191118">
            <w:pPr>
              <w:rPr>
                <w:color w:val="000000"/>
                <w:sz w:val="22"/>
                <w:szCs w:val="22"/>
              </w:rPr>
            </w:pPr>
            <w:r>
              <w:rPr>
                <w:color w:val="000000"/>
                <w:sz w:val="22"/>
                <w:szCs w:val="22"/>
              </w:rPr>
              <w:t>Ģ</w:t>
            </w:r>
            <w:r w:rsidRPr="00CB7C7F">
              <w:rPr>
                <w:color w:val="000000"/>
                <w:sz w:val="22"/>
                <w:szCs w:val="22"/>
              </w:rPr>
              <w:t>imenes locekļi</w:t>
            </w:r>
            <w:r>
              <w:rPr>
                <w:color w:val="000000"/>
                <w:sz w:val="22"/>
                <w:szCs w:val="22"/>
              </w:rPr>
              <w:t xml:space="preserve"> ar “Goda ģimenes” karti</w:t>
            </w:r>
            <w:r w:rsidRPr="00CB7C7F">
              <w:rPr>
                <w:color w:val="000000"/>
                <w:sz w:val="22"/>
                <w:szCs w:val="22"/>
              </w:rPr>
              <w:t xml:space="preserve"> </w:t>
            </w:r>
          </w:p>
        </w:tc>
        <w:tc>
          <w:tcPr>
            <w:tcW w:w="1474" w:type="dxa"/>
            <w:tcBorders>
              <w:top w:val="nil"/>
              <w:left w:val="nil"/>
              <w:bottom w:val="single" w:sz="4" w:space="0" w:color="auto"/>
              <w:right w:val="single" w:sz="4" w:space="0" w:color="auto"/>
            </w:tcBorders>
            <w:shd w:val="clear" w:color="auto" w:fill="auto"/>
            <w:noWrap/>
            <w:vAlign w:val="bottom"/>
            <w:hideMark/>
          </w:tcPr>
          <w:p w14:paraId="2C6239E5" w14:textId="77777777" w:rsidR="00491A90" w:rsidRPr="00CB7C7F" w:rsidRDefault="00491A90" w:rsidP="00191118">
            <w:pPr>
              <w:jc w:val="right"/>
              <w:rPr>
                <w:color w:val="000000"/>
                <w:sz w:val="22"/>
                <w:szCs w:val="22"/>
              </w:rPr>
            </w:pPr>
            <w:r w:rsidRPr="00CB7C7F">
              <w:rPr>
                <w:color w:val="000000"/>
                <w:sz w:val="22"/>
                <w:szCs w:val="22"/>
              </w:rPr>
              <w:t>3 560 307</w:t>
            </w:r>
          </w:p>
        </w:tc>
        <w:tc>
          <w:tcPr>
            <w:tcW w:w="1220" w:type="dxa"/>
            <w:tcBorders>
              <w:top w:val="nil"/>
              <w:left w:val="nil"/>
              <w:bottom w:val="single" w:sz="4" w:space="0" w:color="auto"/>
              <w:right w:val="single" w:sz="4" w:space="0" w:color="auto"/>
            </w:tcBorders>
            <w:shd w:val="clear" w:color="auto" w:fill="auto"/>
            <w:noWrap/>
            <w:vAlign w:val="bottom"/>
            <w:hideMark/>
          </w:tcPr>
          <w:p w14:paraId="4F53C940" w14:textId="77777777" w:rsidR="00491A90" w:rsidRPr="00CB7C7F" w:rsidRDefault="00491A90" w:rsidP="00191118">
            <w:pPr>
              <w:jc w:val="right"/>
              <w:rPr>
                <w:color w:val="000000"/>
                <w:sz w:val="22"/>
                <w:szCs w:val="22"/>
              </w:rPr>
            </w:pPr>
            <w:r w:rsidRPr="00CB7C7F">
              <w:rPr>
                <w:color w:val="000000"/>
                <w:sz w:val="22"/>
                <w:szCs w:val="22"/>
              </w:rPr>
              <w:t>3 064 415</w:t>
            </w:r>
          </w:p>
        </w:tc>
        <w:tc>
          <w:tcPr>
            <w:tcW w:w="1275" w:type="dxa"/>
            <w:tcBorders>
              <w:top w:val="nil"/>
              <w:left w:val="nil"/>
              <w:bottom w:val="single" w:sz="4" w:space="0" w:color="auto"/>
              <w:right w:val="single" w:sz="4" w:space="0" w:color="auto"/>
            </w:tcBorders>
            <w:shd w:val="clear" w:color="auto" w:fill="auto"/>
            <w:noWrap/>
            <w:vAlign w:val="bottom"/>
            <w:hideMark/>
          </w:tcPr>
          <w:p w14:paraId="5C5C8BE4" w14:textId="77777777" w:rsidR="00491A90" w:rsidRPr="00CB7C7F" w:rsidRDefault="00491A90" w:rsidP="00191118">
            <w:pPr>
              <w:jc w:val="right"/>
              <w:rPr>
                <w:color w:val="000000"/>
                <w:sz w:val="22"/>
                <w:szCs w:val="22"/>
              </w:rPr>
            </w:pPr>
            <w:r w:rsidRPr="00CB7C7F">
              <w:rPr>
                <w:color w:val="000000"/>
                <w:sz w:val="22"/>
                <w:szCs w:val="22"/>
              </w:rPr>
              <w:t>2 815 698</w:t>
            </w:r>
          </w:p>
        </w:tc>
        <w:tc>
          <w:tcPr>
            <w:tcW w:w="1276" w:type="dxa"/>
            <w:tcBorders>
              <w:top w:val="nil"/>
              <w:left w:val="nil"/>
              <w:bottom w:val="single" w:sz="4" w:space="0" w:color="auto"/>
              <w:right w:val="single" w:sz="4" w:space="0" w:color="auto"/>
            </w:tcBorders>
            <w:shd w:val="clear" w:color="auto" w:fill="auto"/>
            <w:noWrap/>
            <w:vAlign w:val="bottom"/>
            <w:hideMark/>
          </w:tcPr>
          <w:p w14:paraId="656F9C64" w14:textId="77777777" w:rsidR="00491A90" w:rsidRPr="00CB7C7F" w:rsidRDefault="00491A90" w:rsidP="00191118">
            <w:pPr>
              <w:jc w:val="right"/>
              <w:rPr>
                <w:color w:val="000000"/>
                <w:sz w:val="22"/>
                <w:szCs w:val="22"/>
              </w:rPr>
            </w:pPr>
            <w:r w:rsidRPr="00CB7C7F">
              <w:rPr>
                <w:color w:val="000000"/>
                <w:sz w:val="22"/>
                <w:szCs w:val="22"/>
              </w:rPr>
              <w:t>4 918 317</w:t>
            </w:r>
          </w:p>
        </w:tc>
      </w:tr>
      <w:tr w:rsidR="00491A90" w:rsidRPr="00E925D2" w14:paraId="106CA80F" w14:textId="77777777" w:rsidTr="00191118">
        <w:trPr>
          <w:trHeight w:val="300"/>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F1AD0F" w14:textId="77777777" w:rsidR="00491A90" w:rsidRPr="00E925D2" w:rsidRDefault="00491A90" w:rsidP="00191118">
            <w:pPr>
              <w:rPr>
                <w:b/>
                <w:bCs/>
                <w:color w:val="000000"/>
                <w:sz w:val="22"/>
                <w:szCs w:val="22"/>
              </w:rPr>
            </w:pPr>
            <w:r w:rsidRPr="00E925D2">
              <w:rPr>
                <w:b/>
                <w:bCs/>
                <w:color w:val="000000"/>
                <w:sz w:val="22"/>
                <w:szCs w:val="22"/>
              </w:rPr>
              <w:t>KOPĀ:</w:t>
            </w:r>
          </w:p>
        </w:tc>
        <w:tc>
          <w:tcPr>
            <w:tcW w:w="1474" w:type="dxa"/>
            <w:tcBorders>
              <w:top w:val="single" w:sz="4" w:space="0" w:color="auto"/>
              <w:left w:val="nil"/>
              <w:bottom w:val="single" w:sz="4" w:space="0" w:color="auto"/>
              <w:right w:val="single" w:sz="4" w:space="0" w:color="auto"/>
            </w:tcBorders>
            <w:shd w:val="clear" w:color="auto" w:fill="auto"/>
            <w:noWrap/>
            <w:vAlign w:val="bottom"/>
          </w:tcPr>
          <w:p w14:paraId="3A88C8DB" w14:textId="77777777" w:rsidR="00491A90" w:rsidRPr="00E925D2" w:rsidRDefault="00491A90" w:rsidP="00191118">
            <w:pPr>
              <w:jc w:val="right"/>
              <w:rPr>
                <w:b/>
                <w:bCs/>
                <w:color w:val="000000"/>
                <w:sz w:val="22"/>
                <w:szCs w:val="22"/>
              </w:rPr>
            </w:pPr>
            <w:r w:rsidRPr="00E925D2">
              <w:rPr>
                <w:b/>
                <w:bCs/>
                <w:color w:val="000000"/>
                <w:sz w:val="22"/>
                <w:szCs w:val="22"/>
              </w:rPr>
              <w:t>24 265 787</w:t>
            </w:r>
          </w:p>
        </w:tc>
        <w:tc>
          <w:tcPr>
            <w:tcW w:w="1220" w:type="dxa"/>
            <w:tcBorders>
              <w:top w:val="single" w:sz="4" w:space="0" w:color="auto"/>
              <w:left w:val="nil"/>
              <w:bottom w:val="single" w:sz="4" w:space="0" w:color="auto"/>
              <w:right w:val="single" w:sz="4" w:space="0" w:color="auto"/>
            </w:tcBorders>
            <w:shd w:val="clear" w:color="auto" w:fill="auto"/>
            <w:noWrap/>
            <w:vAlign w:val="bottom"/>
          </w:tcPr>
          <w:p w14:paraId="2C8E3A13" w14:textId="1D55C13E" w:rsidR="00491A90" w:rsidRPr="00E925D2" w:rsidRDefault="00491A90" w:rsidP="00191118">
            <w:pPr>
              <w:jc w:val="right"/>
              <w:rPr>
                <w:b/>
                <w:bCs/>
                <w:color w:val="000000"/>
                <w:sz w:val="22"/>
                <w:szCs w:val="22"/>
              </w:rPr>
            </w:pPr>
            <w:r w:rsidRPr="00E925D2">
              <w:rPr>
                <w:b/>
                <w:bCs/>
                <w:color w:val="000000"/>
                <w:sz w:val="22"/>
                <w:szCs w:val="22"/>
              </w:rPr>
              <w:t>18 001 45</w:t>
            </w:r>
            <w:r w:rsidR="00807E02">
              <w:rPr>
                <w:b/>
                <w:bCs/>
                <w:color w:val="000000"/>
                <w:sz w:val="22"/>
                <w:szCs w:val="22"/>
              </w:rPr>
              <w:t>7</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6756AD70" w14:textId="77777777" w:rsidR="00491A90" w:rsidRPr="00E925D2" w:rsidRDefault="00491A90" w:rsidP="00191118">
            <w:pPr>
              <w:jc w:val="right"/>
              <w:rPr>
                <w:b/>
                <w:bCs/>
                <w:color w:val="000000"/>
                <w:sz w:val="22"/>
                <w:szCs w:val="22"/>
              </w:rPr>
            </w:pPr>
            <w:r w:rsidRPr="00E925D2">
              <w:rPr>
                <w:b/>
                <w:bCs/>
                <w:color w:val="000000"/>
                <w:sz w:val="22"/>
                <w:szCs w:val="22"/>
              </w:rPr>
              <w:t>15 602 221</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034886EB" w14:textId="77777777" w:rsidR="00491A90" w:rsidRPr="00E925D2" w:rsidRDefault="00491A90" w:rsidP="00191118">
            <w:pPr>
              <w:jc w:val="right"/>
              <w:rPr>
                <w:b/>
                <w:bCs/>
                <w:color w:val="000000"/>
                <w:sz w:val="22"/>
                <w:szCs w:val="22"/>
              </w:rPr>
            </w:pPr>
            <w:r w:rsidRPr="00E925D2">
              <w:rPr>
                <w:b/>
                <w:bCs/>
                <w:color w:val="000000"/>
                <w:sz w:val="22"/>
                <w:szCs w:val="22"/>
              </w:rPr>
              <w:t>19 741 612</w:t>
            </w:r>
          </w:p>
        </w:tc>
      </w:tr>
    </w:tbl>
    <w:p w14:paraId="33781441" w14:textId="77777777" w:rsidR="00491A90" w:rsidRDefault="00491A90" w:rsidP="00491A90">
      <w:pPr>
        <w:jc w:val="both"/>
        <w:rPr>
          <w:sz w:val="28"/>
          <w:szCs w:val="28"/>
        </w:rPr>
      </w:pPr>
    </w:p>
    <w:p w14:paraId="19EAA5A4" w14:textId="7DE331A0" w:rsidR="007073CC" w:rsidRDefault="00105E75" w:rsidP="006F5A57">
      <w:pPr>
        <w:ind w:firstLine="709"/>
        <w:jc w:val="both"/>
        <w:rPr>
          <w:sz w:val="26"/>
          <w:szCs w:val="26"/>
        </w:rPr>
      </w:pPr>
      <w:r>
        <w:rPr>
          <w:sz w:val="26"/>
          <w:szCs w:val="26"/>
        </w:rPr>
        <w:t>Vienlaikus, jāatzīmē, ka situācija attiecībā uz nepieciešamo finansējumu par braukšanas maksas atvieglojumiem</w:t>
      </w:r>
      <w:r w:rsidR="00A100CD">
        <w:rPr>
          <w:sz w:val="26"/>
          <w:szCs w:val="26"/>
        </w:rPr>
        <w:t xml:space="preserve"> krasi mainās 2023.gadā, kad vairākas valstspilsētu pašvaldības (to starp, Rīgas </w:t>
      </w:r>
      <w:r w:rsidR="00C53E0F">
        <w:rPr>
          <w:sz w:val="26"/>
          <w:szCs w:val="26"/>
        </w:rPr>
        <w:t>valsts</w:t>
      </w:r>
      <w:r w:rsidR="00A100CD">
        <w:rPr>
          <w:sz w:val="26"/>
          <w:szCs w:val="26"/>
        </w:rPr>
        <w:t xml:space="preserve">pilsēta, Liepājas </w:t>
      </w:r>
      <w:r w:rsidR="00C53E0F">
        <w:rPr>
          <w:sz w:val="26"/>
          <w:szCs w:val="26"/>
        </w:rPr>
        <w:t>valsts</w:t>
      </w:r>
      <w:r w:rsidR="00A100CD">
        <w:rPr>
          <w:sz w:val="26"/>
          <w:szCs w:val="26"/>
        </w:rPr>
        <w:t xml:space="preserve">pilsēta un Ventspils </w:t>
      </w:r>
      <w:r w:rsidR="00C53E0F">
        <w:rPr>
          <w:sz w:val="26"/>
          <w:szCs w:val="26"/>
        </w:rPr>
        <w:t>valsts</w:t>
      </w:r>
      <w:r w:rsidR="00A100CD">
        <w:rPr>
          <w:sz w:val="26"/>
          <w:szCs w:val="26"/>
        </w:rPr>
        <w:t xml:space="preserve">pilsēta) ir mainījušas braukšanas maksu (tarifu). </w:t>
      </w:r>
      <w:r w:rsidR="00A8644C" w:rsidRPr="00A8644C">
        <w:rPr>
          <w:sz w:val="26"/>
          <w:szCs w:val="26"/>
        </w:rPr>
        <w:t xml:space="preserve">Ievērojot to, ka saskaņā ar Ministru kabineta noteikumu Nr.435 </w:t>
      </w:r>
      <w:r w:rsidR="00A8644C" w:rsidRPr="00253511">
        <w:rPr>
          <w:color w:val="414142"/>
          <w:sz w:val="26"/>
          <w:szCs w:val="26"/>
          <w:shd w:val="clear" w:color="auto" w:fill="FFFFFF"/>
        </w:rPr>
        <w:t xml:space="preserve">3.punktu par zaudējumiem par tādu pasažieru pārvadāšanu, kuriem braukšanas maksas atvieglojumi (tai skaitā aprēķinātais pievienotās vērtības nodoklis) noteikti saskaņā ar normatīvajiem aktiem vai tos </w:t>
      </w:r>
      <w:r w:rsidR="00A8644C" w:rsidRPr="00253511">
        <w:rPr>
          <w:color w:val="414142"/>
          <w:sz w:val="26"/>
          <w:szCs w:val="26"/>
          <w:shd w:val="clear" w:color="auto" w:fill="FFFFFF"/>
        </w:rPr>
        <w:lastRenderedPageBreak/>
        <w:t xml:space="preserve">noteikusi pašvaldība, uzskata no pasažiera nesaņemto braukšanas maksu par sniegtajiem sabiedriskā transporta pakalpojumiem, tādējādi </w:t>
      </w:r>
      <w:r w:rsidR="00947D6D">
        <w:rPr>
          <w:color w:val="414142"/>
          <w:sz w:val="26"/>
          <w:szCs w:val="26"/>
          <w:shd w:val="clear" w:color="auto" w:fill="FFFFFF"/>
        </w:rPr>
        <w:t xml:space="preserve">valstspilsētām autonomi nosakot pilsētas </w:t>
      </w:r>
      <w:r w:rsidR="00A8644C" w:rsidRPr="00253511">
        <w:rPr>
          <w:color w:val="414142"/>
          <w:sz w:val="26"/>
          <w:szCs w:val="26"/>
          <w:shd w:val="clear" w:color="auto" w:fill="FFFFFF"/>
        </w:rPr>
        <w:t xml:space="preserve">administratīvajā teritorijā </w:t>
      </w:r>
      <w:r w:rsidR="00947D6D">
        <w:rPr>
          <w:color w:val="414142"/>
          <w:sz w:val="26"/>
          <w:szCs w:val="26"/>
          <w:shd w:val="clear" w:color="auto" w:fill="FFFFFF"/>
        </w:rPr>
        <w:t xml:space="preserve">braukšanas maksu (tarifu), no valsts budžeta izdevumiem par personu ar invaliditāti ir kompensējami zaudējumi šī braukšanas maksas (tarifa) apmērā. </w:t>
      </w:r>
      <w:r w:rsidR="00A100CD" w:rsidRPr="00A8644C">
        <w:rPr>
          <w:sz w:val="26"/>
          <w:szCs w:val="26"/>
        </w:rPr>
        <w:t xml:space="preserve">Tādējādi kopējais plānotais </w:t>
      </w:r>
      <w:r w:rsidR="000E533B" w:rsidRPr="00A8644C">
        <w:rPr>
          <w:sz w:val="26"/>
          <w:szCs w:val="26"/>
        </w:rPr>
        <w:t xml:space="preserve">nepieciešamais </w:t>
      </w:r>
      <w:r w:rsidR="00A100CD" w:rsidRPr="00A8644C">
        <w:rPr>
          <w:sz w:val="26"/>
          <w:szCs w:val="26"/>
        </w:rPr>
        <w:t>kompensācijas apmērs valstspilsētu pašvaldībām pieaug</w:t>
      </w:r>
      <w:r w:rsidR="0095784F" w:rsidRPr="00A8644C">
        <w:rPr>
          <w:sz w:val="26"/>
          <w:szCs w:val="26"/>
        </w:rPr>
        <w:t>s</w:t>
      </w:r>
      <w:r w:rsidR="00A100CD" w:rsidRPr="00A8644C">
        <w:rPr>
          <w:sz w:val="26"/>
          <w:szCs w:val="26"/>
        </w:rPr>
        <w:t xml:space="preserve"> līdz 13,97 milj. EUR, kas ir 6,37 milj</w:t>
      </w:r>
      <w:r w:rsidR="00A100CD">
        <w:rPr>
          <w:sz w:val="26"/>
          <w:szCs w:val="26"/>
        </w:rPr>
        <w:t>. EUR vairāk nekā 2022.gadā.</w:t>
      </w:r>
      <w:r w:rsidR="00947D6D">
        <w:rPr>
          <w:sz w:val="26"/>
          <w:szCs w:val="26"/>
        </w:rPr>
        <w:t xml:space="preserve"> Pamatā pieaugums veidojas uz Rīgas </w:t>
      </w:r>
      <w:r w:rsidR="004B761A">
        <w:rPr>
          <w:sz w:val="26"/>
          <w:szCs w:val="26"/>
        </w:rPr>
        <w:t>valsts</w:t>
      </w:r>
      <w:r w:rsidR="00947D6D">
        <w:rPr>
          <w:sz w:val="26"/>
          <w:szCs w:val="26"/>
        </w:rPr>
        <w:t xml:space="preserve">pilsētā pārvadāto personu ar invaliditāti skaitu, kur vidējais braucienu skaits mēnesī ir </w:t>
      </w:r>
      <w:r w:rsidR="00210690">
        <w:rPr>
          <w:sz w:val="26"/>
          <w:szCs w:val="26"/>
        </w:rPr>
        <w:t>aptuveni 429 tūkst</w:t>
      </w:r>
      <w:r w:rsidR="004B761A">
        <w:rPr>
          <w:sz w:val="26"/>
          <w:szCs w:val="26"/>
        </w:rPr>
        <w:t>.</w:t>
      </w:r>
      <w:r w:rsidR="00251A85">
        <w:rPr>
          <w:rStyle w:val="FootnoteReference"/>
          <w:sz w:val="26"/>
          <w:szCs w:val="26"/>
        </w:rPr>
        <w:footnoteReference w:id="11"/>
      </w:r>
      <w:r w:rsidR="00947D6D">
        <w:rPr>
          <w:sz w:val="26"/>
          <w:szCs w:val="26"/>
        </w:rPr>
        <w:t>, bet tā kā braukšanas maksa (tarifs) 2023.gadā ir palielināj</w:t>
      </w:r>
      <w:r w:rsidR="00251A85">
        <w:rPr>
          <w:sz w:val="26"/>
          <w:szCs w:val="26"/>
        </w:rPr>
        <w:t>us</w:t>
      </w:r>
      <w:r w:rsidR="00947D6D">
        <w:rPr>
          <w:sz w:val="26"/>
          <w:szCs w:val="26"/>
        </w:rPr>
        <w:t>ies par</w:t>
      </w:r>
      <w:r w:rsidR="00210690">
        <w:rPr>
          <w:sz w:val="26"/>
          <w:szCs w:val="26"/>
        </w:rPr>
        <w:t xml:space="preserve"> 74</w:t>
      </w:r>
      <w:r w:rsidR="00947D6D">
        <w:rPr>
          <w:sz w:val="26"/>
          <w:szCs w:val="26"/>
        </w:rPr>
        <w:t>% (no 1,15 EUR uz 2,00</w:t>
      </w:r>
      <w:r w:rsidR="00251A85">
        <w:rPr>
          <w:sz w:val="26"/>
          <w:szCs w:val="26"/>
        </w:rPr>
        <w:t> </w:t>
      </w:r>
      <w:r w:rsidR="00947D6D">
        <w:rPr>
          <w:sz w:val="26"/>
          <w:szCs w:val="26"/>
        </w:rPr>
        <w:t xml:space="preserve">EUR), tad attiecīgi no valsts budžeta kompensējamie zaudējumi </w:t>
      </w:r>
      <w:r w:rsidR="00251A85">
        <w:rPr>
          <w:sz w:val="26"/>
          <w:szCs w:val="26"/>
        </w:rPr>
        <w:t xml:space="preserve">atbilstoši Rīgas valstspilsētas pašvaldības sniegtajai informācijai </w:t>
      </w:r>
      <w:r w:rsidR="00947D6D">
        <w:rPr>
          <w:sz w:val="26"/>
          <w:szCs w:val="26"/>
        </w:rPr>
        <w:t xml:space="preserve">plānoti </w:t>
      </w:r>
      <w:r w:rsidR="00275AB6">
        <w:rPr>
          <w:sz w:val="26"/>
          <w:szCs w:val="26"/>
        </w:rPr>
        <w:t>11,9 milj. EUR, kas pret 2022.gada fakt</w:t>
      </w:r>
      <w:r w:rsidR="00251A85">
        <w:rPr>
          <w:sz w:val="26"/>
          <w:szCs w:val="26"/>
        </w:rPr>
        <w:t>isko situāciju</w:t>
      </w:r>
      <w:r w:rsidR="00275AB6">
        <w:rPr>
          <w:sz w:val="26"/>
          <w:szCs w:val="26"/>
        </w:rPr>
        <w:t xml:space="preserve"> ir </w:t>
      </w:r>
      <w:r w:rsidR="007A44E6">
        <w:rPr>
          <w:sz w:val="26"/>
          <w:szCs w:val="26"/>
        </w:rPr>
        <w:t>2 reizes vairāk</w:t>
      </w:r>
      <w:r w:rsidR="00947D6D">
        <w:rPr>
          <w:sz w:val="26"/>
          <w:szCs w:val="26"/>
        </w:rPr>
        <w:t xml:space="preserve">. </w:t>
      </w:r>
    </w:p>
    <w:bookmarkEnd w:id="5"/>
    <w:p w14:paraId="07DF8900" w14:textId="77777777" w:rsidR="00CD290B" w:rsidRDefault="00CD290B" w:rsidP="00ED6458">
      <w:pPr>
        <w:ind w:firstLine="709"/>
        <w:jc w:val="both"/>
        <w:rPr>
          <w:sz w:val="26"/>
          <w:szCs w:val="26"/>
        </w:rPr>
      </w:pPr>
    </w:p>
    <w:p w14:paraId="1C6E16B5" w14:textId="504D7861" w:rsidR="00ED6458" w:rsidRPr="00344817" w:rsidRDefault="00ED6458" w:rsidP="00ED6458">
      <w:pPr>
        <w:ind w:firstLine="709"/>
        <w:jc w:val="both"/>
        <w:rPr>
          <w:sz w:val="26"/>
          <w:szCs w:val="26"/>
        </w:rPr>
      </w:pPr>
      <w:r w:rsidRPr="00344817">
        <w:rPr>
          <w:sz w:val="26"/>
          <w:szCs w:val="26"/>
        </w:rPr>
        <w:t>Autotransporta direkcija vienlaikus veic arī virkni uzraugošo un preventīvo pasākumu, ar mērķi paaugstināt biļešu ieņēmumu apjomu, kā arī sabiedriskā transporta pakalpojumu sniedzēju prettiesisku rīcību novēršanu attiecībā uz ieņēmumu samazināšanu. Veicot pārbaudes</w:t>
      </w:r>
      <w:r w:rsidRPr="006D771B">
        <w:rPr>
          <w:sz w:val="26"/>
          <w:szCs w:val="26"/>
        </w:rPr>
        <w:t xml:space="preserve"> transportlīdzekļos</w:t>
      </w:r>
      <w:r>
        <w:rPr>
          <w:sz w:val="26"/>
          <w:szCs w:val="26"/>
        </w:rPr>
        <w:t xml:space="preserve"> (autobusos un vilcienos)</w:t>
      </w:r>
      <w:r w:rsidRPr="006D771B">
        <w:rPr>
          <w:sz w:val="26"/>
          <w:szCs w:val="26"/>
        </w:rPr>
        <w:t>, par konstatētajiem pārkāpumiem pārbaužu laikā Autotransporta direkcija ir informējusi attiecīgo pārvadātāju un piemērojusi konkrētajam pārvadātājam līgumos noteikt</w:t>
      </w:r>
      <w:r w:rsidR="00C53E0F">
        <w:rPr>
          <w:sz w:val="26"/>
          <w:szCs w:val="26"/>
        </w:rPr>
        <w:t>os</w:t>
      </w:r>
      <w:r w:rsidRPr="006D771B">
        <w:rPr>
          <w:sz w:val="26"/>
          <w:szCs w:val="26"/>
        </w:rPr>
        <w:t xml:space="preserve"> </w:t>
      </w:r>
      <w:r w:rsidR="00C53E0F">
        <w:rPr>
          <w:sz w:val="26"/>
          <w:szCs w:val="26"/>
        </w:rPr>
        <w:t>līgumsodus</w:t>
      </w:r>
      <w:r w:rsidRPr="006D771B">
        <w:rPr>
          <w:sz w:val="26"/>
          <w:szCs w:val="26"/>
        </w:rPr>
        <w:t xml:space="preserve">. Kopējais pārbaužu </w:t>
      </w:r>
      <w:r w:rsidRPr="00DE6493">
        <w:rPr>
          <w:sz w:val="26"/>
          <w:szCs w:val="26"/>
        </w:rPr>
        <w:t xml:space="preserve">skaits - 2019.gadā veiktas 2351 pārbaudes, </w:t>
      </w:r>
      <w:r w:rsidRPr="00DE6493">
        <w:rPr>
          <w:rFonts w:eastAsia="Calibri"/>
          <w:bCs/>
          <w:sz w:val="26"/>
          <w:szCs w:val="26"/>
        </w:rPr>
        <w:t xml:space="preserve">2020. gadā veiktas </w:t>
      </w:r>
      <w:r w:rsidRPr="00DE6493">
        <w:rPr>
          <w:sz w:val="26"/>
          <w:szCs w:val="26"/>
        </w:rPr>
        <w:t xml:space="preserve">2639 pārbaudes, </w:t>
      </w:r>
      <w:r w:rsidRPr="00DE6493">
        <w:rPr>
          <w:rFonts w:eastAsia="Calibri"/>
          <w:bCs/>
          <w:sz w:val="26"/>
          <w:szCs w:val="26"/>
        </w:rPr>
        <w:t xml:space="preserve">2021. gadā </w:t>
      </w:r>
      <w:r w:rsidRPr="00DE6493">
        <w:rPr>
          <w:sz w:val="26"/>
          <w:szCs w:val="26"/>
        </w:rPr>
        <w:t>veiktas 3215 pārbaudes un 2022.gadā veiktas 3821 pārbaudes, kas liecina par 62% pārbaužu skaita palielinājumu</w:t>
      </w:r>
      <w:r w:rsidR="00DE6493" w:rsidRPr="00DE6493">
        <w:rPr>
          <w:sz w:val="26"/>
          <w:szCs w:val="26"/>
        </w:rPr>
        <w:t xml:space="preserve">. Pārbaužu reģionālo maršrutu autobusos un vilcienos rezultātā pārkāpumi konstatēti aptuveni 5% gadījumu. Savukārt, no kopējā pārkāpumu skaita, biļešu tirdzniecības noteikumu pārkāpumi konstatēti 36% gadījumu. </w:t>
      </w:r>
      <w:r w:rsidRPr="00DE6493">
        <w:rPr>
          <w:sz w:val="26"/>
          <w:szCs w:val="26"/>
        </w:rPr>
        <w:t>Vienlaikus ar kvalitātes paaugstināšanu un tās nodrošināšanu sabiedriskā transporta pakalpojumos kā obligāts nosacījums ir bezskaidras naudas norēķina nodrošināšana visos reģionālās nozīmes pārvadājumos ar autobusiem – starppilsētu maršrutos un visos maršrutos, ja līgums noslēgts uz ilgtermiņa periodu. Līdz ar to šobrīd</w:t>
      </w:r>
      <w:r w:rsidR="00637953">
        <w:rPr>
          <w:sz w:val="26"/>
          <w:szCs w:val="26"/>
        </w:rPr>
        <w:t>,</w:t>
      </w:r>
      <w:r w:rsidRPr="00DE6493">
        <w:rPr>
          <w:sz w:val="26"/>
          <w:szCs w:val="26"/>
        </w:rPr>
        <w:t xml:space="preserve"> </w:t>
      </w:r>
      <w:r w:rsidR="00DE6493" w:rsidRPr="00DE6493">
        <w:rPr>
          <w:sz w:val="26"/>
          <w:szCs w:val="26"/>
        </w:rPr>
        <w:t>lai nodrošinātu bezskaidras naudas norēķinu iespējas, vairāk kā 90% autobusu ir aprīkoti ar nepieciešamajām ierīcēm, savukārt vilcienu pārvadājumos pilnā apmērā, ievērojot to, ka reģionālās nozīmes pārvadājumos ar vilcieniem bez norēķiniem kasēs un pie konduktoriem, ir nodrošināta iespēja iegādātiem braukšanas</w:t>
      </w:r>
      <w:r w:rsidR="00DE6493" w:rsidRPr="00344817">
        <w:rPr>
          <w:sz w:val="26"/>
          <w:szCs w:val="26"/>
        </w:rPr>
        <w:t xml:space="preserve"> biļeti tiešsaistē</w:t>
      </w:r>
      <w:r w:rsidRPr="00344817">
        <w:rPr>
          <w:sz w:val="26"/>
          <w:szCs w:val="26"/>
        </w:rPr>
        <w:t>.</w:t>
      </w:r>
    </w:p>
    <w:p w14:paraId="4669D3C7" w14:textId="0B48D259" w:rsidR="00ED6458" w:rsidRPr="00905F32" w:rsidRDefault="00ED6458" w:rsidP="00ED6458">
      <w:pPr>
        <w:ind w:firstLine="709"/>
        <w:jc w:val="both"/>
        <w:rPr>
          <w:sz w:val="26"/>
          <w:szCs w:val="26"/>
        </w:rPr>
      </w:pPr>
      <w:r w:rsidRPr="00905F32">
        <w:rPr>
          <w:sz w:val="26"/>
          <w:szCs w:val="26"/>
        </w:rPr>
        <w:t>Attiecībā uz biļešu iegādes iespēju tiešsaistē,</w:t>
      </w:r>
      <w:r w:rsidR="0095784F">
        <w:rPr>
          <w:sz w:val="26"/>
          <w:szCs w:val="26"/>
        </w:rPr>
        <w:t xml:space="preserve"> mazinot skaidrās naudas apriti, </w:t>
      </w:r>
      <w:r w:rsidRPr="00905F32">
        <w:rPr>
          <w:sz w:val="26"/>
          <w:szCs w:val="26"/>
        </w:rPr>
        <w:t>Autotransporta direkcija turpina darbu pie Vienotās sabiedriskā transporta biļešu sistēmas ieviešanas</w:t>
      </w:r>
      <w:r>
        <w:rPr>
          <w:sz w:val="26"/>
          <w:szCs w:val="26"/>
        </w:rPr>
        <w:t>. S</w:t>
      </w:r>
      <w:r w:rsidRPr="00905F32">
        <w:rPr>
          <w:sz w:val="26"/>
          <w:szCs w:val="26"/>
        </w:rPr>
        <w:t>ākot ar 2022. gada 1. augustu ir uzsākta sabiedriskā transporta biļešu tirdzniecība un izplatīšana tiešsaistē, izmantojot Vienoto sabiedriskā transporta biļešu sistēmu</w:t>
      </w:r>
      <w:r w:rsidRPr="00905F32">
        <w:rPr>
          <w:rStyle w:val="FootnoteReference"/>
          <w:sz w:val="26"/>
          <w:szCs w:val="26"/>
        </w:rPr>
        <w:footnoteReference w:id="12"/>
      </w:r>
      <w:r w:rsidRPr="00905F32">
        <w:rPr>
          <w:sz w:val="26"/>
          <w:szCs w:val="26"/>
        </w:rPr>
        <w:t>. Pašlaik tiek īstenots projekta ieviešanas 1.posms, kura ietvaros biļešu tirdzniecības tīmekļa vietnēs tiek nodrošināta ierobežota biļešu veida tirdzniecība</w:t>
      </w:r>
      <w:r>
        <w:rPr>
          <w:sz w:val="26"/>
          <w:szCs w:val="26"/>
        </w:rPr>
        <w:t>, bet plānots 2023.gad</w:t>
      </w:r>
      <w:r w:rsidR="009A2634">
        <w:rPr>
          <w:sz w:val="26"/>
          <w:szCs w:val="26"/>
        </w:rPr>
        <w:t>a</w:t>
      </w:r>
      <w:r>
        <w:rPr>
          <w:sz w:val="26"/>
          <w:szCs w:val="26"/>
        </w:rPr>
        <w:t xml:space="preserve"> laikā to ieviest pilnvērtīgi – nodrošinot biļešu tirdzniecību uz visiem reģionālās nozīmes maršrutiem pie biļešu tir</w:t>
      </w:r>
      <w:r w:rsidR="00C53E0F">
        <w:rPr>
          <w:sz w:val="26"/>
          <w:szCs w:val="26"/>
        </w:rPr>
        <w:t xml:space="preserve">dzniecības pakalpojumu sniedzējiem </w:t>
      </w:r>
      <w:r w:rsidR="00C53E0F">
        <w:rPr>
          <w:sz w:val="26"/>
          <w:szCs w:val="26"/>
        </w:rPr>
        <w:lastRenderedPageBreak/>
        <w:t>elektroniski</w:t>
      </w:r>
      <w:r>
        <w:rPr>
          <w:sz w:val="26"/>
          <w:szCs w:val="26"/>
        </w:rPr>
        <w:t>, kā arī uzsākt darbu pie vienotās biļešu iegādes iespējas, savienojot vairākus pārvadājumu veidus (reģionālais autobuss – reģionālais vilciens – dažādās kombinācijās)</w:t>
      </w:r>
      <w:r w:rsidRPr="00905F32">
        <w:rPr>
          <w:sz w:val="26"/>
          <w:szCs w:val="26"/>
        </w:rPr>
        <w:t>.</w:t>
      </w:r>
    </w:p>
    <w:p w14:paraId="02C83018" w14:textId="77777777" w:rsidR="00ED6458" w:rsidRDefault="00ED6458" w:rsidP="00E243CE">
      <w:pPr>
        <w:jc w:val="both"/>
        <w:rPr>
          <w:sz w:val="28"/>
          <w:szCs w:val="28"/>
        </w:rPr>
      </w:pPr>
    </w:p>
    <w:p w14:paraId="2F1B3856" w14:textId="7FF045C0" w:rsidR="00344817" w:rsidRPr="00CD290B" w:rsidRDefault="00CD290B" w:rsidP="00344817">
      <w:pPr>
        <w:ind w:firstLine="709"/>
        <w:jc w:val="both"/>
        <w:rPr>
          <w:b/>
          <w:bCs/>
          <w:sz w:val="26"/>
          <w:szCs w:val="26"/>
        </w:rPr>
      </w:pPr>
      <w:r w:rsidRPr="00CD290B">
        <w:rPr>
          <w:b/>
          <w:bCs/>
          <w:sz w:val="26"/>
          <w:szCs w:val="26"/>
        </w:rPr>
        <w:t>1.nodaļas k</w:t>
      </w:r>
      <w:r w:rsidR="00344817" w:rsidRPr="00CD290B">
        <w:rPr>
          <w:b/>
          <w:bCs/>
          <w:sz w:val="26"/>
          <w:szCs w:val="26"/>
        </w:rPr>
        <w:t>opsavilkums un secinājumi:</w:t>
      </w:r>
    </w:p>
    <w:p w14:paraId="2D844224" w14:textId="71E41C89" w:rsidR="004C78FF" w:rsidRDefault="00176A2E" w:rsidP="001A711A">
      <w:pPr>
        <w:pStyle w:val="ListParagraph"/>
        <w:numPr>
          <w:ilvl w:val="0"/>
          <w:numId w:val="31"/>
        </w:numPr>
        <w:ind w:left="0" w:firstLine="720"/>
        <w:jc w:val="both"/>
        <w:rPr>
          <w:sz w:val="26"/>
          <w:szCs w:val="26"/>
        </w:rPr>
      </w:pPr>
      <w:r w:rsidRPr="00CD290B">
        <w:rPr>
          <w:sz w:val="26"/>
          <w:szCs w:val="26"/>
        </w:rPr>
        <w:t>Reģionāl</w:t>
      </w:r>
      <w:r w:rsidR="00CD290B">
        <w:rPr>
          <w:sz w:val="26"/>
          <w:szCs w:val="26"/>
        </w:rPr>
        <w:t>ā</w:t>
      </w:r>
      <w:r w:rsidRPr="00CD290B">
        <w:rPr>
          <w:sz w:val="26"/>
          <w:szCs w:val="26"/>
        </w:rPr>
        <w:t xml:space="preserve"> maršrutu tīkl</w:t>
      </w:r>
      <w:r w:rsidR="00CD290B">
        <w:rPr>
          <w:sz w:val="26"/>
          <w:szCs w:val="26"/>
        </w:rPr>
        <w:t>ā ir veiktas būtiskas pārmaiņas, lielāku uzsvaru liekot uz reģionālās nozīmes pārvadājumiem ar vilcieniem</w:t>
      </w:r>
      <w:r w:rsidR="001A711A">
        <w:rPr>
          <w:sz w:val="26"/>
          <w:szCs w:val="26"/>
        </w:rPr>
        <w:t xml:space="preserve"> atbilstoši </w:t>
      </w:r>
      <w:r w:rsidR="00C53E0F">
        <w:rPr>
          <w:sz w:val="26"/>
          <w:szCs w:val="26"/>
        </w:rPr>
        <w:t xml:space="preserve">šobrīd </w:t>
      </w:r>
      <w:r w:rsidR="001A711A">
        <w:rPr>
          <w:sz w:val="26"/>
          <w:szCs w:val="26"/>
        </w:rPr>
        <w:t xml:space="preserve">pieejamai </w:t>
      </w:r>
      <w:r w:rsidR="008D4A90">
        <w:rPr>
          <w:sz w:val="26"/>
          <w:szCs w:val="26"/>
        </w:rPr>
        <w:t xml:space="preserve">transportlīdzekļu </w:t>
      </w:r>
      <w:r w:rsidR="001A711A">
        <w:rPr>
          <w:sz w:val="26"/>
          <w:szCs w:val="26"/>
        </w:rPr>
        <w:t xml:space="preserve">kapacitātei, un mazinot reģionālās nozīmes pārvadājumu ar autobusiem apmēru. </w:t>
      </w:r>
      <w:r w:rsidR="004C78FF">
        <w:rPr>
          <w:sz w:val="26"/>
          <w:szCs w:val="26"/>
        </w:rPr>
        <w:t>Arī nākotnē</w:t>
      </w:r>
      <w:r w:rsidR="00C53E0F">
        <w:rPr>
          <w:sz w:val="26"/>
          <w:szCs w:val="26"/>
        </w:rPr>
        <w:t>,</w:t>
      </w:r>
      <w:r w:rsidR="004C78FF">
        <w:rPr>
          <w:sz w:val="26"/>
          <w:szCs w:val="26"/>
        </w:rPr>
        <w:t xml:space="preserve"> palielinot pasažieru pārvadājumu intensitāti pārvadājumos ar vilcieniem, proti, ieviešot intervālu grafiku elektrificētajā zonā, pasažieru pārvadājumiem ar autobusiem jānodrošina pietiekama loma, lai nodrošinātu autobusu un vilcienu savienojumus.</w:t>
      </w:r>
    </w:p>
    <w:p w14:paraId="12619FB4" w14:textId="3CDC4229" w:rsidR="00176A2E" w:rsidRPr="003A1457" w:rsidRDefault="004C78FF" w:rsidP="001A711A">
      <w:pPr>
        <w:pStyle w:val="ListParagraph"/>
        <w:numPr>
          <w:ilvl w:val="0"/>
          <w:numId w:val="31"/>
        </w:numPr>
        <w:ind w:left="0" w:firstLine="720"/>
        <w:jc w:val="both"/>
        <w:rPr>
          <w:sz w:val="26"/>
          <w:szCs w:val="26"/>
        </w:rPr>
      </w:pPr>
      <w:r>
        <w:rPr>
          <w:sz w:val="26"/>
          <w:szCs w:val="26"/>
        </w:rPr>
        <w:t>A</w:t>
      </w:r>
      <w:r w:rsidR="001A711A">
        <w:rPr>
          <w:sz w:val="26"/>
          <w:szCs w:val="26"/>
        </w:rPr>
        <w:t xml:space="preserve">utobusu pārvadājumu </w:t>
      </w:r>
      <w:r w:rsidR="0079498D">
        <w:rPr>
          <w:sz w:val="26"/>
          <w:szCs w:val="26"/>
        </w:rPr>
        <w:t xml:space="preserve">un noslēgto iepirkuma līgumu </w:t>
      </w:r>
      <w:r w:rsidR="001A711A">
        <w:rPr>
          <w:sz w:val="26"/>
          <w:szCs w:val="26"/>
        </w:rPr>
        <w:t>elastība ļauj apmierināt iedzīvotāju pieprasījumu un mobilitāti, kas it īpaši ir svarīga mazapdzīvotās teritorijās, novadu teritorijās, nodrošinot iedzīvotājiem i</w:t>
      </w:r>
      <w:r w:rsidR="001A711A" w:rsidRPr="00E243CE">
        <w:rPr>
          <w:sz w:val="26"/>
          <w:szCs w:val="26"/>
        </w:rPr>
        <w:t xml:space="preserve">espēju apmeklēt izglītības iestādes, ārstniecības iestādes, </w:t>
      </w:r>
      <w:r w:rsidR="001A711A" w:rsidRPr="003A1457">
        <w:rPr>
          <w:sz w:val="26"/>
          <w:szCs w:val="26"/>
        </w:rPr>
        <w:t>darbavietas, valsts un pašvaldību institūcijas to vispārpieņemtajā darba laikā</w:t>
      </w:r>
      <w:r w:rsidR="000322FA" w:rsidRPr="003A1457">
        <w:rPr>
          <w:sz w:val="26"/>
          <w:szCs w:val="26"/>
        </w:rPr>
        <w:t>.</w:t>
      </w:r>
    </w:p>
    <w:p w14:paraId="29C45C9E" w14:textId="2B49BC99" w:rsidR="000C4EDE" w:rsidRPr="003A1457" w:rsidRDefault="000C4EDE" w:rsidP="003A1457">
      <w:pPr>
        <w:pStyle w:val="ListParagraph"/>
        <w:numPr>
          <w:ilvl w:val="0"/>
          <w:numId w:val="31"/>
        </w:numPr>
        <w:ind w:left="0" w:firstLine="720"/>
        <w:jc w:val="both"/>
        <w:rPr>
          <w:sz w:val="26"/>
          <w:szCs w:val="26"/>
        </w:rPr>
      </w:pPr>
      <w:r w:rsidRPr="003A1457">
        <w:rPr>
          <w:sz w:val="26"/>
          <w:szCs w:val="26"/>
        </w:rPr>
        <w:t xml:space="preserve">Reģionālās nozīmes pārvadājumos ar autobusiem </w:t>
      </w:r>
      <w:r w:rsidR="00251A85">
        <w:rPr>
          <w:sz w:val="26"/>
          <w:szCs w:val="26"/>
        </w:rPr>
        <w:t>izmaksu modelis balstīts uz atklāt</w:t>
      </w:r>
      <w:r w:rsidR="00386F0E">
        <w:rPr>
          <w:sz w:val="26"/>
          <w:szCs w:val="26"/>
        </w:rPr>
        <w:t>ā</w:t>
      </w:r>
      <w:r w:rsidR="00251A85">
        <w:rPr>
          <w:sz w:val="26"/>
          <w:szCs w:val="26"/>
        </w:rPr>
        <w:t xml:space="preserve"> konkursa </w:t>
      </w:r>
      <w:r w:rsidR="00386F0E">
        <w:rPr>
          <w:sz w:val="26"/>
          <w:szCs w:val="26"/>
        </w:rPr>
        <w:t>–</w:t>
      </w:r>
      <w:r w:rsidR="0079498D">
        <w:rPr>
          <w:sz w:val="26"/>
          <w:szCs w:val="26"/>
        </w:rPr>
        <w:t xml:space="preserve"> rezultātā noskaidroto pakalpojuma </w:t>
      </w:r>
      <w:r w:rsidR="00251A85">
        <w:rPr>
          <w:sz w:val="26"/>
          <w:szCs w:val="26"/>
        </w:rPr>
        <w:t>cenu</w:t>
      </w:r>
      <w:r w:rsidRPr="003A1457">
        <w:rPr>
          <w:sz w:val="26"/>
          <w:szCs w:val="26"/>
        </w:rPr>
        <w:t>, k</w:t>
      </w:r>
      <w:r w:rsidR="003A1457" w:rsidRPr="003A1457">
        <w:rPr>
          <w:sz w:val="26"/>
          <w:szCs w:val="26"/>
        </w:rPr>
        <w:t xml:space="preserve">ur izmaksu risku ir uzņēmies sabiedriskā transporta pakalpojumu sniedzējs, bet pasūtītāja risks tiek balstīts uz pietiekamu, objektīvi nepieciešamu un iedzīvotāju pieprasījumam atbilstošu maršrutu tīklu. </w:t>
      </w:r>
      <w:r w:rsidRPr="003A1457">
        <w:rPr>
          <w:sz w:val="26"/>
          <w:szCs w:val="26"/>
        </w:rPr>
        <w:t xml:space="preserve"> </w:t>
      </w:r>
    </w:p>
    <w:p w14:paraId="34A15C11" w14:textId="74040E2F" w:rsidR="00682603" w:rsidRPr="008D4A90" w:rsidRDefault="00176A2E" w:rsidP="00682603">
      <w:pPr>
        <w:pStyle w:val="ListParagraph"/>
        <w:numPr>
          <w:ilvl w:val="0"/>
          <w:numId w:val="31"/>
        </w:numPr>
        <w:ind w:left="0" w:firstLine="720"/>
        <w:jc w:val="both"/>
        <w:rPr>
          <w:sz w:val="26"/>
          <w:szCs w:val="26"/>
        </w:rPr>
      </w:pPr>
      <w:r w:rsidRPr="00CD290B">
        <w:rPr>
          <w:sz w:val="26"/>
          <w:szCs w:val="26"/>
        </w:rPr>
        <w:t>Kompensējam</w:t>
      </w:r>
      <w:r w:rsidR="001A711A">
        <w:rPr>
          <w:sz w:val="26"/>
          <w:szCs w:val="26"/>
        </w:rPr>
        <w:t>o</w:t>
      </w:r>
      <w:r w:rsidRPr="00CD290B">
        <w:rPr>
          <w:sz w:val="26"/>
          <w:szCs w:val="26"/>
        </w:rPr>
        <w:t xml:space="preserve"> izmak</w:t>
      </w:r>
      <w:r w:rsidR="00CD290B">
        <w:rPr>
          <w:sz w:val="26"/>
          <w:szCs w:val="26"/>
        </w:rPr>
        <w:t xml:space="preserve">su pieaugums </w:t>
      </w:r>
      <w:r w:rsidR="001A711A">
        <w:rPr>
          <w:sz w:val="26"/>
          <w:szCs w:val="26"/>
        </w:rPr>
        <w:t xml:space="preserve">sakarā ar </w:t>
      </w:r>
      <w:r w:rsidR="001A711A" w:rsidRPr="008D4A90">
        <w:rPr>
          <w:sz w:val="26"/>
          <w:szCs w:val="26"/>
        </w:rPr>
        <w:t>vispārējo preču un pakalpojumu cenu pieaugumu</w:t>
      </w:r>
      <w:r w:rsidR="00BA2C30" w:rsidRPr="008D4A90">
        <w:rPr>
          <w:sz w:val="26"/>
          <w:szCs w:val="26"/>
        </w:rPr>
        <w:t xml:space="preserve"> (sevišķi energoresursu cenas)</w:t>
      </w:r>
      <w:r w:rsidR="004C78FF" w:rsidRPr="008D4A90">
        <w:rPr>
          <w:sz w:val="26"/>
          <w:szCs w:val="26"/>
        </w:rPr>
        <w:t xml:space="preserve"> un</w:t>
      </w:r>
      <w:r w:rsidR="00BA2C30" w:rsidRPr="008D4A90">
        <w:rPr>
          <w:sz w:val="26"/>
          <w:szCs w:val="26"/>
        </w:rPr>
        <w:t xml:space="preserve"> darba samaksas pieaugum</w:t>
      </w:r>
      <w:r w:rsidR="004C78FF" w:rsidRPr="008D4A90">
        <w:rPr>
          <w:sz w:val="26"/>
          <w:szCs w:val="26"/>
        </w:rPr>
        <w:t>u</w:t>
      </w:r>
      <w:r w:rsidR="001A711A">
        <w:rPr>
          <w:sz w:val="26"/>
          <w:szCs w:val="26"/>
        </w:rPr>
        <w:t xml:space="preserve"> ir ierobežojams tikai reģionālās nozīmes pārvadājumos ar autobusiem, ievērojot to, ka sabiedriskā transporta pakalpojumu izpildei ir noslēgti </w:t>
      </w:r>
      <w:r w:rsidR="0079498D">
        <w:rPr>
          <w:sz w:val="26"/>
          <w:szCs w:val="26"/>
        </w:rPr>
        <w:t>iepirkuma</w:t>
      </w:r>
      <w:r w:rsidR="00682603">
        <w:rPr>
          <w:sz w:val="26"/>
          <w:szCs w:val="26"/>
        </w:rPr>
        <w:t xml:space="preserve"> līgumi par noteiktu līgumcenu</w:t>
      </w:r>
      <w:r w:rsidR="004C78FF">
        <w:rPr>
          <w:sz w:val="26"/>
          <w:szCs w:val="26"/>
        </w:rPr>
        <w:t xml:space="preserve"> īstermiņā vai ilgtermiņā</w:t>
      </w:r>
      <w:r w:rsidR="00682603">
        <w:rPr>
          <w:sz w:val="26"/>
          <w:szCs w:val="26"/>
        </w:rPr>
        <w:t xml:space="preserve">. Saistībā ar pārvadājumiem ar vilcieniem izmaksu apmērus nosaka </w:t>
      </w:r>
      <w:r w:rsidR="004C78FF">
        <w:rPr>
          <w:sz w:val="26"/>
          <w:szCs w:val="26"/>
        </w:rPr>
        <w:t xml:space="preserve">ekonomiskā situācija un </w:t>
      </w:r>
      <w:r w:rsidR="00682603">
        <w:rPr>
          <w:sz w:val="26"/>
          <w:szCs w:val="26"/>
        </w:rPr>
        <w:t xml:space="preserve">tirgū pastāvošās cenas un to </w:t>
      </w:r>
      <w:r w:rsidR="00682603" w:rsidRPr="008D4A90">
        <w:rPr>
          <w:sz w:val="26"/>
          <w:szCs w:val="26"/>
        </w:rPr>
        <w:t>izmaiņas</w:t>
      </w:r>
      <w:r w:rsidR="000322FA">
        <w:rPr>
          <w:sz w:val="26"/>
          <w:szCs w:val="26"/>
        </w:rPr>
        <w:t>.</w:t>
      </w:r>
    </w:p>
    <w:p w14:paraId="535A9A7E" w14:textId="42534D93" w:rsidR="00F651F2" w:rsidRPr="008D4A90" w:rsidRDefault="0079498D" w:rsidP="00682603">
      <w:pPr>
        <w:pStyle w:val="ListParagraph"/>
        <w:numPr>
          <w:ilvl w:val="0"/>
          <w:numId w:val="31"/>
        </w:numPr>
        <w:ind w:left="0" w:firstLine="720"/>
        <w:jc w:val="both"/>
        <w:rPr>
          <w:sz w:val="26"/>
          <w:szCs w:val="26"/>
        </w:rPr>
      </w:pPr>
      <w:r>
        <w:rPr>
          <w:sz w:val="26"/>
          <w:szCs w:val="26"/>
        </w:rPr>
        <w:t>Iepirkuma</w:t>
      </w:r>
      <w:r w:rsidR="00F651F2" w:rsidRPr="008D4A90">
        <w:rPr>
          <w:sz w:val="26"/>
          <w:szCs w:val="26"/>
        </w:rPr>
        <w:t xml:space="preserve"> līgumos </w:t>
      </w:r>
      <w:r>
        <w:rPr>
          <w:sz w:val="26"/>
          <w:szCs w:val="26"/>
        </w:rPr>
        <w:t xml:space="preserve">par sabiedriskā transporta pakalpojumu nodrošināšanu </w:t>
      </w:r>
      <w:r w:rsidR="008D4A90" w:rsidRPr="008D4A90">
        <w:rPr>
          <w:sz w:val="26"/>
          <w:szCs w:val="26"/>
        </w:rPr>
        <w:t xml:space="preserve">ar autobusiem </w:t>
      </w:r>
      <w:r w:rsidR="00F651F2" w:rsidRPr="008D4A90">
        <w:rPr>
          <w:sz w:val="26"/>
          <w:szCs w:val="26"/>
        </w:rPr>
        <w:t xml:space="preserve">noteiktās kvalitātes prasības nodrošina </w:t>
      </w:r>
      <w:r w:rsidR="00F7678E" w:rsidRPr="008D4A90">
        <w:rPr>
          <w:sz w:val="26"/>
          <w:szCs w:val="26"/>
        </w:rPr>
        <w:t>tādu pakalpojumu</w:t>
      </w:r>
      <w:r w:rsidR="008D4A90" w:rsidRPr="008D4A90">
        <w:rPr>
          <w:sz w:val="26"/>
          <w:szCs w:val="26"/>
        </w:rPr>
        <w:t xml:space="preserve"> kvalitātes kopumu, kas garantē pasažieriem drošus pārvadājumus, </w:t>
      </w:r>
      <w:r w:rsidR="00C53E0F">
        <w:rPr>
          <w:sz w:val="26"/>
          <w:szCs w:val="26"/>
        </w:rPr>
        <w:t>tajā skaitā</w:t>
      </w:r>
      <w:r w:rsidR="008D4A90" w:rsidRPr="008D4A90">
        <w:rPr>
          <w:sz w:val="26"/>
          <w:szCs w:val="26"/>
        </w:rPr>
        <w:t xml:space="preserve"> personām ar funkcionāliem traucējumiem pieejamus un ērtus pakalpojumus, kā arī pakalpojumu nodrošināšanā videi draudzīgāku transportlīdzekļu iesaisti. </w:t>
      </w:r>
      <w:r>
        <w:rPr>
          <w:sz w:val="26"/>
          <w:szCs w:val="26"/>
        </w:rPr>
        <w:t>Iepirkuma līgumos iekļautās kvalitātes prasības ir nodrošināmas no pirmās līguma izpildes dienas, l</w:t>
      </w:r>
      <w:r w:rsidR="008D4A90" w:rsidRPr="008D4A90">
        <w:rPr>
          <w:sz w:val="26"/>
          <w:szCs w:val="26"/>
        </w:rPr>
        <w:t>īdz ar to iepirkumu</w:t>
      </w:r>
      <w:r>
        <w:rPr>
          <w:sz w:val="26"/>
          <w:szCs w:val="26"/>
        </w:rPr>
        <w:t xml:space="preserve"> līgumos iekļautie pakalpojumam izvirzītie</w:t>
      </w:r>
      <w:r w:rsidR="008D4A90" w:rsidRPr="008D4A90">
        <w:rPr>
          <w:sz w:val="26"/>
          <w:szCs w:val="26"/>
        </w:rPr>
        <w:t xml:space="preserve"> kvalitātes standarti nav mazināmi</w:t>
      </w:r>
      <w:r>
        <w:rPr>
          <w:sz w:val="26"/>
          <w:szCs w:val="26"/>
        </w:rPr>
        <w:t xml:space="preserve"> un to ieviešanu nav iespējams atlikt</w:t>
      </w:r>
      <w:r w:rsidR="008D4A90" w:rsidRPr="008D4A90">
        <w:rPr>
          <w:sz w:val="26"/>
          <w:szCs w:val="26"/>
        </w:rPr>
        <w:t>.</w:t>
      </w:r>
    </w:p>
    <w:p w14:paraId="16F93B20" w14:textId="77777777" w:rsidR="00C53E0F" w:rsidRDefault="00706075" w:rsidP="00682603">
      <w:pPr>
        <w:pStyle w:val="ListParagraph"/>
        <w:numPr>
          <w:ilvl w:val="0"/>
          <w:numId w:val="31"/>
        </w:numPr>
        <w:ind w:left="0" w:firstLine="720"/>
        <w:jc w:val="both"/>
        <w:rPr>
          <w:sz w:val="26"/>
          <w:szCs w:val="26"/>
        </w:rPr>
      </w:pPr>
      <w:r w:rsidRPr="00CD290B">
        <w:rPr>
          <w:sz w:val="26"/>
          <w:szCs w:val="26"/>
        </w:rPr>
        <w:t xml:space="preserve">No sabiedriskā transporta pakalpojumu sniegšanas gūtie ieņēmumi tiešā veidā ietekmē no valsts budžeta kompensējamos sabiedriskā transporta pakalpojumos radušos zaudējumus, </w:t>
      </w:r>
      <w:r w:rsidR="00682603">
        <w:rPr>
          <w:sz w:val="26"/>
          <w:szCs w:val="26"/>
        </w:rPr>
        <w:t xml:space="preserve">ievērojot </w:t>
      </w:r>
      <w:r w:rsidR="008D4A90">
        <w:rPr>
          <w:sz w:val="26"/>
          <w:szCs w:val="26"/>
        </w:rPr>
        <w:t xml:space="preserve">pasūtītāja </w:t>
      </w:r>
      <w:r w:rsidR="00682603">
        <w:rPr>
          <w:sz w:val="26"/>
          <w:szCs w:val="26"/>
        </w:rPr>
        <w:t xml:space="preserve">noteikto braukšanas maksu (tarifu), kas </w:t>
      </w:r>
      <w:r w:rsidR="008D4A90">
        <w:rPr>
          <w:sz w:val="26"/>
          <w:szCs w:val="26"/>
        </w:rPr>
        <w:t>ir zemāk</w:t>
      </w:r>
      <w:r w:rsidR="009A2634">
        <w:rPr>
          <w:sz w:val="26"/>
          <w:szCs w:val="26"/>
        </w:rPr>
        <w:t>a</w:t>
      </w:r>
      <w:r w:rsidR="008D4A90">
        <w:rPr>
          <w:sz w:val="26"/>
          <w:szCs w:val="26"/>
        </w:rPr>
        <w:t xml:space="preserve"> nekā </w:t>
      </w:r>
      <w:r w:rsidR="000322FA">
        <w:rPr>
          <w:sz w:val="26"/>
          <w:szCs w:val="26"/>
        </w:rPr>
        <w:t xml:space="preserve">pakalpojumu izpildei nepieciešamie izdevumi, lai nodrošinātu pakalpojumu pieejamību atbilstoši </w:t>
      </w:r>
      <w:r w:rsidR="000322FA" w:rsidRPr="00C53E0F">
        <w:rPr>
          <w:sz w:val="26"/>
          <w:szCs w:val="26"/>
        </w:rPr>
        <w:t>iedzīvotāju maksātspējai</w:t>
      </w:r>
      <w:r w:rsidR="00682603" w:rsidRPr="00C53E0F">
        <w:rPr>
          <w:sz w:val="26"/>
          <w:szCs w:val="26"/>
        </w:rPr>
        <w:t>, un pārvadāto pasažieru skaitu, kā arī noteiktos braukšanas maksas atvieglojumus</w:t>
      </w:r>
      <w:r w:rsidR="000322FA" w:rsidRPr="00C53E0F">
        <w:rPr>
          <w:sz w:val="26"/>
          <w:szCs w:val="26"/>
        </w:rPr>
        <w:t>.</w:t>
      </w:r>
    </w:p>
    <w:p w14:paraId="189AF853" w14:textId="64E3C2FB" w:rsidR="00682603" w:rsidRPr="00C53E0F" w:rsidRDefault="00C53E0F" w:rsidP="00682603">
      <w:pPr>
        <w:pStyle w:val="ListParagraph"/>
        <w:numPr>
          <w:ilvl w:val="0"/>
          <w:numId w:val="31"/>
        </w:numPr>
        <w:ind w:left="0" w:firstLine="720"/>
        <w:jc w:val="both"/>
        <w:rPr>
          <w:sz w:val="26"/>
          <w:szCs w:val="26"/>
        </w:rPr>
      </w:pPr>
      <w:r>
        <w:rPr>
          <w:sz w:val="26"/>
          <w:szCs w:val="26"/>
        </w:rPr>
        <w:t xml:space="preserve">Valstspilsētu </w:t>
      </w:r>
      <w:r w:rsidRPr="00C53E0F">
        <w:rPr>
          <w:rStyle w:val="cf01"/>
          <w:rFonts w:ascii="Times New Roman" w:hAnsi="Times New Roman" w:cs="Times New Roman"/>
          <w:sz w:val="26"/>
          <w:szCs w:val="26"/>
        </w:rPr>
        <w:t>pašvaldīb</w:t>
      </w:r>
      <w:r w:rsidR="00E70AF9">
        <w:rPr>
          <w:rStyle w:val="cf01"/>
          <w:rFonts w:ascii="Times New Roman" w:hAnsi="Times New Roman" w:cs="Times New Roman"/>
          <w:sz w:val="26"/>
          <w:szCs w:val="26"/>
        </w:rPr>
        <w:t>u</w:t>
      </w:r>
      <w:r w:rsidRPr="00C53E0F">
        <w:rPr>
          <w:rStyle w:val="cf01"/>
          <w:rFonts w:ascii="Times New Roman" w:hAnsi="Times New Roman" w:cs="Times New Roman"/>
          <w:sz w:val="26"/>
          <w:szCs w:val="26"/>
        </w:rPr>
        <w:t xml:space="preserve"> autonomi noteikto braukšanas maksas (tarifu) izmaiņas rada ietekmi uz valsts budžeta braukšanas maksas atvieglojumiem nepieciešamā finansējuma apmēru.</w:t>
      </w:r>
    </w:p>
    <w:p w14:paraId="2B989024" w14:textId="16DE8CF9" w:rsidR="00194D65" w:rsidRDefault="00194D65" w:rsidP="00E243CE">
      <w:pPr>
        <w:jc w:val="both"/>
        <w:rPr>
          <w:sz w:val="28"/>
          <w:szCs w:val="28"/>
        </w:rPr>
      </w:pPr>
    </w:p>
    <w:p w14:paraId="697855EA" w14:textId="1BFBF871" w:rsidR="00194D65" w:rsidRPr="00682603" w:rsidRDefault="008A2321" w:rsidP="008A2321">
      <w:pPr>
        <w:pStyle w:val="ListParagraph"/>
        <w:ind w:left="0" w:firstLine="709"/>
        <w:jc w:val="both"/>
        <w:rPr>
          <w:sz w:val="28"/>
          <w:szCs w:val="28"/>
        </w:rPr>
      </w:pPr>
      <w:r>
        <w:rPr>
          <w:rStyle w:val="contentpasted0"/>
          <w:b/>
          <w:bCs/>
          <w:color w:val="000000"/>
          <w:sz w:val="28"/>
          <w:szCs w:val="28"/>
        </w:rPr>
        <w:lastRenderedPageBreak/>
        <w:t xml:space="preserve">2. </w:t>
      </w:r>
      <w:r w:rsidR="00682603" w:rsidRPr="00682603">
        <w:rPr>
          <w:rStyle w:val="contentpasted0"/>
          <w:b/>
          <w:bCs/>
          <w:color w:val="000000"/>
          <w:sz w:val="28"/>
          <w:szCs w:val="28"/>
        </w:rPr>
        <w:t>Veicamie pasākumi sabiedriskā transporta pakalpojumu kompensācijas apjoma samazināšanai</w:t>
      </w:r>
      <w:r w:rsidR="00682603" w:rsidRPr="00682603">
        <w:rPr>
          <w:b/>
          <w:bCs/>
          <w:sz w:val="28"/>
          <w:szCs w:val="28"/>
        </w:rPr>
        <w:t xml:space="preserve"> </w:t>
      </w:r>
    </w:p>
    <w:p w14:paraId="60FF5982" w14:textId="77777777" w:rsidR="00682603" w:rsidRPr="00682603" w:rsidRDefault="00682603" w:rsidP="00682603">
      <w:pPr>
        <w:pStyle w:val="ListParagraph"/>
        <w:ind w:left="709"/>
        <w:jc w:val="both"/>
        <w:rPr>
          <w:sz w:val="28"/>
          <w:szCs w:val="28"/>
        </w:rPr>
      </w:pPr>
    </w:p>
    <w:p w14:paraId="1B91F09F" w14:textId="67D8FF16" w:rsidR="00682603" w:rsidRPr="00F651F2" w:rsidRDefault="00E3479C" w:rsidP="00682603">
      <w:pPr>
        <w:pStyle w:val="NormalWeb"/>
        <w:shd w:val="clear" w:color="auto" w:fill="FFFFFF"/>
        <w:spacing w:before="0" w:beforeAutospacing="0" w:after="0" w:afterAutospacing="0"/>
        <w:ind w:firstLine="737"/>
        <w:jc w:val="both"/>
        <w:rPr>
          <w:rStyle w:val="contentpasted0"/>
          <w:color w:val="000000"/>
          <w:sz w:val="26"/>
          <w:szCs w:val="26"/>
        </w:rPr>
      </w:pPr>
      <w:r w:rsidRPr="00682603">
        <w:rPr>
          <w:rStyle w:val="contentpasted0"/>
          <w:color w:val="000000"/>
          <w:sz w:val="26"/>
          <w:szCs w:val="26"/>
        </w:rPr>
        <w:t xml:space="preserve">Saskaņā ar sagatavoto valsts budžeta </w:t>
      </w:r>
      <w:r w:rsidR="000322FA">
        <w:rPr>
          <w:rStyle w:val="contentpasted0"/>
          <w:color w:val="000000"/>
          <w:sz w:val="26"/>
          <w:szCs w:val="26"/>
        </w:rPr>
        <w:t>likum</w:t>
      </w:r>
      <w:r w:rsidRPr="00682603">
        <w:rPr>
          <w:rStyle w:val="contentpasted0"/>
          <w:color w:val="000000"/>
          <w:sz w:val="26"/>
          <w:szCs w:val="26"/>
        </w:rPr>
        <w:t xml:space="preserve">projektu </w:t>
      </w:r>
      <w:r w:rsidR="00637953" w:rsidRPr="00B65FB3">
        <w:rPr>
          <w:rStyle w:val="contentpasted0"/>
          <w:color w:val="000000"/>
          <w:sz w:val="26"/>
          <w:szCs w:val="26"/>
        </w:rPr>
        <w:t>“Par valsts budžetu 2023. gadam un budžeta ietvaru 2023., 2024. un 2025. gadam”</w:t>
      </w:r>
      <w:r w:rsidR="00DC2B77">
        <w:rPr>
          <w:rStyle w:val="contentpasted0"/>
          <w:color w:val="000000"/>
          <w:sz w:val="26"/>
          <w:szCs w:val="26"/>
        </w:rPr>
        <w:t xml:space="preserve"> </w:t>
      </w:r>
      <w:r w:rsidRPr="00682603">
        <w:rPr>
          <w:rStyle w:val="contentpasted0"/>
          <w:color w:val="000000"/>
          <w:sz w:val="26"/>
          <w:szCs w:val="26"/>
        </w:rPr>
        <w:t>valsts budžeta 31.06.00 apakšprogrammā sabiedriskā transporta pakalpojumu nodrošināšanai plānotais finansējums ir paredzēts 74,787 milj. EUR, kuros ir iekļauts 10 milj. EUR finansējuma palielinājums, kas piešķirts</w:t>
      </w:r>
      <w:r w:rsidR="004003D3">
        <w:rPr>
          <w:rStyle w:val="contentpasted0"/>
          <w:color w:val="000000"/>
          <w:sz w:val="26"/>
          <w:szCs w:val="26"/>
        </w:rPr>
        <w:t>,</w:t>
      </w:r>
      <w:r w:rsidRPr="00682603">
        <w:rPr>
          <w:rStyle w:val="contentpasted0"/>
          <w:color w:val="000000"/>
          <w:sz w:val="26"/>
          <w:szCs w:val="26"/>
        </w:rPr>
        <w:t xml:space="preserve"> atbalstot Prioritārajos pasākumos pieprasīto finansējumu, lai nodrošinātu sabiedriskā transporta pakalpojumu līgumos paredzēto saistību </w:t>
      </w:r>
      <w:r w:rsidRPr="00F651F2">
        <w:rPr>
          <w:rStyle w:val="contentpasted0"/>
          <w:color w:val="000000"/>
          <w:sz w:val="26"/>
          <w:szCs w:val="26"/>
        </w:rPr>
        <w:t xml:space="preserve">izpildi. </w:t>
      </w:r>
    </w:p>
    <w:p w14:paraId="36543497" w14:textId="3332A423" w:rsidR="00E3479C" w:rsidRDefault="00A10347" w:rsidP="00682603">
      <w:pPr>
        <w:pStyle w:val="NormalWeb"/>
        <w:shd w:val="clear" w:color="auto" w:fill="FFFFFF"/>
        <w:spacing w:before="0" w:beforeAutospacing="0" w:after="0" w:afterAutospacing="0"/>
        <w:ind w:firstLine="737"/>
        <w:jc w:val="both"/>
        <w:rPr>
          <w:rStyle w:val="contentpasted0"/>
          <w:color w:val="000000"/>
          <w:sz w:val="26"/>
          <w:szCs w:val="26"/>
        </w:rPr>
      </w:pPr>
      <w:r w:rsidRPr="00F651F2">
        <w:rPr>
          <w:rStyle w:val="contentpasted0"/>
          <w:color w:val="000000"/>
          <w:sz w:val="26"/>
          <w:szCs w:val="26"/>
        </w:rPr>
        <w:t>Savukārt</w:t>
      </w:r>
      <w:r w:rsidR="008A2321" w:rsidRPr="00F651F2">
        <w:rPr>
          <w:rStyle w:val="contentpasted0"/>
          <w:color w:val="000000"/>
          <w:sz w:val="26"/>
          <w:szCs w:val="26"/>
        </w:rPr>
        <w:t>,</w:t>
      </w:r>
      <w:r w:rsidRPr="00F651F2">
        <w:rPr>
          <w:rStyle w:val="contentpasted0"/>
          <w:color w:val="000000"/>
          <w:sz w:val="26"/>
          <w:szCs w:val="26"/>
        </w:rPr>
        <w:t xml:space="preserve"> apkopojot </w:t>
      </w:r>
      <w:r w:rsidR="008A2321" w:rsidRPr="00F651F2">
        <w:rPr>
          <w:rStyle w:val="contentpasted0"/>
          <w:color w:val="000000"/>
          <w:sz w:val="26"/>
          <w:szCs w:val="26"/>
        </w:rPr>
        <w:t xml:space="preserve">un izstrādājot 2023.gada </w:t>
      </w:r>
      <w:r w:rsidRPr="00F651F2">
        <w:rPr>
          <w:rStyle w:val="contentpasted0"/>
          <w:color w:val="000000"/>
          <w:sz w:val="26"/>
          <w:szCs w:val="26"/>
        </w:rPr>
        <w:t xml:space="preserve">prognozes </w:t>
      </w:r>
      <w:r w:rsidR="00E3479C" w:rsidRPr="00F651F2">
        <w:rPr>
          <w:rStyle w:val="contentpasted0"/>
          <w:color w:val="000000"/>
          <w:sz w:val="26"/>
          <w:szCs w:val="26"/>
        </w:rPr>
        <w:t xml:space="preserve">kopā nepieciešamais valsts budžeta finansējums sabiedriskā transporta pakalpojumu nodrošināšanai </w:t>
      </w:r>
      <w:r w:rsidR="008A2321" w:rsidRPr="00F651F2">
        <w:rPr>
          <w:rStyle w:val="contentpasted0"/>
          <w:color w:val="000000"/>
          <w:sz w:val="26"/>
          <w:szCs w:val="26"/>
        </w:rPr>
        <w:t xml:space="preserve">31.06.00 apakšprogrammā </w:t>
      </w:r>
      <w:r w:rsidR="00E3479C" w:rsidRPr="00F651F2">
        <w:rPr>
          <w:rStyle w:val="contentpasted0"/>
          <w:color w:val="000000"/>
          <w:sz w:val="26"/>
          <w:szCs w:val="26"/>
        </w:rPr>
        <w:t xml:space="preserve">sastāda </w:t>
      </w:r>
      <w:r w:rsidR="008A2321" w:rsidRPr="00F651F2">
        <w:rPr>
          <w:rStyle w:val="contentpasted0"/>
          <w:color w:val="000000"/>
          <w:sz w:val="26"/>
          <w:szCs w:val="26"/>
        </w:rPr>
        <w:t>114</w:t>
      </w:r>
      <w:r w:rsidR="000322FA">
        <w:rPr>
          <w:rStyle w:val="contentpasted0"/>
          <w:color w:val="000000"/>
          <w:sz w:val="26"/>
          <w:szCs w:val="26"/>
        </w:rPr>
        <w:t>,</w:t>
      </w:r>
      <w:r w:rsidR="00875A13">
        <w:rPr>
          <w:rStyle w:val="contentpasted0"/>
          <w:color w:val="000000"/>
          <w:sz w:val="26"/>
          <w:szCs w:val="26"/>
        </w:rPr>
        <w:t>76</w:t>
      </w:r>
      <w:r w:rsidR="00875A13" w:rsidRPr="00F651F2">
        <w:rPr>
          <w:rStyle w:val="contentpasted0"/>
          <w:color w:val="000000"/>
          <w:sz w:val="26"/>
          <w:szCs w:val="26"/>
        </w:rPr>
        <w:t xml:space="preserve"> </w:t>
      </w:r>
      <w:r w:rsidR="000322FA">
        <w:rPr>
          <w:rStyle w:val="contentpasted0"/>
          <w:color w:val="000000"/>
          <w:sz w:val="26"/>
          <w:szCs w:val="26"/>
        </w:rPr>
        <w:t>milj.</w:t>
      </w:r>
      <w:r w:rsidR="00E3479C" w:rsidRPr="00F651F2">
        <w:rPr>
          <w:rStyle w:val="contentpasted0"/>
          <w:color w:val="000000"/>
          <w:sz w:val="26"/>
          <w:szCs w:val="26"/>
        </w:rPr>
        <w:t xml:space="preserve"> EUR. Līdz ar to</w:t>
      </w:r>
      <w:r w:rsidR="00637953">
        <w:rPr>
          <w:rStyle w:val="contentpasted0"/>
          <w:color w:val="000000"/>
          <w:sz w:val="26"/>
          <w:szCs w:val="26"/>
        </w:rPr>
        <w:t>,</w:t>
      </w:r>
      <w:r w:rsidR="00E3479C" w:rsidRPr="00F651F2">
        <w:rPr>
          <w:rStyle w:val="contentpasted0"/>
          <w:color w:val="000000"/>
          <w:sz w:val="26"/>
          <w:szCs w:val="26"/>
        </w:rPr>
        <w:t xml:space="preserve"> kopējais papildu nepieciešamais finansējums 2023.gadā plānojams līdz</w:t>
      </w:r>
      <w:r w:rsidR="004C78FF">
        <w:rPr>
          <w:rStyle w:val="contentpasted0"/>
          <w:color w:val="000000"/>
          <w:sz w:val="26"/>
          <w:szCs w:val="26"/>
        </w:rPr>
        <w:t xml:space="preserve"> </w:t>
      </w:r>
      <w:r w:rsidR="00F651F2" w:rsidRPr="00F651F2">
        <w:rPr>
          <w:rStyle w:val="contentpasted0"/>
          <w:color w:val="000000"/>
          <w:sz w:val="26"/>
          <w:szCs w:val="26"/>
        </w:rPr>
        <w:t>39,9</w:t>
      </w:r>
      <w:r w:rsidR="00E3479C" w:rsidRPr="00F651F2">
        <w:rPr>
          <w:rStyle w:val="contentpasted0"/>
          <w:color w:val="000000"/>
          <w:sz w:val="26"/>
          <w:szCs w:val="26"/>
        </w:rPr>
        <w:t xml:space="preserve"> milj.EUR.</w:t>
      </w:r>
      <w:r w:rsidR="004C78FF">
        <w:rPr>
          <w:rStyle w:val="contentpasted0"/>
          <w:b/>
          <w:bCs/>
          <w:color w:val="000000"/>
          <w:sz w:val="26"/>
          <w:szCs w:val="26"/>
        </w:rPr>
        <w:t xml:space="preserve"> </w:t>
      </w:r>
      <w:r w:rsidR="00E3479C" w:rsidRPr="00F651F2">
        <w:rPr>
          <w:rStyle w:val="contentpasted0"/>
          <w:color w:val="000000"/>
          <w:sz w:val="26"/>
          <w:szCs w:val="26"/>
        </w:rPr>
        <w:t>Atkārtoti pārskatot 2023.gada prognozes un aktualizējot no 2022.gada izmaksāto dotāciju atlikumu, kas varētu daļēji segt 2023.gada potenciālos zaudējumus, secin</w:t>
      </w:r>
      <w:r w:rsidR="00307BC3">
        <w:rPr>
          <w:rStyle w:val="contentpasted0"/>
          <w:color w:val="000000"/>
          <w:sz w:val="26"/>
          <w:szCs w:val="26"/>
        </w:rPr>
        <w:t xml:space="preserve">āms </w:t>
      </w:r>
      <w:r w:rsidR="00637953">
        <w:rPr>
          <w:rStyle w:val="contentpasted0"/>
          <w:color w:val="000000"/>
          <w:sz w:val="26"/>
          <w:szCs w:val="26"/>
        </w:rPr>
        <w:t>-</w:t>
      </w:r>
      <w:r w:rsidR="00E3479C" w:rsidRPr="00F651F2">
        <w:rPr>
          <w:rStyle w:val="contentpasted0"/>
          <w:color w:val="000000"/>
          <w:sz w:val="26"/>
          <w:szCs w:val="26"/>
        </w:rPr>
        <w:t>, ka valsts budžetā piešķirtais finansējums (74,787 milj. EUR) nesegs potenciālos zaudējumus 2023.gadā, radot saistības pret pārvadātājiem nesamaksātā finansējumu apmērā vismaz 30</w:t>
      </w:r>
      <w:r w:rsidR="00F651F2" w:rsidRPr="00F651F2">
        <w:rPr>
          <w:rStyle w:val="contentpasted0"/>
          <w:color w:val="000000"/>
          <w:sz w:val="26"/>
          <w:szCs w:val="26"/>
        </w:rPr>
        <w:t>,</w:t>
      </w:r>
      <w:r w:rsidR="00875A13">
        <w:rPr>
          <w:rStyle w:val="contentpasted0"/>
          <w:color w:val="000000"/>
          <w:sz w:val="26"/>
          <w:szCs w:val="26"/>
        </w:rPr>
        <w:t>9</w:t>
      </w:r>
      <w:r w:rsidR="00875A13" w:rsidRPr="00F651F2">
        <w:rPr>
          <w:rStyle w:val="contentpasted0"/>
          <w:color w:val="000000"/>
          <w:sz w:val="26"/>
          <w:szCs w:val="26"/>
        </w:rPr>
        <w:t xml:space="preserve">5 </w:t>
      </w:r>
      <w:r w:rsidR="00E3479C" w:rsidRPr="00F651F2">
        <w:rPr>
          <w:rStyle w:val="contentpasted0"/>
          <w:color w:val="000000"/>
          <w:sz w:val="26"/>
          <w:szCs w:val="26"/>
        </w:rPr>
        <w:t>milj. EUR</w:t>
      </w:r>
      <w:r w:rsidR="00A36C24">
        <w:rPr>
          <w:rStyle w:val="contentpasted0"/>
          <w:color w:val="000000"/>
          <w:sz w:val="26"/>
          <w:szCs w:val="26"/>
        </w:rPr>
        <w:t xml:space="preserve"> (skatīt Tabulu Nr.8)</w:t>
      </w:r>
      <w:r w:rsidR="00F651F2" w:rsidRPr="00F651F2">
        <w:rPr>
          <w:rStyle w:val="contentpasted0"/>
          <w:color w:val="000000"/>
          <w:sz w:val="26"/>
          <w:szCs w:val="26"/>
        </w:rPr>
        <w:t>.</w:t>
      </w:r>
    </w:p>
    <w:p w14:paraId="4A505B8E" w14:textId="10D3D047" w:rsidR="00A36C24" w:rsidRPr="003868E1" w:rsidRDefault="002F2E9A" w:rsidP="00682603">
      <w:pPr>
        <w:pStyle w:val="NormalWeb"/>
        <w:shd w:val="clear" w:color="auto" w:fill="FFFFFF"/>
        <w:spacing w:before="0" w:beforeAutospacing="0" w:after="0" w:afterAutospacing="0"/>
        <w:ind w:firstLine="737"/>
        <w:jc w:val="both"/>
        <w:rPr>
          <w:rStyle w:val="contentpasted0"/>
          <w:color w:val="000000"/>
          <w:sz w:val="26"/>
          <w:szCs w:val="26"/>
        </w:rPr>
      </w:pPr>
      <w:r>
        <w:rPr>
          <w:rStyle w:val="contentpasted0"/>
          <w:color w:val="000000"/>
          <w:sz w:val="26"/>
          <w:szCs w:val="26"/>
        </w:rPr>
        <w:t>Norādāms</w:t>
      </w:r>
      <w:r w:rsidR="00CA76D9">
        <w:rPr>
          <w:rStyle w:val="contentpasted0"/>
          <w:color w:val="000000"/>
          <w:sz w:val="26"/>
          <w:szCs w:val="26"/>
        </w:rPr>
        <w:t xml:space="preserve">, ka, aprēķinot 2023.gada prognozes, ievērojot </w:t>
      </w:r>
      <w:r w:rsidR="00A36C24">
        <w:rPr>
          <w:rStyle w:val="contentpasted0"/>
          <w:color w:val="000000"/>
          <w:sz w:val="26"/>
          <w:szCs w:val="26"/>
        </w:rPr>
        <w:t xml:space="preserve">cenu un pakalpojumu </w:t>
      </w:r>
      <w:r w:rsidR="00A36C24" w:rsidRPr="003868E1">
        <w:rPr>
          <w:rStyle w:val="contentpasted0"/>
          <w:color w:val="000000"/>
          <w:sz w:val="26"/>
          <w:szCs w:val="26"/>
        </w:rPr>
        <w:t>cenu pieaugumu un to neprognozējamās svārstības, tika ņemtas vērā sekojošas zaudējumu kompensācij</w:t>
      </w:r>
      <w:r w:rsidR="00B81F81">
        <w:rPr>
          <w:rStyle w:val="contentpasted0"/>
          <w:color w:val="000000"/>
          <w:sz w:val="26"/>
          <w:szCs w:val="26"/>
        </w:rPr>
        <w:t xml:space="preserve">u </w:t>
      </w:r>
      <w:r w:rsidR="00A36C24" w:rsidRPr="003868E1">
        <w:rPr>
          <w:rStyle w:val="contentpasted0"/>
          <w:color w:val="000000"/>
          <w:sz w:val="26"/>
          <w:szCs w:val="26"/>
        </w:rPr>
        <w:t>ietekmējošās komponentes:</w:t>
      </w:r>
    </w:p>
    <w:p w14:paraId="3CEBB708" w14:textId="12F9099D" w:rsidR="003868E1" w:rsidRPr="003868E1" w:rsidRDefault="005F5DEF" w:rsidP="00253511">
      <w:pPr>
        <w:pStyle w:val="BodyText"/>
        <w:numPr>
          <w:ilvl w:val="0"/>
          <w:numId w:val="42"/>
        </w:numPr>
        <w:ind w:left="0" w:firstLine="709"/>
        <w:jc w:val="both"/>
        <w:rPr>
          <w:b w:val="0"/>
          <w:bCs w:val="0"/>
          <w:sz w:val="26"/>
          <w:szCs w:val="26"/>
        </w:rPr>
      </w:pPr>
      <w:r w:rsidRPr="00253511">
        <w:rPr>
          <w:b w:val="0"/>
          <w:bCs w:val="0"/>
          <w:sz w:val="26"/>
          <w:szCs w:val="26"/>
        </w:rPr>
        <w:t>Ņemot vērā 2022.gadā pārvadāto pasažieru skaitu (par 4</w:t>
      </w:r>
      <w:r w:rsidRPr="003868E1">
        <w:rPr>
          <w:b w:val="0"/>
          <w:bCs w:val="0"/>
          <w:sz w:val="26"/>
          <w:szCs w:val="26"/>
        </w:rPr>
        <w:t>,8</w:t>
      </w:r>
      <w:r w:rsidRPr="00253511">
        <w:rPr>
          <w:b w:val="0"/>
          <w:bCs w:val="0"/>
          <w:sz w:val="26"/>
          <w:szCs w:val="26"/>
        </w:rPr>
        <w:t xml:space="preserve"> milj. pasažieru jeb 2</w:t>
      </w:r>
      <w:r w:rsidRPr="003868E1">
        <w:rPr>
          <w:b w:val="0"/>
          <w:bCs w:val="0"/>
          <w:sz w:val="26"/>
          <w:szCs w:val="26"/>
        </w:rPr>
        <w:t>9</w:t>
      </w:r>
      <w:r w:rsidRPr="00253511">
        <w:rPr>
          <w:b w:val="0"/>
          <w:bCs w:val="0"/>
          <w:sz w:val="26"/>
          <w:szCs w:val="26"/>
        </w:rPr>
        <w:t xml:space="preserve">% vairāk nekā 2021.gadā), 2023.gadā </w:t>
      </w:r>
      <w:r w:rsidRPr="003868E1">
        <w:rPr>
          <w:b w:val="0"/>
          <w:bCs w:val="0"/>
          <w:sz w:val="26"/>
          <w:szCs w:val="26"/>
        </w:rPr>
        <w:t xml:space="preserve">reģionālās nozīmes pārvadājumos ar autobusiem </w:t>
      </w:r>
      <w:r w:rsidRPr="00253511">
        <w:rPr>
          <w:b w:val="0"/>
          <w:bCs w:val="0"/>
          <w:sz w:val="26"/>
          <w:szCs w:val="26"/>
        </w:rPr>
        <w:t>prognozēts par maksu pārvadāto pasažieru skaita pieaugums par 1,9 milj. pasažieru jeb 10,4% un ieņēmumu pieaugums par 2,3 milj. EUR (par 8,65%), s</w:t>
      </w:r>
      <w:r w:rsidR="004F5A6C" w:rsidRPr="003868E1">
        <w:rPr>
          <w:b w:val="0"/>
          <w:bCs w:val="0"/>
          <w:sz w:val="26"/>
          <w:szCs w:val="26"/>
        </w:rPr>
        <w:t>asniedzot 29,10 milj. EUR</w:t>
      </w:r>
      <w:r w:rsidRPr="003868E1">
        <w:rPr>
          <w:b w:val="0"/>
          <w:bCs w:val="0"/>
          <w:sz w:val="26"/>
          <w:szCs w:val="26"/>
        </w:rPr>
        <w:t>. Savukārt reģionālās nozīmes pārvadājumos ar vilcieniem</w:t>
      </w:r>
      <w:r w:rsidRPr="00253511">
        <w:rPr>
          <w:b w:val="0"/>
          <w:bCs w:val="0"/>
          <w:sz w:val="26"/>
          <w:szCs w:val="26"/>
        </w:rPr>
        <w:t xml:space="preserve"> 2023. gadā plānots pārvadāt 17 miljonus pasažieru, kas ir par 8% vairāk nekā 2022. gadā</w:t>
      </w:r>
      <w:r w:rsidRPr="003868E1">
        <w:rPr>
          <w:b w:val="0"/>
          <w:bCs w:val="0"/>
          <w:sz w:val="26"/>
          <w:szCs w:val="26"/>
        </w:rPr>
        <w:t>, prognozējot ieņēmumu</w:t>
      </w:r>
      <w:r w:rsidR="0005284F" w:rsidRPr="003868E1">
        <w:rPr>
          <w:b w:val="0"/>
          <w:bCs w:val="0"/>
          <w:sz w:val="26"/>
          <w:szCs w:val="26"/>
        </w:rPr>
        <w:t xml:space="preserve"> pieaugumu</w:t>
      </w:r>
      <w:r w:rsidRPr="003868E1">
        <w:rPr>
          <w:b w:val="0"/>
          <w:bCs w:val="0"/>
          <w:sz w:val="26"/>
          <w:szCs w:val="26"/>
        </w:rPr>
        <w:t xml:space="preserve"> vismaz </w:t>
      </w:r>
      <w:r w:rsidR="0005284F" w:rsidRPr="003868E1">
        <w:rPr>
          <w:b w:val="0"/>
          <w:bCs w:val="0"/>
          <w:sz w:val="26"/>
          <w:szCs w:val="26"/>
        </w:rPr>
        <w:t>7</w:t>
      </w:r>
      <w:r w:rsidRPr="003868E1">
        <w:rPr>
          <w:b w:val="0"/>
          <w:bCs w:val="0"/>
          <w:sz w:val="26"/>
          <w:szCs w:val="26"/>
        </w:rPr>
        <w:t>% apmērā</w:t>
      </w:r>
      <w:r w:rsidR="0005284F" w:rsidRPr="003868E1">
        <w:rPr>
          <w:b w:val="0"/>
          <w:bCs w:val="0"/>
          <w:sz w:val="26"/>
          <w:szCs w:val="26"/>
        </w:rPr>
        <w:t xml:space="preserve">, kas </w:t>
      </w:r>
      <w:r w:rsidRPr="003868E1">
        <w:rPr>
          <w:b w:val="0"/>
          <w:bCs w:val="0"/>
          <w:sz w:val="26"/>
          <w:szCs w:val="26"/>
        </w:rPr>
        <w:t xml:space="preserve">sasniegtu 20 milj. EUR. </w:t>
      </w:r>
    </w:p>
    <w:p w14:paraId="61187BDB" w14:textId="023CD132" w:rsidR="003868E1" w:rsidRPr="00253511" w:rsidRDefault="004F5A6C" w:rsidP="00253511">
      <w:pPr>
        <w:pStyle w:val="BodyText"/>
        <w:numPr>
          <w:ilvl w:val="0"/>
          <w:numId w:val="42"/>
        </w:numPr>
        <w:ind w:left="0" w:firstLine="709"/>
        <w:jc w:val="both"/>
        <w:rPr>
          <w:rStyle w:val="contentpasted0"/>
          <w:b w:val="0"/>
          <w:bCs w:val="0"/>
          <w:sz w:val="26"/>
          <w:szCs w:val="26"/>
        </w:rPr>
      </w:pPr>
      <w:r w:rsidRPr="00253511">
        <w:rPr>
          <w:rStyle w:val="contentpasted0"/>
          <w:b w:val="0"/>
          <w:bCs w:val="0"/>
          <w:color w:val="000000"/>
          <w:sz w:val="26"/>
          <w:szCs w:val="26"/>
        </w:rPr>
        <w:t>Kompensējošās izmaksas</w:t>
      </w:r>
      <w:r w:rsidR="00B81F81">
        <w:rPr>
          <w:rStyle w:val="contentpasted0"/>
          <w:b w:val="0"/>
          <w:bCs w:val="0"/>
          <w:color w:val="000000"/>
          <w:sz w:val="26"/>
          <w:szCs w:val="26"/>
        </w:rPr>
        <w:t xml:space="preserve"> reģionālās nozīmes pārvadājumos</w:t>
      </w:r>
      <w:r w:rsidR="0005284F" w:rsidRPr="00253511">
        <w:rPr>
          <w:rStyle w:val="contentpasted0"/>
          <w:b w:val="0"/>
          <w:bCs w:val="0"/>
          <w:color w:val="000000"/>
          <w:sz w:val="26"/>
          <w:szCs w:val="26"/>
        </w:rPr>
        <w:t>:</w:t>
      </w:r>
    </w:p>
    <w:p w14:paraId="76314724" w14:textId="4DC0C1D4" w:rsidR="003868E1" w:rsidRDefault="003868E1" w:rsidP="00253511">
      <w:pPr>
        <w:pStyle w:val="BodyText"/>
        <w:ind w:firstLine="709"/>
        <w:jc w:val="both"/>
        <w:rPr>
          <w:rStyle w:val="contentpasted0"/>
          <w:b w:val="0"/>
          <w:bCs w:val="0"/>
          <w:sz w:val="26"/>
          <w:szCs w:val="26"/>
        </w:rPr>
      </w:pPr>
      <w:r>
        <w:rPr>
          <w:rStyle w:val="contentpasted0"/>
          <w:b w:val="0"/>
          <w:bCs w:val="0"/>
          <w:color w:val="000000"/>
          <w:sz w:val="26"/>
          <w:szCs w:val="26"/>
        </w:rPr>
        <w:t xml:space="preserve">2.1. </w:t>
      </w:r>
      <w:r w:rsidR="0005284F" w:rsidRPr="00253511">
        <w:rPr>
          <w:rStyle w:val="contentpasted0"/>
          <w:b w:val="0"/>
          <w:bCs w:val="0"/>
          <w:color w:val="000000"/>
          <w:sz w:val="26"/>
          <w:szCs w:val="26"/>
        </w:rPr>
        <w:t xml:space="preserve">Reģionālās nozīmes pārvadājumos ar autobusiem ir ņemts vērā aspekts, ka 2023.gadā </w:t>
      </w:r>
      <w:r w:rsidR="0055442E" w:rsidRPr="00253511">
        <w:rPr>
          <w:rStyle w:val="contentpasted0"/>
          <w:b w:val="0"/>
          <w:bCs w:val="0"/>
          <w:color w:val="000000"/>
          <w:sz w:val="26"/>
          <w:szCs w:val="26"/>
        </w:rPr>
        <w:t>zaudē spēku atsevišķi īstermiņa sabiedriskā transporta pakalpojumu pasūtījuma līgumi, līdz ar to</w:t>
      </w:r>
      <w:r w:rsidR="007360D2" w:rsidRPr="00253511">
        <w:rPr>
          <w:rStyle w:val="contentpasted0"/>
          <w:b w:val="0"/>
          <w:bCs w:val="0"/>
          <w:color w:val="000000"/>
          <w:sz w:val="26"/>
          <w:szCs w:val="26"/>
        </w:rPr>
        <w:t xml:space="preserve"> slēdzot līgumus uz nākamo periodu (līdz jauno ilgtermiņa līgum</w:t>
      </w:r>
      <w:r w:rsidR="00AD78D3">
        <w:rPr>
          <w:rStyle w:val="contentpasted0"/>
          <w:b w:val="0"/>
          <w:bCs w:val="0"/>
          <w:color w:val="000000"/>
          <w:sz w:val="26"/>
          <w:szCs w:val="26"/>
        </w:rPr>
        <w:t>u</w:t>
      </w:r>
      <w:r w:rsidR="007360D2" w:rsidRPr="00253511">
        <w:rPr>
          <w:rStyle w:val="contentpasted0"/>
          <w:b w:val="0"/>
          <w:bCs w:val="0"/>
          <w:color w:val="000000"/>
          <w:sz w:val="26"/>
          <w:szCs w:val="26"/>
        </w:rPr>
        <w:t xml:space="preserve"> darbības uzsākšanai</w:t>
      </w:r>
      <w:r w:rsidR="001D63D6">
        <w:rPr>
          <w:rStyle w:val="contentpasted0"/>
          <w:b w:val="0"/>
          <w:bCs w:val="0"/>
          <w:color w:val="000000"/>
          <w:sz w:val="26"/>
          <w:szCs w:val="26"/>
        </w:rPr>
        <w:t>) paredzams, ka cena par</w:t>
      </w:r>
      <w:r w:rsidR="00AD78D3">
        <w:rPr>
          <w:rStyle w:val="contentpasted0"/>
          <w:b w:val="0"/>
          <w:bCs w:val="0"/>
          <w:color w:val="000000"/>
          <w:sz w:val="26"/>
          <w:szCs w:val="26"/>
        </w:rPr>
        <w:t xml:space="preserve"> sabiedriskā transporta pakalpojumu izmantošanu varētu pieaugt. Vienlaikus 20</w:t>
      </w:r>
      <w:r w:rsidR="001D63D6">
        <w:rPr>
          <w:rStyle w:val="contentpasted0"/>
          <w:b w:val="0"/>
          <w:bCs w:val="0"/>
          <w:color w:val="000000"/>
          <w:sz w:val="26"/>
          <w:szCs w:val="26"/>
        </w:rPr>
        <w:t xml:space="preserve">23.gadā ir plānots uzsākt Braukšanas maksas atvieglojumu </w:t>
      </w:r>
      <w:r w:rsidR="002F2E9A">
        <w:rPr>
          <w:rStyle w:val="contentpasted0"/>
          <w:b w:val="0"/>
          <w:bCs w:val="0"/>
          <w:color w:val="000000"/>
          <w:sz w:val="26"/>
          <w:szCs w:val="26"/>
        </w:rPr>
        <w:t xml:space="preserve">informācijas </w:t>
      </w:r>
      <w:r w:rsidR="001D63D6">
        <w:rPr>
          <w:rStyle w:val="contentpasted0"/>
          <w:b w:val="0"/>
          <w:bCs w:val="0"/>
          <w:color w:val="000000"/>
          <w:sz w:val="26"/>
          <w:szCs w:val="26"/>
        </w:rPr>
        <w:t>sistēmas</w:t>
      </w:r>
      <w:r w:rsidR="000C5BE7">
        <w:rPr>
          <w:rStyle w:val="FootnoteReference"/>
          <w:b w:val="0"/>
          <w:bCs w:val="0"/>
          <w:color w:val="000000"/>
          <w:sz w:val="26"/>
          <w:szCs w:val="26"/>
        </w:rPr>
        <w:footnoteReference w:id="13"/>
      </w:r>
      <w:r w:rsidR="001D63D6">
        <w:rPr>
          <w:rStyle w:val="contentpasted0"/>
          <w:b w:val="0"/>
          <w:bCs w:val="0"/>
          <w:color w:val="000000"/>
          <w:sz w:val="26"/>
          <w:szCs w:val="26"/>
        </w:rPr>
        <w:t xml:space="preserve">, kā arī Vienotās </w:t>
      </w:r>
      <w:r w:rsidR="002F2E9A">
        <w:rPr>
          <w:rStyle w:val="contentpasted0"/>
          <w:b w:val="0"/>
          <w:bCs w:val="0"/>
          <w:color w:val="000000"/>
          <w:sz w:val="26"/>
          <w:szCs w:val="26"/>
        </w:rPr>
        <w:t xml:space="preserve">sabiedriskā transporta </w:t>
      </w:r>
      <w:r w:rsidR="001D63D6">
        <w:rPr>
          <w:rStyle w:val="contentpasted0"/>
          <w:b w:val="0"/>
          <w:bCs w:val="0"/>
          <w:color w:val="000000"/>
          <w:sz w:val="26"/>
          <w:szCs w:val="26"/>
        </w:rPr>
        <w:t xml:space="preserve">biļešu </w:t>
      </w:r>
      <w:r w:rsidR="002F2E9A">
        <w:rPr>
          <w:rStyle w:val="contentpasted0"/>
          <w:b w:val="0"/>
          <w:bCs w:val="0"/>
          <w:color w:val="000000"/>
          <w:sz w:val="26"/>
          <w:szCs w:val="26"/>
        </w:rPr>
        <w:t>sistēmas</w:t>
      </w:r>
      <w:r w:rsidR="000C5BE7">
        <w:rPr>
          <w:rStyle w:val="FootnoteReference"/>
          <w:b w:val="0"/>
          <w:bCs w:val="0"/>
          <w:color w:val="000000"/>
          <w:sz w:val="26"/>
          <w:szCs w:val="26"/>
        </w:rPr>
        <w:footnoteReference w:id="14"/>
      </w:r>
      <w:r w:rsidR="001D63D6">
        <w:rPr>
          <w:rStyle w:val="contentpasted0"/>
          <w:b w:val="0"/>
          <w:bCs w:val="0"/>
          <w:color w:val="000000"/>
          <w:sz w:val="26"/>
          <w:szCs w:val="26"/>
        </w:rPr>
        <w:t xml:space="preserve"> izmantošanu</w:t>
      </w:r>
      <w:r w:rsidR="001D63D6" w:rsidRPr="001D63D6">
        <w:rPr>
          <w:rStyle w:val="contentpasted0"/>
          <w:b w:val="0"/>
          <w:bCs w:val="0"/>
          <w:color w:val="000000"/>
          <w:sz w:val="26"/>
          <w:szCs w:val="26"/>
        </w:rPr>
        <w:t xml:space="preserve"> </w:t>
      </w:r>
      <w:r w:rsidR="001D63D6">
        <w:rPr>
          <w:rStyle w:val="contentpasted0"/>
          <w:b w:val="0"/>
          <w:bCs w:val="0"/>
          <w:color w:val="000000"/>
          <w:sz w:val="26"/>
          <w:szCs w:val="26"/>
        </w:rPr>
        <w:t xml:space="preserve">sabiedriskā transporta pakalpojumu </w:t>
      </w:r>
      <w:r w:rsidR="006D3D30">
        <w:rPr>
          <w:rStyle w:val="contentpasted0"/>
          <w:b w:val="0"/>
          <w:bCs w:val="0"/>
          <w:color w:val="000000"/>
          <w:sz w:val="26"/>
          <w:szCs w:val="26"/>
        </w:rPr>
        <w:t xml:space="preserve">pasūtījuma </w:t>
      </w:r>
      <w:r w:rsidR="001D63D6">
        <w:rPr>
          <w:rStyle w:val="contentpasted0"/>
          <w:b w:val="0"/>
          <w:bCs w:val="0"/>
          <w:color w:val="000000"/>
          <w:sz w:val="26"/>
          <w:szCs w:val="26"/>
        </w:rPr>
        <w:t xml:space="preserve">līgumu izpildē, </w:t>
      </w:r>
      <w:r w:rsidR="00AD78D3">
        <w:rPr>
          <w:rStyle w:val="contentpasted0"/>
          <w:b w:val="0"/>
          <w:bCs w:val="0"/>
          <w:color w:val="000000"/>
          <w:sz w:val="26"/>
          <w:szCs w:val="26"/>
        </w:rPr>
        <w:t xml:space="preserve">līdz ar </w:t>
      </w:r>
      <w:r w:rsidR="006D3D30">
        <w:rPr>
          <w:rStyle w:val="contentpasted0"/>
          <w:b w:val="0"/>
          <w:bCs w:val="0"/>
          <w:color w:val="000000"/>
          <w:sz w:val="26"/>
          <w:szCs w:val="26"/>
        </w:rPr>
        <w:t xml:space="preserve">to </w:t>
      </w:r>
      <w:r w:rsidR="00AD78D3">
        <w:rPr>
          <w:rStyle w:val="contentpasted0"/>
          <w:b w:val="0"/>
          <w:bCs w:val="0"/>
          <w:color w:val="000000"/>
          <w:sz w:val="26"/>
          <w:szCs w:val="26"/>
        </w:rPr>
        <w:t xml:space="preserve">kopumā </w:t>
      </w:r>
      <w:r w:rsidR="0055442E" w:rsidRPr="00253511">
        <w:rPr>
          <w:rStyle w:val="contentpasted0"/>
          <w:b w:val="0"/>
          <w:bCs w:val="0"/>
          <w:color w:val="000000"/>
          <w:sz w:val="26"/>
          <w:szCs w:val="26"/>
        </w:rPr>
        <w:t xml:space="preserve">2023.gadam </w:t>
      </w:r>
      <w:r w:rsidR="00AD78D3">
        <w:rPr>
          <w:rStyle w:val="contentpasted0"/>
          <w:b w:val="0"/>
          <w:bCs w:val="0"/>
          <w:color w:val="000000"/>
          <w:sz w:val="26"/>
          <w:szCs w:val="26"/>
        </w:rPr>
        <w:t xml:space="preserve">reģionālās nozīmes pārvadājumos ar autobusiem </w:t>
      </w:r>
      <w:r w:rsidR="0055442E" w:rsidRPr="00253511">
        <w:rPr>
          <w:rStyle w:val="contentpasted0"/>
          <w:b w:val="0"/>
          <w:bCs w:val="0"/>
          <w:color w:val="000000"/>
          <w:sz w:val="26"/>
          <w:szCs w:val="26"/>
        </w:rPr>
        <w:t>prognozēts neliels izmaksu pieaugums salīdzinājumā ar 2022.gadu</w:t>
      </w:r>
      <w:r w:rsidR="00AD78D3">
        <w:rPr>
          <w:rStyle w:val="contentpasted0"/>
          <w:b w:val="0"/>
          <w:bCs w:val="0"/>
          <w:color w:val="000000"/>
          <w:sz w:val="26"/>
          <w:szCs w:val="26"/>
        </w:rPr>
        <w:t xml:space="preserve"> – </w:t>
      </w:r>
      <w:r w:rsidR="0055442E" w:rsidRPr="00253511">
        <w:rPr>
          <w:rStyle w:val="contentpasted0"/>
          <w:b w:val="0"/>
          <w:bCs w:val="0"/>
          <w:color w:val="000000"/>
          <w:sz w:val="26"/>
          <w:szCs w:val="26"/>
        </w:rPr>
        <w:t>1,64% apmērā jeb 1,39 milj. EUR, sasniedzot 86,39 milj. EUR kompensējamos izdevumus.</w:t>
      </w:r>
    </w:p>
    <w:p w14:paraId="1FA07195" w14:textId="28E9FF66" w:rsidR="003868E1" w:rsidRDefault="003868E1" w:rsidP="003868E1">
      <w:pPr>
        <w:pStyle w:val="BodyText"/>
        <w:numPr>
          <w:ilvl w:val="0"/>
          <w:numId w:val="32"/>
        </w:numPr>
        <w:jc w:val="both"/>
        <w:rPr>
          <w:b w:val="0"/>
          <w:bCs w:val="0"/>
          <w:sz w:val="26"/>
          <w:szCs w:val="26"/>
        </w:rPr>
      </w:pPr>
      <w:r>
        <w:rPr>
          <w:rStyle w:val="contentpasted0"/>
          <w:b w:val="0"/>
          <w:bCs w:val="0"/>
          <w:sz w:val="26"/>
          <w:szCs w:val="26"/>
        </w:rPr>
        <w:t xml:space="preserve">2.2. </w:t>
      </w:r>
      <w:r w:rsidR="0055442E" w:rsidRPr="00253511">
        <w:rPr>
          <w:rStyle w:val="contentpasted0"/>
          <w:b w:val="0"/>
          <w:bCs w:val="0"/>
          <w:color w:val="000000"/>
          <w:sz w:val="26"/>
          <w:szCs w:val="26"/>
        </w:rPr>
        <w:t>Reģionālās nozīmes pārvadājumos ar vilcieniem izmaksu pieaugums paredzēts daudz būtiskāks</w:t>
      </w:r>
      <w:r w:rsidR="007360D2" w:rsidRPr="00253511">
        <w:rPr>
          <w:rStyle w:val="contentpasted0"/>
          <w:b w:val="0"/>
          <w:bCs w:val="0"/>
          <w:color w:val="000000"/>
          <w:sz w:val="26"/>
          <w:szCs w:val="26"/>
        </w:rPr>
        <w:t xml:space="preserve"> – 34,77% un plānots, ka izmaksu apmērs 2023.gadā sasniegs 57,67 milj. EUR. Minēto izmaksu pieauguma pamatojums ir saistāms ar sekojošu izmaksu palielinājumu: </w:t>
      </w:r>
      <w:r w:rsidR="0055442E" w:rsidRPr="00253511">
        <w:rPr>
          <w:rStyle w:val="contentpasted0"/>
          <w:b w:val="0"/>
          <w:bCs w:val="0"/>
          <w:color w:val="000000"/>
          <w:sz w:val="26"/>
          <w:szCs w:val="26"/>
        </w:rPr>
        <w:t xml:space="preserve"> </w:t>
      </w:r>
      <w:r w:rsidR="007360D2" w:rsidRPr="00253511">
        <w:rPr>
          <w:b w:val="0"/>
          <w:bCs w:val="0"/>
          <w:sz w:val="26"/>
          <w:szCs w:val="26"/>
        </w:rPr>
        <w:t>Materiālu izmaksām kopējais pieaugums plānots par 1</w:t>
      </w:r>
      <w:r w:rsidRPr="003868E1">
        <w:rPr>
          <w:b w:val="0"/>
          <w:bCs w:val="0"/>
          <w:sz w:val="26"/>
          <w:szCs w:val="26"/>
        </w:rPr>
        <w:t>1</w:t>
      </w:r>
      <w:r w:rsidR="007360D2" w:rsidRPr="00253511">
        <w:rPr>
          <w:b w:val="0"/>
          <w:bCs w:val="0"/>
          <w:sz w:val="26"/>
          <w:szCs w:val="26"/>
        </w:rPr>
        <w:t xml:space="preserve"> milj. EUR jeb </w:t>
      </w:r>
      <w:r w:rsidRPr="003868E1">
        <w:rPr>
          <w:b w:val="0"/>
          <w:bCs w:val="0"/>
          <w:sz w:val="26"/>
          <w:szCs w:val="26"/>
        </w:rPr>
        <w:t>90</w:t>
      </w:r>
      <w:r w:rsidR="007360D2" w:rsidRPr="00253511">
        <w:rPr>
          <w:b w:val="0"/>
          <w:bCs w:val="0"/>
          <w:sz w:val="26"/>
          <w:szCs w:val="26"/>
        </w:rPr>
        <w:t>%, salīdzinot ar iepriekšējo 202</w:t>
      </w:r>
      <w:r w:rsidRPr="003868E1">
        <w:rPr>
          <w:b w:val="0"/>
          <w:bCs w:val="0"/>
          <w:sz w:val="26"/>
          <w:szCs w:val="26"/>
        </w:rPr>
        <w:t>2</w:t>
      </w:r>
      <w:r w:rsidR="007360D2" w:rsidRPr="00253511">
        <w:rPr>
          <w:b w:val="0"/>
          <w:bCs w:val="0"/>
          <w:sz w:val="26"/>
          <w:szCs w:val="26"/>
        </w:rPr>
        <w:t>.gada</w:t>
      </w:r>
      <w:r w:rsidRPr="003868E1">
        <w:rPr>
          <w:b w:val="0"/>
          <w:bCs w:val="0"/>
          <w:sz w:val="26"/>
          <w:szCs w:val="26"/>
        </w:rPr>
        <w:t xml:space="preserve"> faktisko izpildi</w:t>
      </w:r>
      <w:r w:rsidR="007360D2" w:rsidRPr="00253511">
        <w:rPr>
          <w:b w:val="0"/>
          <w:bCs w:val="0"/>
          <w:sz w:val="26"/>
          <w:szCs w:val="26"/>
        </w:rPr>
        <w:t xml:space="preserve">. Vislielākā ietekme ir saistīta ar </w:t>
      </w:r>
      <w:r w:rsidR="007360D2" w:rsidRPr="00253511">
        <w:rPr>
          <w:b w:val="0"/>
          <w:bCs w:val="0"/>
          <w:sz w:val="26"/>
          <w:szCs w:val="26"/>
        </w:rPr>
        <w:lastRenderedPageBreak/>
        <w:t xml:space="preserve">straujo energoresursu cenu pieaugumu. Elektroenerģijas cenas pieaugums </w:t>
      </w:r>
      <w:r w:rsidRPr="003868E1">
        <w:rPr>
          <w:b w:val="0"/>
          <w:bCs w:val="0"/>
          <w:sz w:val="26"/>
          <w:szCs w:val="26"/>
        </w:rPr>
        <w:t>elektrovilcienu vilces nodrošināšanai veido vismaz 8,9 milj.</w:t>
      </w:r>
      <w:r w:rsidR="0079498D">
        <w:rPr>
          <w:b w:val="0"/>
          <w:bCs w:val="0"/>
          <w:sz w:val="26"/>
          <w:szCs w:val="26"/>
        </w:rPr>
        <w:t xml:space="preserve"> </w:t>
      </w:r>
      <w:r w:rsidRPr="003868E1">
        <w:rPr>
          <w:b w:val="0"/>
          <w:bCs w:val="0"/>
          <w:sz w:val="26"/>
          <w:szCs w:val="26"/>
        </w:rPr>
        <w:t>EUR pieaugumu salīdzinājumā ar 2022.gada faktisko izpildi, bet dīzeļdegvielas izmaksu pieaugums paredzēts 1,65 milj. EUR apmērā. Jāatzīmē, ka</w:t>
      </w:r>
      <w:r w:rsidR="005A078C">
        <w:rPr>
          <w:b w:val="0"/>
          <w:bCs w:val="0"/>
          <w:sz w:val="26"/>
          <w:szCs w:val="26"/>
        </w:rPr>
        <w:t>,</w:t>
      </w:r>
      <w:r w:rsidRPr="003868E1">
        <w:rPr>
          <w:b w:val="0"/>
          <w:bCs w:val="0"/>
          <w:sz w:val="26"/>
          <w:szCs w:val="26"/>
        </w:rPr>
        <w:t xml:space="preserve"> stabilizējot</w:t>
      </w:r>
      <w:r w:rsidR="005A078C">
        <w:rPr>
          <w:b w:val="0"/>
          <w:bCs w:val="0"/>
          <w:sz w:val="26"/>
          <w:szCs w:val="26"/>
        </w:rPr>
        <w:t>ies</w:t>
      </w:r>
      <w:r w:rsidRPr="003868E1">
        <w:rPr>
          <w:b w:val="0"/>
          <w:bCs w:val="0"/>
          <w:sz w:val="26"/>
          <w:szCs w:val="26"/>
        </w:rPr>
        <w:t xml:space="preserve"> energoresursu cenām un veicot atkārtotus energoresursu iepirkumus, iespējama arī izmaksu ekonomija, kas norādīt</w:t>
      </w:r>
      <w:r w:rsidR="005A078C">
        <w:rPr>
          <w:b w:val="0"/>
          <w:bCs w:val="0"/>
          <w:sz w:val="26"/>
          <w:szCs w:val="26"/>
        </w:rPr>
        <w:t>a</w:t>
      </w:r>
      <w:r w:rsidRPr="003868E1">
        <w:rPr>
          <w:b w:val="0"/>
          <w:bCs w:val="0"/>
          <w:sz w:val="26"/>
          <w:szCs w:val="26"/>
        </w:rPr>
        <w:t xml:space="preserve"> ziņojuma tabulā Nr.</w:t>
      </w:r>
      <w:r w:rsidR="00B81F81">
        <w:rPr>
          <w:b w:val="0"/>
          <w:bCs w:val="0"/>
          <w:sz w:val="26"/>
          <w:szCs w:val="26"/>
        </w:rPr>
        <w:t>8</w:t>
      </w:r>
      <w:r>
        <w:rPr>
          <w:b w:val="0"/>
          <w:bCs w:val="0"/>
          <w:sz w:val="26"/>
          <w:szCs w:val="26"/>
        </w:rPr>
        <w:t>.</w:t>
      </w:r>
    </w:p>
    <w:p w14:paraId="4C8F3899" w14:textId="33F7AA19" w:rsidR="007360D2" w:rsidRPr="00253511" w:rsidRDefault="007360D2" w:rsidP="003868E1">
      <w:pPr>
        <w:pStyle w:val="BodyText"/>
        <w:numPr>
          <w:ilvl w:val="0"/>
          <w:numId w:val="32"/>
        </w:numPr>
        <w:jc w:val="both"/>
        <w:rPr>
          <w:b w:val="0"/>
          <w:bCs w:val="0"/>
          <w:sz w:val="26"/>
          <w:szCs w:val="26"/>
        </w:rPr>
      </w:pPr>
      <w:r w:rsidRPr="00253511">
        <w:rPr>
          <w:b w:val="0"/>
          <w:bCs w:val="0"/>
          <w:sz w:val="26"/>
          <w:szCs w:val="26"/>
        </w:rPr>
        <w:t>Pārējās sabiedriskā transporta pakalpojumu sniegšanas izmaksās lielākās nobīdes ir saistītas ar remontu izmaksām, kas ir saistītas ar plānoto remontu skaita izmaiņām (tika mainīts remontu un tekošo remontu apskašu plāns, kur tika samazināts modernizēto DR-1AC TR-3 remontu daudzums)</w:t>
      </w:r>
      <w:r w:rsidR="005A078C">
        <w:rPr>
          <w:b w:val="0"/>
          <w:bCs w:val="0"/>
          <w:sz w:val="26"/>
          <w:szCs w:val="26"/>
        </w:rPr>
        <w:t xml:space="preserve"> – cita starpā izmaksu pieaugums veido 10% jeb 0,42 milj. EUR</w:t>
      </w:r>
      <w:r w:rsidRPr="00253511">
        <w:rPr>
          <w:b w:val="0"/>
          <w:bCs w:val="0"/>
          <w:sz w:val="26"/>
          <w:szCs w:val="26"/>
        </w:rPr>
        <w:t>.</w:t>
      </w:r>
    </w:p>
    <w:p w14:paraId="7F0E6711" w14:textId="77777777" w:rsidR="005A078C" w:rsidRDefault="007360D2" w:rsidP="007360D2">
      <w:pPr>
        <w:pStyle w:val="BodyText"/>
        <w:numPr>
          <w:ilvl w:val="0"/>
          <w:numId w:val="32"/>
        </w:numPr>
        <w:jc w:val="both"/>
        <w:rPr>
          <w:b w:val="0"/>
          <w:bCs w:val="0"/>
          <w:sz w:val="26"/>
          <w:szCs w:val="26"/>
        </w:rPr>
      </w:pPr>
      <w:r w:rsidRPr="00253511">
        <w:rPr>
          <w:b w:val="0"/>
          <w:bCs w:val="0"/>
          <w:sz w:val="26"/>
          <w:szCs w:val="26"/>
        </w:rPr>
        <w:t>Līdzekļu vērtību norakstīšan</w:t>
      </w:r>
      <w:r w:rsidR="005A078C">
        <w:rPr>
          <w:b w:val="0"/>
          <w:bCs w:val="0"/>
          <w:sz w:val="26"/>
          <w:szCs w:val="26"/>
        </w:rPr>
        <w:t xml:space="preserve">ā 2023.gadā ir plānots izmaksu samazinājums </w:t>
      </w:r>
      <w:r w:rsidRPr="00253511">
        <w:rPr>
          <w:b w:val="0"/>
          <w:bCs w:val="0"/>
          <w:sz w:val="26"/>
          <w:szCs w:val="26"/>
        </w:rPr>
        <w:t xml:space="preserve"> </w:t>
      </w:r>
      <w:r w:rsidR="005A078C">
        <w:rPr>
          <w:b w:val="0"/>
          <w:bCs w:val="0"/>
          <w:sz w:val="26"/>
          <w:szCs w:val="26"/>
        </w:rPr>
        <w:t xml:space="preserve">vismaz 25% apmērā jeb 1,3 milj. EUR, kas skaidrojams </w:t>
      </w:r>
      <w:r w:rsidR="005A078C" w:rsidRPr="00514718">
        <w:rPr>
          <w:b w:val="0"/>
          <w:bCs w:val="0"/>
          <w:sz w:val="26"/>
          <w:szCs w:val="26"/>
        </w:rPr>
        <w:t>ar to, ka daudzi vecie elektrovilcieni jau ir vai 2023. gada sākumā tiks pilnībā amortizēti</w:t>
      </w:r>
      <w:r w:rsidR="005A078C">
        <w:rPr>
          <w:b w:val="0"/>
          <w:bCs w:val="0"/>
          <w:sz w:val="26"/>
          <w:szCs w:val="26"/>
        </w:rPr>
        <w:t>.</w:t>
      </w:r>
    </w:p>
    <w:p w14:paraId="0BE5D312" w14:textId="77777777" w:rsidR="0061785A" w:rsidRDefault="005A078C" w:rsidP="0061785A">
      <w:pPr>
        <w:pStyle w:val="BodyText"/>
        <w:numPr>
          <w:ilvl w:val="0"/>
          <w:numId w:val="32"/>
        </w:numPr>
        <w:jc w:val="both"/>
        <w:rPr>
          <w:b w:val="0"/>
          <w:bCs w:val="0"/>
          <w:sz w:val="26"/>
          <w:szCs w:val="26"/>
        </w:rPr>
      </w:pPr>
      <w:r>
        <w:rPr>
          <w:b w:val="0"/>
          <w:bCs w:val="0"/>
          <w:sz w:val="26"/>
          <w:szCs w:val="26"/>
        </w:rPr>
        <w:t>P</w:t>
      </w:r>
      <w:r w:rsidR="007360D2" w:rsidRPr="00253511">
        <w:rPr>
          <w:b w:val="0"/>
          <w:bCs w:val="0"/>
          <w:sz w:val="26"/>
          <w:szCs w:val="26"/>
        </w:rPr>
        <w:t>rocentu maksājum</w:t>
      </w:r>
      <w:r>
        <w:rPr>
          <w:b w:val="0"/>
          <w:bCs w:val="0"/>
          <w:sz w:val="26"/>
          <w:szCs w:val="26"/>
        </w:rPr>
        <w:t xml:space="preserve">os plānots izmaksu pieaugums saistībā ar </w:t>
      </w:r>
      <w:r w:rsidR="007360D2" w:rsidRPr="00253511">
        <w:rPr>
          <w:b w:val="0"/>
          <w:bCs w:val="0"/>
          <w:sz w:val="26"/>
          <w:szCs w:val="26"/>
        </w:rPr>
        <w:t>EURIBOR procentu likme</w:t>
      </w:r>
      <w:r>
        <w:rPr>
          <w:b w:val="0"/>
          <w:bCs w:val="0"/>
          <w:sz w:val="26"/>
          <w:szCs w:val="26"/>
        </w:rPr>
        <w:t>s palielinājumu</w:t>
      </w:r>
      <w:r w:rsidR="007360D2" w:rsidRPr="00253511">
        <w:rPr>
          <w:b w:val="0"/>
          <w:bCs w:val="0"/>
          <w:sz w:val="26"/>
          <w:szCs w:val="26"/>
        </w:rPr>
        <w:t xml:space="preserve">, kas 2023. gadā ietekmēs ikmēneša procentu maksājumu ilgtermiņa kredītam, </w:t>
      </w:r>
      <w:r>
        <w:rPr>
          <w:b w:val="0"/>
          <w:bCs w:val="0"/>
          <w:sz w:val="26"/>
          <w:szCs w:val="26"/>
        </w:rPr>
        <w:t>līdz ar to</w:t>
      </w:r>
      <w:r w:rsidR="007360D2" w:rsidRPr="00253511">
        <w:rPr>
          <w:b w:val="0"/>
          <w:bCs w:val="0"/>
          <w:sz w:val="26"/>
          <w:szCs w:val="26"/>
        </w:rPr>
        <w:t xml:space="preserve"> prognozēts procentu maksājumu par aizņemtajiem līdzekļiem pieaugums par 11</w:t>
      </w:r>
      <w:r>
        <w:rPr>
          <w:b w:val="0"/>
          <w:bCs w:val="0"/>
          <w:sz w:val="26"/>
          <w:szCs w:val="26"/>
        </w:rPr>
        <w:t>9</w:t>
      </w:r>
      <w:r w:rsidR="007360D2" w:rsidRPr="00253511">
        <w:rPr>
          <w:b w:val="0"/>
          <w:bCs w:val="0"/>
          <w:sz w:val="26"/>
          <w:szCs w:val="26"/>
        </w:rPr>
        <w:t xml:space="preserve"> tūkst. EUR (par 1</w:t>
      </w:r>
      <w:r>
        <w:rPr>
          <w:b w:val="0"/>
          <w:bCs w:val="0"/>
          <w:sz w:val="26"/>
          <w:szCs w:val="26"/>
        </w:rPr>
        <w:t>87</w:t>
      </w:r>
      <w:r w:rsidR="007360D2" w:rsidRPr="00253511">
        <w:rPr>
          <w:b w:val="0"/>
          <w:bCs w:val="0"/>
          <w:sz w:val="26"/>
          <w:szCs w:val="26"/>
        </w:rPr>
        <w:t xml:space="preserve">%), salīdzinot ar </w:t>
      </w:r>
      <w:r>
        <w:rPr>
          <w:b w:val="0"/>
          <w:bCs w:val="0"/>
          <w:sz w:val="26"/>
          <w:szCs w:val="26"/>
        </w:rPr>
        <w:t>2022.gadu</w:t>
      </w:r>
      <w:r w:rsidR="007360D2" w:rsidRPr="00253511">
        <w:rPr>
          <w:b w:val="0"/>
          <w:bCs w:val="0"/>
          <w:sz w:val="26"/>
          <w:szCs w:val="26"/>
        </w:rPr>
        <w:t>.</w:t>
      </w:r>
    </w:p>
    <w:p w14:paraId="36744CB7" w14:textId="7845C47F" w:rsidR="0061785A" w:rsidRPr="00253511" w:rsidRDefault="0061785A" w:rsidP="00253511">
      <w:pPr>
        <w:pStyle w:val="BodyText"/>
        <w:numPr>
          <w:ilvl w:val="0"/>
          <w:numId w:val="32"/>
        </w:numPr>
        <w:jc w:val="both"/>
        <w:rPr>
          <w:sz w:val="26"/>
          <w:szCs w:val="26"/>
        </w:rPr>
      </w:pPr>
      <w:r w:rsidRPr="00253511">
        <w:rPr>
          <w:b w:val="0"/>
          <w:bCs w:val="0"/>
          <w:sz w:val="26"/>
          <w:szCs w:val="26"/>
        </w:rPr>
        <w:t>Darbinieku atalgojumam 2023.gadā paredzēto izmaksu pieaugums plānots 1,7 milj. EUR jeb 14%, kas saistāms gan ar minimālās algas palielinājumu 2023.gadā, gan jau</w:t>
      </w:r>
      <w:r w:rsidR="006D3D30">
        <w:rPr>
          <w:b w:val="0"/>
          <w:bCs w:val="0"/>
          <w:sz w:val="26"/>
          <w:szCs w:val="26"/>
        </w:rPr>
        <w:t>nu</w:t>
      </w:r>
      <w:r w:rsidRPr="00253511">
        <w:rPr>
          <w:b w:val="0"/>
          <w:bCs w:val="0"/>
          <w:sz w:val="26"/>
          <w:szCs w:val="26"/>
        </w:rPr>
        <w:t xml:space="preserve"> darbinieku </w:t>
      </w:r>
      <w:r>
        <w:rPr>
          <w:b w:val="0"/>
          <w:bCs w:val="0"/>
          <w:sz w:val="26"/>
          <w:szCs w:val="26"/>
        </w:rPr>
        <w:t xml:space="preserve">nokomplektēšanu, </w:t>
      </w:r>
      <w:r w:rsidR="006D3D30">
        <w:rPr>
          <w:b w:val="0"/>
          <w:bCs w:val="0"/>
          <w:sz w:val="26"/>
          <w:szCs w:val="26"/>
        </w:rPr>
        <w:t xml:space="preserve">kā arī </w:t>
      </w:r>
      <w:r>
        <w:rPr>
          <w:b w:val="0"/>
          <w:bCs w:val="0"/>
          <w:sz w:val="26"/>
          <w:szCs w:val="26"/>
        </w:rPr>
        <w:t xml:space="preserve">apmācībām </w:t>
      </w:r>
      <w:r w:rsidR="00B81F81">
        <w:rPr>
          <w:b w:val="0"/>
          <w:bCs w:val="0"/>
          <w:sz w:val="26"/>
          <w:szCs w:val="26"/>
        </w:rPr>
        <w:t>el</w:t>
      </w:r>
      <w:r w:rsidRPr="00253511">
        <w:rPr>
          <w:b w:val="0"/>
          <w:bCs w:val="0"/>
          <w:sz w:val="26"/>
          <w:szCs w:val="26"/>
        </w:rPr>
        <w:t>ektrovilcien</w:t>
      </w:r>
      <w:r w:rsidR="00B81F81">
        <w:rPr>
          <w:b w:val="0"/>
          <w:bCs w:val="0"/>
          <w:sz w:val="26"/>
          <w:szCs w:val="26"/>
        </w:rPr>
        <w:t>u</w:t>
      </w:r>
      <w:r w:rsidRPr="00253511">
        <w:rPr>
          <w:b w:val="0"/>
          <w:bCs w:val="0"/>
          <w:sz w:val="26"/>
          <w:szCs w:val="26"/>
        </w:rPr>
        <w:t xml:space="preserve"> mašīnist</w:t>
      </w:r>
      <w:r w:rsidR="00B81F81">
        <w:rPr>
          <w:b w:val="0"/>
          <w:bCs w:val="0"/>
          <w:sz w:val="26"/>
          <w:szCs w:val="26"/>
        </w:rPr>
        <w:t>u</w:t>
      </w:r>
      <w:r w:rsidRPr="00253511">
        <w:rPr>
          <w:b w:val="0"/>
          <w:bCs w:val="0"/>
          <w:sz w:val="26"/>
          <w:szCs w:val="26"/>
        </w:rPr>
        <w:t xml:space="preserve"> sagatavošanai pastāvīgam darbam. Arī ekipētāju pieņemšana darbā jānodrošina līdz ar pirmā vilciena saņemšanu, jo jauno elektrovilcienu apkalpošanai jāievieš funkcijas, kas iepriekš netika veiktas, piemēram, asenizācija – nepieciešams pieņemt darbiniekus, apmācīt darbam ar iekārtām un konkrētiem vilcieniem u.tml. darbības, lai nodrošinātu veiksmīgu jauno elektrovilcienu ekspluatāciju, kad tie sāks pārvadāt pasažierus</w:t>
      </w:r>
      <w:r w:rsidR="00B81F81">
        <w:rPr>
          <w:b w:val="0"/>
          <w:bCs w:val="0"/>
          <w:sz w:val="26"/>
          <w:szCs w:val="26"/>
        </w:rPr>
        <w:t>.</w:t>
      </w:r>
    </w:p>
    <w:p w14:paraId="6737C67E" w14:textId="6CFEF5D2" w:rsidR="007360D2" w:rsidRPr="00253511" w:rsidRDefault="007360D2" w:rsidP="007360D2">
      <w:pPr>
        <w:pStyle w:val="ListParagraph"/>
        <w:numPr>
          <w:ilvl w:val="0"/>
          <w:numId w:val="32"/>
        </w:numPr>
        <w:jc w:val="both"/>
        <w:rPr>
          <w:sz w:val="26"/>
          <w:szCs w:val="26"/>
          <w:lang w:eastAsia="en-US"/>
        </w:rPr>
      </w:pPr>
      <w:r w:rsidRPr="00253511">
        <w:rPr>
          <w:sz w:val="26"/>
          <w:szCs w:val="26"/>
          <w:lang w:eastAsia="en-US"/>
        </w:rPr>
        <w:t xml:space="preserve">Administrācijas izmaksām kopā 2023. gadā paredzēts pieaugums par </w:t>
      </w:r>
      <w:r w:rsidR="005A078C">
        <w:rPr>
          <w:sz w:val="26"/>
          <w:szCs w:val="26"/>
          <w:lang w:eastAsia="en-US"/>
        </w:rPr>
        <w:t>1,6</w:t>
      </w:r>
      <w:r w:rsidRPr="00253511">
        <w:rPr>
          <w:sz w:val="26"/>
          <w:szCs w:val="26"/>
          <w:lang w:eastAsia="en-US"/>
        </w:rPr>
        <w:t xml:space="preserve"> </w:t>
      </w:r>
      <w:r w:rsidR="005A078C">
        <w:rPr>
          <w:sz w:val="26"/>
          <w:szCs w:val="26"/>
          <w:lang w:eastAsia="en-US"/>
        </w:rPr>
        <w:t>milj</w:t>
      </w:r>
      <w:r w:rsidRPr="00253511">
        <w:rPr>
          <w:sz w:val="26"/>
          <w:szCs w:val="26"/>
          <w:lang w:eastAsia="en-US"/>
        </w:rPr>
        <w:t>. EUR (</w:t>
      </w:r>
      <w:r w:rsidR="005A078C">
        <w:rPr>
          <w:sz w:val="26"/>
          <w:szCs w:val="26"/>
          <w:lang w:eastAsia="en-US"/>
        </w:rPr>
        <w:t>37</w:t>
      </w:r>
      <w:r w:rsidRPr="00253511">
        <w:rPr>
          <w:sz w:val="26"/>
          <w:szCs w:val="26"/>
          <w:lang w:eastAsia="en-US"/>
        </w:rPr>
        <w:t xml:space="preserve">%) pret </w:t>
      </w:r>
      <w:r w:rsidR="005A078C">
        <w:rPr>
          <w:sz w:val="26"/>
          <w:szCs w:val="26"/>
          <w:lang w:eastAsia="en-US"/>
        </w:rPr>
        <w:t>2022.gada faktisko izpildi</w:t>
      </w:r>
      <w:r w:rsidRPr="00253511">
        <w:rPr>
          <w:sz w:val="26"/>
          <w:szCs w:val="26"/>
          <w:lang w:eastAsia="en-US"/>
        </w:rPr>
        <w:t>. Pieaugums ir saistīts</w:t>
      </w:r>
      <w:r w:rsidR="000C5BE7">
        <w:rPr>
          <w:sz w:val="26"/>
          <w:szCs w:val="26"/>
          <w:lang w:eastAsia="en-US"/>
        </w:rPr>
        <w:t>,</w:t>
      </w:r>
      <w:r w:rsidRPr="00253511">
        <w:rPr>
          <w:sz w:val="26"/>
          <w:szCs w:val="26"/>
          <w:lang w:eastAsia="en-US"/>
        </w:rPr>
        <w:t xml:space="preserve"> galvenokārt</w:t>
      </w:r>
      <w:r w:rsidR="000C5BE7">
        <w:rPr>
          <w:sz w:val="26"/>
          <w:szCs w:val="26"/>
          <w:lang w:eastAsia="en-US"/>
        </w:rPr>
        <w:t>,</w:t>
      </w:r>
      <w:r w:rsidRPr="00253511">
        <w:rPr>
          <w:sz w:val="26"/>
          <w:szCs w:val="26"/>
          <w:lang w:eastAsia="en-US"/>
        </w:rPr>
        <w:t xml:space="preserve"> ar pakalpojumu cenu straujo pieaugumu, pārslēdzot un atjaunojot līgumus ar piegādātājiem. Būtiskākie palielinājumi ir telpu apsaimniekošanas un uzturēšanas izdevumos, kā arī pieaugušas apsardzes izmaksas, pabalsti darbiniekiem (saskaņā ar Darba likumu), kuri 2023. gadā dosies pensijā u.c.</w:t>
      </w:r>
    </w:p>
    <w:p w14:paraId="6E71F490" w14:textId="313AE9CB" w:rsidR="00F651F2" w:rsidRDefault="00B81F81" w:rsidP="00B81F81">
      <w:pPr>
        <w:pStyle w:val="NormalWeb"/>
        <w:numPr>
          <w:ilvl w:val="0"/>
          <w:numId w:val="42"/>
        </w:numPr>
        <w:shd w:val="clear" w:color="auto" w:fill="FFFFFF"/>
        <w:spacing w:before="0" w:beforeAutospacing="0" w:after="0" w:afterAutospacing="0"/>
        <w:ind w:left="0" w:firstLine="709"/>
        <w:jc w:val="both"/>
        <w:rPr>
          <w:rStyle w:val="contentpasted0"/>
          <w:color w:val="000000"/>
          <w:sz w:val="26"/>
          <w:szCs w:val="26"/>
        </w:rPr>
      </w:pPr>
      <w:r>
        <w:rPr>
          <w:rStyle w:val="contentpasted0"/>
          <w:color w:val="000000"/>
          <w:sz w:val="26"/>
          <w:szCs w:val="26"/>
        </w:rPr>
        <w:t xml:space="preserve">Kompensācijas par valstspilsētu pašvaldībās pārvadāto personu ar invaliditāti būtisks pieaugums, ņemot vērā to, ka Rīgas, Liepājas un Ventspils valstspilsētu pašvaldības 2023.gadā mainījušas braukšanas maksu (tarifu) pilsētas administratīvajā teritorijā. </w:t>
      </w:r>
    </w:p>
    <w:p w14:paraId="3C27EB8F" w14:textId="1ACA555F" w:rsidR="00B81F81" w:rsidRPr="003868E1" w:rsidRDefault="00B81F81" w:rsidP="00253511">
      <w:pPr>
        <w:pStyle w:val="NormalWeb"/>
        <w:shd w:val="clear" w:color="auto" w:fill="FFFFFF"/>
        <w:spacing w:before="0" w:beforeAutospacing="0" w:after="0" w:afterAutospacing="0"/>
        <w:ind w:left="-142" w:firstLine="851"/>
        <w:jc w:val="both"/>
        <w:rPr>
          <w:rStyle w:val="contentpasted0"/>
          <w:color w:val="000000"/>
          <w:sz w:val="26"/>
          <w:szCs w:val="26"/>
        </w:rPr>
      </w:pPr>
      <w:r>
        <w:rPr>
          <w:rStyle w:val="contentpasted0"/>
          <w:color w:val="000000"/>
          <w:sz w:val="26"/>
          <w:szCs w:val="26"/>
        </w:rPr>
        <w:t xml:space="preserve">Ņemot vērā minēto, ka izmaksu pieaugums </w:t>
      </w:r>
      <w:r w:rsidR="00521B59">
        <w:rPr>
          <w:rStyle w:val="contentpasted0"/>
          <w:color w:val="000000"/>
          <w:sz w:val="26"/>
          <w:szCs w:val="26"/>
        </w:rPr>
        <w:t>ir</w:t>
      </w:r>
      <w:r>
        <w:rPr>
          <w:rStyle w:val="contentpasted0"/>
          <w:color w:val="000000"/>
          <w:sz w:val="26"/>
          <w:szCs w:val="26"/>
        </w:rPr>
        <w:t xml:space="preserve"> daudz straujāk</w:t>
      </w:r>
      <w:r w:rsidR="00521B59">
        <w:rPr>
          <w:rStyle w:val="contentpasted0"/>
          <w:color w:val="000000"/>
          <w:sz w:val="26"/>
          <w:szCs w:val="26"/>
        </w:rPr>
        <w:t>s</w:t>
      </w:r>
      <w:r>
        <w:rPr>
          <w:rStyle w:val="contentpasted0"/>
          <w:color w:val="000000"/>
          <w:sz w:val="26"/>
          <w:szCs w:val="26"/>
        </w:rPr>
        <w:t xml:space="preserve"> nekā potenciālie ieņēmumi, tādēļ </w:t>
      </w:r>
      <w:r w:rsidR="00521B59">
        <w:rPr>
          <w:rStyle w:val="contentpasted0"/>
          <w:color w:val="000000"/>
          <w:sz w:val="26"/>
          <w:szCs w:val="26"/>
        </w:rPr>
        <w:t xml:space="preserve">gan 2022.gadā, gan 2023.gadā kompensējamie zaudējumi no valsts budžeta palielinās. </w:t>
      </w:r>
    </w:p>
    <w:p w14:paraId="1688B61A" w14:textId="33032F4E" w:rsidR="000C5BE7" w:rsidRDefault="000C5BE7">
      <w:pPr>
        <w:spacing w:after="160" w:line="259" w:lineRule="auto"/>
      </w:pPr>
      <w:r>
        <w:br w:type="page"/>
      </w:r>
    </w:p>
    <w:p w14:paraId="67B11C09" w14:textId="012C2B60" w:rsidR="00F651F2" w:rsidRPr="000C4EDE" w:rsidRDefault="00F651F2" w:rsidP="00F651F2">
      <w:pPr>
        <w:jc w:val="right"/>
      </w:pPr>
      <w:r w:rsidRPr="000C4EDE">
        <w:lastRenderedPageBreak/>
        <w:t>Tabula</w:t>
      </w:r>
      <w:r w:rsidR="000C4EDE" w:rsidRPr="000C4EDE">
        <w:t xml:space="preserve"> Nr.8</w:t>
      </w:r>
    </w:p>
    <w:p w14:paraId="3DBF84DF" w14:textId="7DC40E04" w:rsidR="004320E6" w:rsidRDefault="004320E6" w:rsidP="00F651F2">
      <w:pPr>
        <w:jc w:val="right"/>
      </w:pPr>
      <w:r>
        <w:t xml:space="preserve">Nepieciešamais valsts budžeta </w:t>
      </w:r>
    </w:p>
    <w:p w14:paraId="1C21945A" w14:textId="53FD76B3" w:rsidR="00F651F2" w:rsidRPr="00E925D2" w:rsidRDefault="004320E6" w:rsidP="00F651F2">
      <w:pPr>
        <w:jc w:val="right"/>
      </w:pPr>
      <w:r>
        <w:t>finansējums</w:t>
      </w:r>
      <w:r w:rsidR="00F651F2" w:rsidRPr="000C4EDE">
        <w:t xml:space="preserve"> 2023.gadam, EUR</w:t>
      </w:r>
    </w:p>
    <w:tbl>
      <w:tblPr>
        <w:tblW w:w="10471" w:type="dxa"/>
        <w:tblInd w:w="-606" w:type="dxa"/>
        <w:tblLook w:val="04A0" w:firstRow="1" w:lastRow="0" w:firstColumn="1" w:lastColumn="0" w:noHBand="0" w:noVBand="1"/>
      </w:tblPr>
      <w:tblGrid>
        <w:gridCol w:w="2192"/>
        <w:gridCol w:w="1594"/>
        <w:gridCol w:w="1459"/>
        <w:gridCol w:w="1350"/>
        <w:gridCol w:w="1133"/>
        <w:gridCol w:w="1316"/>
        <w:gridCol w:w="1427"/>
      </w:tblGrid>
      <w:tr w:rsidR="00570C23" w14:paraId="42FE70DF" w14:textId="77777777" w:rsidTr="007E77E2">
        <w:trPr>
          <w:trHeight w:val="1337"/>
        </w:trPr>
        <w:tc>
          <w:tcPr>
            <w:tcW w:w="2192" w:type="dxa"/>
            <w:tcBorders>
              <w:top w:val="nil"/>
              <w:left w:val="nil"/>
              <w:bottom w:val="nil"/>
              <w:right w:val="nil"/>
            </w:tcBorders>
            <w:shd w:val="clear" w:color="auto" w:fill="auto"/>
            <w:noWrap/>
            <w:vAlign w:val="bottom"/>
            <w:hideMark/>
          </w:tcPr>
          <w:p w14:paraId="042BC571" w14:textId="77777777" w:rsidR="00570C23" w:rsidRPr="00570C23" w:rsidRDefault="00570C23">
            <w:pPr>
              <w:rPr>
                <w:sz w:val="20"/>
                <w:szCs w:val="20"/>
              </w:rPr>
            </w:pPr>
          </w:p>
        </w:tc>
        <w:tc>
          <w:tcPr>
            <w:tcW w:w="15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423EEB" w14:textId="333541B0" w:rsidR="00570C23" w:rsidRPr="00570C23" w:rsidRDefault="00570C23">
            <w:pPr>
              <w:jc w:val="center"/>
              <w:rPr>
                <w:color w:val="000000"/>
                <w:sz w:val="20"/>
                <w:szCs w:val="20"/>
              </w:rPr>
            </w:pPr>
            <w:r w:rsidRPr="00570C23">
              <w:rPr>
                <w:color w:val="000000"/>
                <w:sz w:val="20"/>
                <w:szCs w:val="20"/>
              </w:rPr>
              <w:t>Valsts budžeta bāze 31.06.0</w:t>
            </w:r>
            <w:r w:rsidRPr="00570C23">
              <w:rPr>
                <w:sz w:val="20"/>
                <w:szCs w:val="20"/>
              </w:rPr>
              <w:t xml:space="preserve">0. </w:t>
            </w:r>
            <w:r w:rsidRPr="00570C23">
              <w:rPr>
                <w:color w:val="000000"/>
                <w:sz w:val="20"/>
                <w:szCs w:val="20"/>
              </w:rPr>
              <w:t>apakšprogramma</w:t>
            </w:r>
          </w:p>
        </w:tc>
        <w:tc>
          <w:tcPr>
            <w:tcW w:w="1459" w:type="dxa"/>
            <w:tcBorders>
              <w:top w:val="single" w:sz="4" w:space="0" w:color="auto"/>
              <w:left w:val="nil"/>
              <w:bottom w:val="single" w:sz="4" w:space="0" w:color="auto"/>
              <w:right w:val="single" w:sz="4" w:space="0" w:color="auto"/>
            </w:tcBorders>
            <w:shd w:val="clear" w:color="auto" w:fill="auto"/>
            <w:vAlign w:val="center"/>
            <w:hideMark/>
          </w:tcPr>
          <w:p w14:paraId="6E74800E" w14:textId="2FB12C7E" w:rsidR="00570C23" w:rsidRPr="00570C23" w:rsidRDefault="00570C23">
            <w:pPr>
              <w:jc w:val="center"/>
              <w:rPr>
                <w:color w:val="000000"/>
                <w:sz w:val="20"/>
                <w:szCs w:val="20"/>
              </w:rPr>
            </w:pPr>
            <w:r w:rsidRPr="00570C23">
              <w:rPr>
                <w:color w:val="000000"/>
                <w:sz w:val="20"/>
                <w:szCs w:val="20"/>
              </w:rPr>
              <w:t>Prognozētie zaudējumi</w:t>
            </w:r>
            <w:r w:rsidRPr="00570C23">
              <w:rPr>
                <w:rStyle w:val="FootnoteReference"/>
                <w:color w:val="000000"/>
                <w:sz w:val="20"/>
                <w:szCs w:val="20"/>
              </w:rPr>
              <w:footnoteReference w:id="15"/>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06618C41" w14:textId="151AE3D6" w:rsidR="00570C23" w:rsidRPr="00570C23" w:rsidRDefault="00570C23">
            <w:pPr>
              <w:jc w:val="center"/>
              <w:rPr>
                <w:color w:val="000000"/>
                <w:sz w:val="20"/>
                <w:szCs w:val="20"/>
              </w:rPr>
            </w:pPr>
            <w:r w:rsidRPr="00570C23">
              <w:rPr>
                <w:color w:val="000000"/>
                <w:sz w:val="20"/>
                <w:szCs w:val="20"/>
              </w:rPr>
              <w:t xml:space="preserve">Finansējuma iespējamais samazinājums </w:t>
            </w:r>
          </w:p>
        </w:tc>
        <w:tc>
          <w:tcPr>
            <w:tcW w:w="1133" w:type="dxa"/>
            <w:tcBorders>
              <w:top w:val="single" w:sz="4" w:space="0" w:color="auto"/>
              <w:left w:val="single" w:sz="4" w:space="0" w:color="auto"/>
              <w:bottom w:val="single" w:sz="4" w:space="0" w:color="auto"/>
              <w:right w:val="single" w:sz="4" w:space="0" w:color="auto"/>
            </w:tcBorders>
            <w:vAlign w:val="center"/>
          </w:tcPr>
          <w:p w14:paraId="5DC9E5C7" w14:textId="3A7838D3" w:rsidR="00570C23" w:rsidRPr="00570C23" w:rsidRDefault="00570C23" w:rsidP="00570C23">
            <w:pPr>
              <w:jc w:val="center"/>
              <w:rPr>
                <w:color w:val="000000"/>
                <w:sz w:val="20"/>
                <w:szCs w:val="20"/>
              </w:rPr>
            </w:pPr>
            <w:r w:rsidRPr="00570C23">
              <w:rPr>
                <w:color w:val="000000"/>
                <w:sz w:val="20"/>
                <w:szCs w:val="20"/>
              </w:rPr>
              <w:t>t.sk. 2022.gada pārmaksas</w:t>
            </w:r>
          </w:p>
        </w:tc>
        <w:tc>
          <w:tcPr>
            <w:tcW w:w="1316" w:type="dxa"/>
            <w:tcBorders>
              <w:top w:val="single" w:sz="4" w:space="0" w:color="auto"/>
              <w:left w:val="single" w:sz="4" w:space="0" w:color="auto"/>
              <w:bottom w:val="single" w:sz="4" w:space="0" w:color="auto"/>
              <w:right w:val="single" w:sz="4" w:space="0" w:color="auto"/>
            </w:tcBorders>
            <w:vAlign w:val="center"/>
          </w:tcPr>
          <w:p w14:paraId="0A323662" w14:textId="48E1806A" w:rsidR="00570C23" w:rsidRPr="00570C23" w:rsidRDefault="00570C23" w:rsidP="00570C23">
            <w:pPr>
              <w:jc w:val="center"/>
              <w:rPr>
                <w:color w:val="000000"/>
                <w:sz w:val="20"/>
                <w:szCs w:val="20"/>
              </w:rPr>
            </w:pPr>
            <w:r w:rsidRPr="00570C23">
              <w:rPr>
                <w:color w:val="000000"/>
                <w:sz w:val="20"/>
                <w:szCs w:val="20"/>
              </w:rPr>
              <w:t>t.sk. izmaksu korekcijas ekonomikas stabilizēšanās gadījumā</w:t>
            </w:r>
          </w:p>
        </w:tc>
        <w:tc>
          <w:tcPr>
            <w:tcW w:w="14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4E5421" w14:textId="1263654F" w:rsidR="00570C23" w:rsidRPr="00570C23" w:rsidRDefault="00570C23">
            <w:pPr>
              <w:jc w:val="center"/>
              <w:rPr>
                <w:color w:val="000000"/>
                <w:sz w:val="20"/>
                <w:szCs w:val="20"/>
              </w:rPr>
            </w:pPr>
            <w:r w:rsidRPr="00570C23">
              <w:rPr>
                <w:color w:val="000000"/>
                <w:sz w:val="20"/>
                <w:szCs w:val="20"/>
              </w:rPr>
              <w:t>2023.gadā papildus nepieciešamais finansējums</w:t>
            </w:r>
          </w:p>
        </w:tc>
      </w:tr>
      <w:tr w:rsidR="00570C23" w14:paraId="47681810" w14:textId="77777777" w:rsidTr="007E77E2">
        <w:trPr>
          <w:trHeight w:val="282"/>
        </w:trPr>
        <w:tc>
          <w:tcPr>
            <w:tcW w:w="2192" w:type="dxa"/>
            <w:tcBorders>
              <w:top w:val="single" w:sz="4" w:space="0" w:color="auto"/>
              <w:left w:val="single" w:sz="4" w:space="0" w:color="auto"/>
              <w:bottom w:val="single" w:sz="4" w:space="0" w:color="auto"/>
              <w:right w:val="nil"/>
            </w:tcBorders>
            <w:shd w:val="clear" w:color="auto" w:fill="auto"/>
            <w:vAlign w:val="center"/>
            <w:hideMark/>
          </w:tcPr>
          <w:p w14:paraId="363CF0A8" w14:textId="58862A14" w:rsidR="00570C23" w:rsidRPr="00570C23" w:rsidRDefault="00570C23" w:rsidP="00570C23">
            <w:pPr>
              <w:rPr>
                <w:color w:val="000000"/>
                <w:sz w:val="20"/>
                <w:szCs w:val="20"/>
              </w:rPr>
            </w:pPr>
            <w:r w:rsidRPr="00570C23">
              <w:rPr>
                <w:color w:val="000000"/>
                <w:sz w:val="20"/>
                <w:szCs w:val="20"/>
              </w:rPr>
              <w:t>Pārvadājumi pilsētas nozīmes maršrutos</w:t>
            </w:r>
            <w:r w:rsidRPr="00570C23">
              <w:rPr>
                <w:rStyle w:val="FootnoteReference"/>
                <w:color w:val="000000"/>
                <w:sz w:val="20"/>
                <w:szCs w:val="20"/>
              </w:rPr>
              <w:footnoteReference w:id="16"/>
            </w:r>
          </w:p>
        </w:tc>
        <w:tc>
          <w:tcPr>
            <w:tcW w:w="1594" w:type="dxa"/>
            <w:tcBorders>
              <w:top w:val="nil"/>
              <w:left w:val="single" w:sz="4" w:space="0" w:color="auto"/>
              <w:bottom w:val="single" w:sz="4" w:space="0" w:color="auto"/>
              <w:right w:val="single" w:sz="4" w:space="0" w:color="auto"/>
            </w:tcBorders>
            <w:shd w:val="clear" w:color="auto" w:fill="auto"/>
            <w:noWrap/>
            <w:vAlign w:val="center"/>
            <w:hideMark/>
          </w:tcPr>
          <w:p w14:paraId="5AE9281C" w14:textId="77777777" w:rsidR="00570C23" w:rsidRPr="00570C23" w:rsidRDefault="00570C23" w:rsidP="00570C23">
            <w:pPr>
              <w:jc w:val="center"/>
              <w:rPr>
                <w:color w:val="000000"/>
                <w:sz w:val="20"/>
                <w:szCs w:val="20"/>
              </w:rPr>
            </w:pPr>
            <w:r w:rsidRPr="00570C23">
              <w:rPr>
                <w:color w:val="000000"/>
                <w:sz w:val="20"/>
                <w:szCs w:val="20"/>
              </w:rPr>
              <w:t>12 489 231</w:t>
            </w:r>
          </w:p>
        </w:tc>
        <w:tc>
          <w:tcPr>
            <w:tcW w:w="1459" w:type="dxa"/>
            <w:tcBorders>
              <w:top w:val="nil"/>
              <w:left w:val="nil"/>
              <w:bottom w:val="single" w:sz="4" w:space="0" w:color="auto"/>
              <w:right w:val="single" w:sz="4" w:space="0" w:color="auto"/>
            </w:tcBorders>
            <w:shd w:val="clear" w:color="auto" w:fill="auto"/>
            <w:noWrap/>
            <w:vAlign w:val="center"/>
            <w:hideMark/>
          </w:tcPr>
          <w:p w14:paraId="3DB49429" w14:textId="1B5DFB07" w:rsidR="00570C23" w:rsidRPr="00570C23" w:rsidRDefault="00570C23" w:rsidP="00570C23">
            <w:pPr>
              <w:jc w:val="center"/>
              <w:rPr>
                <w:sz w:val="20"/>
                <w:szCs w:val="20"/>
              </w:rPr>
            </w:pPr>
            <w:r w:rsidRPr="00570C23">
              <w:rPr>
                <w:sz w:val="20"/>
                <w:szCs w:val="20"/>
              </w:rPr>
              <w:t> 17 023 993</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14:paraId="53A4C881" w14:textId="058DAA17" w:rsidR="00570C23" w:rsidRPr="00570C23" w:rsidRDefault="00570C23" w:rsidP="00570C23">
            <w:pPr>
              <w:jc w:val="center"/>
              <w:rPr>
                <w:color w:val="000000"/>
                <w:sz w:val="20"/>
                <w:szCs w:val="20"/>
              </w:rPr>
            </w:pPr>
            <w:r w:rsidRPr="00570C23">
              <w:rPr>
                <w:color w:val="000000"/>
                <w:sz w:val="20"/>
                <w:szCs w:val="20"/>
              </w:rPr>
              <w:t>-1 286 235</w:t>
            </w:r>
          </w:p>
        </w:tc>
        <w:tc>
          <w:tcPr>
            <w:tcW w:w="1133" w:type="dxa"/>
            <w:tcBorders>
              <w:top w:val="single" w:sz="4" w:space="0" w:color="auto"/>
              <w:left w:val="single" w:sz="4" w:space="0" w:color="auto"/>
              <w:bottom w:val="single" w:sz="4" w:space="0" w:color="auto"/>
              <w:right w:val="single" w:sz="4" w:space="0" w:color="auto"/>
            </w:tcBorders>
            <w:vAlign w:val="center"/>
          </w:tcPr>
          <w:p w14:paraId="5BF52FEB" w14:textId="5AD30A4C" w:rsidR="00570C23" w:rsidRPr="00570C23" w:rsidRDefault="00570C23" w:rsidP="00570C23">
            <w:pPr>
              <w:jc w:val="center"/>
              <w:rPr>
                <w:color w:val="000000"/>
                <w:sz w:val="20"/>
                <w:szCs w:val="20"/>
              </w:rPr>
            </w:pPr>
            <w:r w:rsidRPr="00570C23">
              <w:rPr>
                <w:color w:val="000000"/>
                <w:sz w:val="20"/>
                <w:szCs w:val="20"/>
              </w:rPr>
              <w:t>-1</w:t>
            </w:r>
            <w:r>
              <w:rPr>
                <w:color w:val="000000"/>
                <w:sz w:val="20"/>
                <w:szCs w:val="20"/>
              </w:rPr>
              <w:t> </w:t>
            </w:r>
            <w:r w:rsidRPr="00570C23">
              <w:rPr>
                <w:color w:val="000000"/>
                <w:sz w:val="20"/>
                <w:szCs w:val="20"/>
              </w:rPr>
              <w:t>286</w:t>
            </w:r>
            <w:r>
              <w:rPr>
                <w:color w:val="000000"/>
                <w:sz w:val="20"/>
                <w:szCs w:val="20"/>
              </w:rPr>
              <w:t> </w:t>
            </w:r>
            <w:r w:rsidRPr="00570C23">
              <w:rPr>
                <w:color w:val="000000"/>
                <w:sz w:val="20"/>
                <w:szCs w:val="20"/>
              </w:rPr>
              <w:t>235</w:t>
            </w:r>
          </w:p>
        </w:tc>
        <w:tc>
          <w:tcPr>
            <w:tcW w:w="1316" w:type="dxa"/>
            <w:tcBorders>
              <w:top w:val="single" w:sz="4" w:space="0" w:color="auto"/>
              <w:left w:val="single" w:sz="4" w:space="0" w:color="auto"/>
              <w:bottom w:val="single" w:sz="4" w:space="0" w:color="auto"/>
              <w:right w:val="single" w:sz="4" w:space="0" w:color="auto"/>
            </w:tcBorders>
            <w:vAlign w:val="center"/>
          </w:tcPr>
          <w:p w14:paraId="62EDC334" w14:textId="77777777" w:rsidR="00570C23" w:rsidRPr="00570C23" w:rsidRDefault="00570C23" w:rsidP="00570C23">
            <w:pPr>
              <w:jc w:val="center"/>
              <w:rPr>
                <w:color w:val="000000"/>
                <w:sz w:val="20"/>
                <w:szCs w:val="20"/>
              </w:rPr>
            </w:pPr>
          </w:p>
        </w:tc>
        <w:tc>
          <w:tcPr>
            <w:tcW w:w="14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ACCE02" w14:textId="435D074C" w:rsidR="00570C23" w:rsidRPr="00570C23" w:rsidRDefault="00570C23" w:rsidP="00570C23">
            <w:pPr>
              <w:jc w:val="center"/>
              <w:rPr>
                <w:color w:val="000000"/>
                <w:sz w:val="20"/>
                <w:szCs w:val="20"/>
              </w:rPr>
            </w:pPr>
            <w:r w:rsidRPr="00570C23">
              <w:rPr>
                <w:color w:val="000000"/>
                <w:sz w:val="20"/>
                <w:szCs w:val="20"/>
              </w:rPr>
              <w:t>3 248 527</w:t>
            </w:r>
          </w:p>
        </w:tc>
      </w:tr>
      <w:tr w:rsidR="00570C23" w14:paraId="6FAA214F" w14:textId="77777777" w:rsidTr="007E77E2">
        <w:trPr>
          <w:trHeight w:val="247"/>
        </w:trPr>
        <w:tc>
          <w:tcPr>
            <w:tcW w:w="2192" w:type="dxa"/>
            <w:tcBorders>
              <w:top w:val="nil"/>
              <w:left w:val="single" w:sz="4" w:space="0" w:color="auto"/>
              <w:bottom w:val="single" w:sz="4" w:space="0" w:color="auto"/>
              <w:right w:val="nil"/>
            </w:tcBorders>
            <w:shd w:val="clear" w:color="auto" w:fill="auto"/>
            <w:vAlign w:val="center"/>
            <w:hideMark/>
          </w:tcPr>
          <w:p w14:paraId="7F700908" w14:textId="77777777" w:rsidR="00570C23" w:rsidRPr="00570C23" w:rsidRDefault="00570C23" w:rsidP="00570C23">
            <w:pPr>
              <w:rPr>
                <w:color w:val="000000"/>
                <w:sz w:val="20"/>
                <w:szCs w:val="20"/>
              </w:rPr>
            </w:pPr>
            <w:r w:rsidRPr="00570C23">
              <w:rPr>
                <w:color w:val="000000"/>
                <w:sz w:val="20"/>
                <w:szCs w:val="20"/>
              </w:rPr>
              <w:t>Reģionālie pārvadājumi ar autobusiem</w:t>
            </w:r>
          </w:p>
        </w:tc>
        <w:tc>
          <w:tcPr>
            <w:tcW w:w="1594" w:type="dxa"/>
            <w:tcBorders>
              <w:top w:val="nil"/>
              <w:left w:val="single" w:sz="4" w:space="0" w:color="auto"/>
              <w:bottom w:val="single" w:sz="4" w:space="0" w:color="auto"/>
              <w:right w:val="single" w:sz="4" w:space="0" w:color="auto"/>
            </w:tcBorders>
            <w:shd w:val="clear" w:color="auto" w:fill="auto"/>
            <w:noWrap/>
            <w:vAlign w:val="center"/>
            <w:hideMark/>
          </w:tcPr>
          <w:p w14:paraId="08177557" w14:textId="77777777" w:rsidR="00570C23" w:rsidRPr="00570C23" w:rsidRDefault="00570C23" w:rsidP="00570C23">
            <w:pPr>
              <w:jc w:val="center"/>
              <w:rPr>
                <w:color w:val="000000"/>
                <w:sz w:val="20"/>
                <w:szCs w:val="20"/>
              </w:rPr>
            </w:pPr>
            <w:r w:rsidRPr="00570C23">
              <w:rPr>
                <w:color w:val="000000"/>
                <w:sz w:val="20"/>
                <w:szCs w:val="20"/>
              </w:rPr>
              <w:t>44 887 622</w:t>
            </w:r>
          </w:p>
        </w:tc>
        <w:tc>
          <w:tcPr>
            <w:tcW w:w="1459" w:type="dxa"/>
            <w:tcBorders>
              <w:top w:val="nil"/>
              <w:left w:val="nil"/>
              <w:bottom w:val="single" w:sz="4" w:space="0" w:color="auto"/>
              <w:right w:val="single" w:sz="4" w:space="0" w:color="auto"/>
            </w:tcBorders>
            <w:shd w:val="clear" w:color="auto" w:fill="auto"/>
            <w:vAlign w:val="center"/>
            <w:hideMark/>
          </w:tcPr>
          <w:p w14:paraId="06FD40C8" w14:textId="77777777" w:rsidR="00570C23" w:rsidRPr="00570C23" w:rsidRDefault="00570C23" w:rsidP="00570C23">
            <w:pPr>
              <w:jc w:val="center"/>
              <w:rPr>
                <w:color w:val="000000"/>
                <w:sz w:val="20"/>
                <w:szCs w:val="20"/>
              </w:rPr>
            </w:pPr>
            <w:r w:rsidRPr="00570C23">
              <w:rPr>
                <w:color w:val="000000"/>
                <w:sz w:val="20"/>
                <w:szCs w:val="20"/>
              </w:rPr>
              <w:t>59 353 182</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14:paraId="3CAAF8A5" w14:textId="5D1D410B" w:rsidR="00570C23" w:rsidRPr="00570C23" w:rsidRDefault="00570C23" w:rsidP="00570C23">
            <w:pPr>
              <w:jc w:val="center"/>
              <w:rPr>
                <w:color w:val="000000"/>
                <w:sz w:val="20"/>
                <w:szCs w:val="20"/>
              </w:rPr>
            </w:pPr>
            <w:r w:rsidRPr="00570C23">
              <w:rPr>
                <w:color w:val="000000"/>
                <w:sz w:val="20"/>
                <w:szCs w:val="20"/>
              </w:rPr>
              <w:t>-1 219 911</w:t>
            </w:r>
          </w:p>
        </w:tc>
        <w:tc>
          <w:tcPr>
            <w:tcW w:w="1133" w:type="dxa"/>
            <w:tcBorders>
              <w:top w:val="single" w:sz="4" w:space="0" w:color="auto"/>
              <w:left w:val="single" w:sz="4" w:space="0" w:color="auto"/>
              <w:bottom w:val="single" w:sz="4" w:space="0" w:color="auto"/>
              <w:right w:val="single" w:sz="4" w:space="0" w:color="auto"/>
            </w:tcBorders>
            <w:vAlign w:val="center"/>
          </w:tcPr>
          <w:p w14:paraId="68A1A221" w14:textId="1D8C0506" w:rsidR="00570C23" w:rsidRPr="00570C23" w:rsidRDefault="00570C23" w:rsidP="00570C23">
            <w:pPr>
              <w:jc w:val="center"/>
              <w:rPr>
                <w:color w:val="000000"/>
                <w:sz w:val="20"/>
                <w:szCs w:val="20"/>
              </w:rPr>
            </w:pPr>
            <w:r w:rsidRPr="00570C23">
              <w:rPr>
                <w:color w:val="000000"/>
                <w:sz w:val="20"/>
                <w:szCs w:val="20"/>
              </w:rPr>
              <w:t>-1 219 911</w:t>
            </w:r>
          </w:p>
        </w:tc>
        <w:tc>
          <w:tcPr>
            <w:tcW w:w="1316" w:type="dxa"/>
            <w:tcBorders>
              <w:top w:val="single" w:sz="4" w:space="0" w:color="auto"/>
              <w:left w:val="single" w:sz="4" w:space="0" w:color="auto"/>
              <w:bottom w:val="single" w:sz="4" w:space="0" w:color="auto"/>
              <w:right w:val="single" w:sz="4" w:space="0" w:color="auto"/>
            </w:tcBorders>
            <w:vAlign w:val="center"/>
          </w:tcPr>
          <w:p w14:paraId="350FE1D2" w14:textId="77777777" w:rsidR="00570C23" w:rsidRPr="00570C23" w:rsidRDefault="00570C23" w:rsidP="00570C23">
            <w:pPr>
              <w:jc w:val="center"/>
              <w:rPr>
                <w:color w:val="000000"/>
                <w:sz w:val="20"/>
                <w:szCs w:val="20"/>
              </w:rPr>
            </w:pPr>
          </w:p>
        </w:tc>
        <w:tc>
          <w:tcPr>
            <w:tcW w:w="14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11B06E" w14:textId="56667E80" w:rsidR="00570C23" w:rsidRPr="00570C23" w:rsidRDefault="00570C23" w:rsidP="00570C23">
            <w:pPr>
              <w:jc w:val="center"/>
              <w:rPr>
                <w:color w:val="000000"/>
                <w:sz w:val="20"/>
                <w:szCs w:val="20"/>
              </w:rPr>
            </w:pPr>
            <w:r w:rsidRPr="00570C23">
              <w:rPr>
                <w:color w:val="000000"/>
                <w:sz w:val="20"/>
                <w:szCs w:val="20"/>
              </w:rPr>
              <w:t>13 245 649</w:t>
            </w:r>
          </w:p>
        </w:tc>
      </w:tr>
      <w:tr w:rsidR="00570C23" w14:paraId="711F05B0" w14:textId="77777777" w:rsidTr="007E77E2">
        <w:trPr>
          <w:trHeight w:val="325"/>
        </w:trPr>
        <w:tc>
          <w:tcPr>
            <w:tcW w:w="2192" w:type="dxa"/>
            <w:tcBorders>
              <w:top w:val="nil"/>
              <w:left w:val="single" w:sz="4" w:space="0" w:color="auto"/>
              <w:bottom w:val="single" w:sz="4" w:space="0" w:color="auto"/>
              <w:right w:val="nil"/>
            </w:tcBorders>
            <w:shd w:val="clear" w:color="auto" w:fill="auto"/>
            <w:vAlign w:val="center"/>
            <w:hideMark/>
          </w:tcPr>
          <w:p w14:paraId="6CCCBA20" w14:textId="77777777" w:rsidR="00570C23" w:rsidRPr="00570C23" w:rsidRDefault="00570C23">
            <w:pPr>
              <w:rPr>
                <w:color w:val="000000"/>
                <w:sz w:val="20"/>
                <w:szCs w:val="20"/>
              </w:rPr>
            </w:pPr>
            <w:r w:rsidRPr="00570C23">
              <w:rPr>
                <w:color w:val="000000"/>
                <w:sz w:val="20"/>
                <w:szCs w:val="20"/>
              </w:rPr>
              <w:t>Reģionālie pārvadājumi pa dzelzceļu</w:t>
            </w:r>
          </w:p>
        </w:tc>
        <w:tc>
          <w:tcPr>
            <w:tcW w:w="1594" w:type="dxa"/>
            <w:tcBorders>
              <w:top w:val="nil"/>
              <w:left w:val="single" w:sz="4" w:space="0" w:color="auto"/>
              <w:bottom w:val="single" w:sz="4" w:space="0" w:color="auto"/>
              <w:right w:val="single" w:sz="4" w:space="0" w:color="auto"/>
            </w:tcBorders>
            <w:shd w:val="clear" w:color="auto" w:fill="auto"/>
            <w:noWrap/>
            <w:vAlign w:val="center"/>
            <w:hideMark/>
          </w:tcPr>
          <w:p w14:paraId="050D4328" w14:textId="77777777" w:rsidR="00570C23" w:rsidRPr="00570C23" w:rsidRDefault="00570C23">
            <w:pPr>
              <w:jc w:val="center"/>
              <w:rPr>
                <w:color w:val="000000"/>
                <w:sz w:val="20"/>
                <w:szCs w:val="20"/>
              </w:rPr>
            </w:pPr>
            <w:r w:rsidRPr="00570C23">
              <w:rPr>
                <w:color w:val="000000"/>
                <w:sz w:val="20"/>
                <w:szCs w:val="20"/>
              </w:rPr>
              <w:t>17 410 161</w:t>
            </w:r>
          </w:p>
        </w:tc>
        <w:tc>
          <w:tcPr>
            <w:tcW w:w="1459" w:type="dxa"/>
            <w:tcBorders>
              <w:top w:val="nil"/>
              <w:left w:val="nil"/>
              <w:bottom w:val="single" w:sz="4" w:space="0" w:color="auto"/>
              <w:right w:val="single" w:sz="4" w:space="0" w:color="auto"/>
            </w:tcBorders>
            <w:shd w:val="clear" w:color="auto" w:fill="auto"/>
            <w:vAlign w:val="center"/>
            <w:hideMark/>
          </w:tcPr>
          <w:p w14:paraId="68D60DCD" w14:textId="77777777" w:rsidR="00570C23" w:rsidRPr="00570C23" w:rsidRDefault="00570C23">
            <w:pPr>
              <w:jc w:val="center"/>
              <w:rPr>
                <w:color w:val="000000"/>
                <w:sz w:val="20"/>
                <w:szCs w:val="20"/>
              </w:rPr>
            </w:pPr>
            <w:r w:rsidRPr="00570C23">
              <w:rPr>
                <w:color w:val="000000"/>
                <w:sz w:val="20"/>
                <w:szCs w:val="20"/>
              </w:rPr>
              <w:t>38 385 170</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14:paraId="76DC5B1E" w14:textId="77777777" w:rsidR="00570C23" w:rsidRPr="00570C23" w:rsidRDefault="00570C23">
            <w:pPr>
              <w:jc w:val="center"/>
              <w:rPr>
                <w:color w:val="000000"/>
                <w:sz w:val="20"/>
                <w:szCs w:val="20"/>
              </w:rPr>
            </w:pPr>
            <w:r w:rsidRPr="00570C23">
              <w:rPr>
                <w:color w:val="000000"/>
                <w:sz w:val="20"/>
                <w:szCs w:val="20"/>
              </w:rPr>
              <w:t>-6 519 858</w:t>
            </w:r>
          </w:p>
        </w:tc>
        <w:tc>
          <w:tcPr>
            <w:tcW w:w="1133" w:type="dxa"/>
            <w:tcBorders>
              <w:top w:val="single" w:sz="4" w:space="0" w:color="auto"/>
              <w:left w:val="single" w:sz="4" w:space="0" w:color="auto"/>
              <w:bottom w:val="single" w:sz="4" w:space="0" w:color="auto"/>
              <w:right w:val="single" w:sz="4" w:space="0" w:color="auto"/>
            </w:tcBorders>
            <w:vAlign w:val="center"/>
          </w:tcPr>
          <w:p w14:paraId="70BFEB3C" w14:textId="65E197CD" w:rsidR="00570C23" w:rsidRPr="00570C23" w:rsidRDefault="007E77E2" w:rsidP="00570C23">
            <w:pPr>
              <w:jc w:val="center"/>
              <w:rPr>
                <w:color w:val="000000"/>
                <w:sz w:val="20"/>
                <w:szCs w:val="20"/>
              </w:rPr>
            </w:pPr>
            <w:r>
              <w:rPr>
                <w:color w:val="000000"/>
                <w:sz w:val="20"/>
                <w:szCs w:val="20"/>
              </w:rPr>
              <w:t>-4 217 617</w:t>
            </w:r>
          </w:p>
        </w:tc>
        <w:tc>
          <w:tcPr>
            <w:tcW w:w="1316" w:type="dxa"/>
            <w:tcBorders>
              <w:top w:val="single" w:sz="4" w:space="0" w:color="auto"/>
              <w:left w:val="single" w:sz="4" w:space="0" w:color="auto"/>
              <w:bottom w:val="single" w:sz="4" w:space="0" w:color="auto"/>
              <w:right w:val="single" w:sz="4" w:space="0" w:color="auto"/>
            </w:tcBorders>
            <w:vAlign w:val="center"/>
          </w:tcPr>
          <w:p w14:paraId="500055C1" w14:textId="193F7AD5" w:rsidR="00570C23" w:rsidRPr="00570C23" w:rsidRDefault="007E77E2" w:rsidP="00570C23">
            <w:pPr>
              <w:jc w:val="center"/>
              <w:rPr>
                <w:color w:val="000000"/>
                <w:sz w:val="20"/>
                <w:szCs w:val="20"/>
              </w:rPr>
            </w:pPr>
            <w:r>
              <w:rPr>
                <w:color w:val="000000"/>
                <w:sz w:val="20"/>
                <w:szCs w:val="20"/>
              </w:rPr>
              <w:t>-2 302 241</w:t>
            </w:r>
          </w:p>
        </w:tc>
        <w:tc>
          <w:tcPr>
            <w:tcW w:w="14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09271" w14:textId="3D570FA7" w:rsidR="00570C23" w:rsidRPr="00570C23" w:rsidRDefault="00570C23">
            <w:pPr>
              <w:jc w:val="center"/>
              <w:rPr>
                <w:color w:val="000000"/>
                <w:sz w:val="20"/>
                <w:szCs w:val="20"/>
              </w:rPr>
            </w:pPr>
            <w:r w:rsidRPr="00570C23">
              <w:rPr>
                <w:color w:val="000000"/>
                <w:sz w:val="20"/>
                <w:szCs w:val="20"/>
              </w:rPr>
              <w:t>14 455 151</w:t>
            </w:r>
          </w:p>
        </w:tc>
      </w:tr>
      <w:tr w:rsidR="00570C23" w14:paraId="4B9EE382" w14:textId="77777777" w:rsidTr="007E77E2">
        <w:trPr>
          <w:trHeight w:val="289"/>
        </w:trPr>
        <w:tc>
          <w:tcPr>
            <w:tcW w:w="2192" w:type="dxa"/>
            <w:tcBorders>
              <w:top w:val="single" w:sz="4" w:space="0" w:color="auto"/>
              <w:left w:val="single" w:sz="4" w:space="0" w:color="auto"/>
              <w:bottom w:val="single" w:sz="4" w:space="0" w:color="auto"/>
              <w:right w:val="nil"/>
            </w:tcBorders>
            <w:shd w:val="clear" w:color="auto" w:fill="auto"/>
            <w:noWrap/>
            <w:vAlign w:val="bottom"/>
            <w:hideMark/>
          </w:tcPr>
          <w:p w14:paraId="4E2A2EE4" w14:textId="4A758297" w:rsidR="00570C23" w:rsidRPr="00570C23" w:rsidRDefault="00570C23" w:rsidP="00F651F2">
            <w:pPr>
              <w:rPr>
                <w:color w:val="000000"/>
                <w:sz w:val="20"/>
                <w:szCs w:val="20"/>
              </w:rPr>
            </w:pPr>
            <w:r w:rsidRPr="00570C23">
              <w:rPr>
                <w:color w:val="000000"/>
                <w:sz w:val="20"/>
                <w:szCs w:val="20"/>
              </w:rPr>
              <w:t>PAVISAM KOPĀ</w:t>
            </w:r>
          </w:p>
        </w:tc>
        <w:tc>
          <w:tcPr>
            <w:tcW w:w="1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55C7B4" w14:textId="77777777" w:rsidR="00570C23" w:rsidRPr="00570C23" w:rsidRDefault="00570C23">
            <w:pPr>
              <w:jc w:val="center"/>
              <w:rPr>
                <w:color w:val="000000"/>
                <w:sz w:val="20"/>
                <w:szCs w:val="20"/>
              </w:rPr>
            </w:pPr>
            <w:r w:rsidRPr="00570C23">
              <w:rPr>
                <w:color w:val="000000"/>
                <w:sz w:val="20"/>
                <w:szCs w:val="20"/>
              </w:rPr>
              <w:t>74 787 014</w:t>
            </w:r>
          </w:p>
        </w:tc>
        <w:tc>
          <w:tcPr>
            <w:tcW w:w="1459" w:type="dxa"/>
            <w:tcBorders>
              <w:top w:val="single" w:sz="4" w:space="0" w:color="auto"/>
              <w:left w:val="nil"/>
              <w:bottom w:val="single" w:sz="4" w:space="0" w:color="auto"/>
              <w:right w:val="single" w:sz="4" w:space="0" w:color="auto"/>
            </w:tcBorders>
            <w:shd w:val="clear" w:color="auto" w:fill="auto"/>
            <w:noWrap/>
            <w:vAlign w:val="center"/>
            <w:hideMark/>
          </w:tcPr>
          <w:p w14:paraId="4CDB2D4A" w14:textId="5945D0A3" w:rsidR="00570C23" w:rsidRPr="00570C23" w:rsidRDefault="00570C23">
            <w:pPr>
              <w:jc w:val="center"/>
              <w:rPr>
                <w:color w:val="000000"/>
                <w:sz w:val="20"/>
                <w:szCs w:val="20"/>
              </w:rPr>
            </w:pPr>
            <w:r w:rsidRPr="00570C23">
              <w:rPr>
                <w:color w:val="000000"/>
                <w:sz w:val="20"/>
                <w:szCs w:val="20"/>
              </w:rPr>
              <w:t>114 762 345</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14:paraId="0F65551D" w14:textId="4ECD292B" w:rsidR="00570C23" w:rsidRPr="00570C23" w:rsidRDefault="00570C23">
            <w:pPr>
              <w:jc w:val="center"/>
              <w:rPr>
                <w:color w:val="000000"/>
                <w:sz w:val="20"/>
                <w:szCs w:val="20"/>
              </w:rPr>
            </w:pPr>
            <w:r w:rsidRPr="00570C23">
              <w:rPr>
                <w:color w:val="000000"/>
                <w:sz w:val="20"/>
                <w:szCs w:val="20"/>
              </w:rPr>
              <w:t>-9 026 004</w:t>
            </w:r>
          </w:p>
        </w:tc>
        <w:tc>
          <w:tcPr>
            <w:tcW w:w="1133" w:type="dxa"/>
            <w:tcBorders>
              <w:top w:val="single" w:sz="4" w:space="0" w:color="auto"/>
              <w:left w:val="single" w:sz="4" w:space="0" w:color="auto"/>
              <w:bottom w:val="single" w:sz="4" w:space="0" w:color="auto"/>
              <w:right w:val="single" w:sz="4" w:space="0" w:color="auto"/>
            </w:tcBorders>
            <w:vAlign w:val="center"/>
          </w:tcPr>
          <w:p w14:paraId="3E38056D" w14:textId="72DEB524" w:rsidR="00570C23" w:rsidRPr="00570C23" w:rsidRDefault="007E77E2" w:rsidP="00570C23">
            <w:pPr>
              <w:jc w:val="center"/>
              <w:rPr>
                <w:color w:val="000000"/>
                <w:sz w:val="20"/>
                <w:szCs w:val="20"/>
              </w:rPr>
            </w:pPr>
            <w:r>
              <w:rPr>
                <w:color w:val="000000"/>
                <w:sz w:val="20"/>
                <w:szCs w:val="20"/>
              </w:rPr>
              <w:t>-6 723 763</w:t>
            </w:r>
          </w:p>
        </w:tc>
        <w:tc>
          <w:tcPr>
            <w:tcW w:w="1316" w:type="dxa"/>
            <w:tcBorders>
              <w:top w:val="single" w:sz="4" w:space="0" w:color="auto"/>
              <w:left w:val="single" w:sz="4" w:space="0" w:color="auto"/>
              <w:bottom w:val="single" w:sz="4" w:space="0" w:color="auto"/>
              <w:right w:val="single" w:sz="4" w:space="0" w:color="auto"/>
            </w:tcBorders>
            <w:vAlign w:val="center"/>
          </w:tcPr>
          <w:p w14:paraId="27FB80AA" w14:textId="42C6CC93" w:rsidR="00570C23" w:rsidRPr="00570C23" w:rsidRDefault="007E77E2" w:rsidP="00570C23">
            <w:pPr>
              <w:jc w:val="center"/>
              <w:rPr>
                <w:color w:val="000000"/>
                <w:sz w:val="20"/>
                <w:szCs w:val="20"/>
              </w:rPr>
            </w:pPr>
            <w:r>
              <w:rPr>
                <w:color w:val="000000"/>
                <w:sz w:val="20"/>
                <w:szCs w:val="20"/>
              </w:rPr>
              <w:t>-2 302 241</w:t>
            </w:r>
          </w:p>
        </w:tc>
        <w:tc>
          <w:tcPr>
            <w:tcW w:w="14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7EFC39" w14:textId="37E6B005" w:rsidR="00570C23" w:rsidRPr="00570C23" w:rsidRDefault="00570C23">
            <w:pPr>
              <w:jc w:val="center"/>
              <w:rPr>
                <w:color w:val="000000"/>
                <w:sz w:val="20"/>
                <w:szCs w:val="20"/>
              </w:rPr>
            </w:pPr>
            <w:r w:rsidRPr="00570C23">
              <w:rPr>
                <w:color w:val="000000"/>
                <w:sz w:val="20"/>
                <w:szCs w:val="20"/>
              </w:rPr>
              <w:t>30 949 327</w:t>
            </w:r>
          </w:p>
        </w:tc>
      </w:tr>
    </w:tbl>
    <w:p w14:paraId="1CF90631" w14:textId="77777777" w:rsidR="00ED6458" w:rsidRPr="00F7678E" w:rsidRDefault="00ED6458" w:rsidP="00ED6458">
      <w:pPr>
        <w:ind w:firstLine="709"/>
        <w:jc w:val="both"/>
        <w:rPr>
          <w:sz w:val="26"/>
          <w:szCs w:val="26"/>
        </w:rPr>
      </w:pPr>
    </w:p>
    <w:p w14:paraId="50A4F5E3" w14:textId="39C5636B" w:rsidR="004C78FF" w:rsidRPr="00F7678E" w:rsidRDefault="00ED6458" w:rsidP="004C78FF">
      <w:pPr>
        <w:ind w:firstLine="709"/>
        <w:jc w:val="both"/>
        <w:rPr>
          <w:sz w:val="26"/>
          <w:szCs w:val="26"/>
        </w:rPr>
      </w:pPr>
      <w:r w:rsidRPr="00F7678E">
        <w:rPr>
          <w:sz w:val="26"/>
          <w:szCs w:val="26"/>
        </w:rPr>
        <w:t xml:space="preserve">Autotransporta direkcija Ministru kabineta noteikumu Nr.435 12., 13. un 15.punktā noteiktajā kārtībā katru gadu apzina </w:t>
      </w:r>
      <w:r w:rsidR="00F7678E">
        <w:rPr>
          <w:sz w:val="26"/>
          <w:szCs w:val="26"/>
        </w:rPr>
        <w:t xml:space="preserve">valstspilsētu pašvaldību un aprēķina </w:t>
      </w:r>
      <w:r w:rsidRPr="00F7678E">
        <w:rPr>
          <w:sz w:val="26"/>
          <w:szCs w:val="26"/>
        </w:rPr>
        <w:t>sabiedriskā transporta pakalpojumu sniedzēju plānot</w:t>
      </w:r>
      <w:r w:rsidR="00905958">
        <w:rPr>
          <w:sz w:val="26"/>
          <w:szCs w:val="26"/>
        </w:rPr>
        <w:t>os</w:t>
      </w:r>
      <w:r w:rsidRPr="00F7678E">
        <w:rPr>
          <w:sz w:val="26"/>
          <w:szCs w:val="26"/>
        </w:rPr>
        <w:t xml:space="preserve"> </w:t>
      </w:r>
      <w:r w:rsidR="00905958">
        <w:rPr>
          <w:sz w:val="26"/>
          <w:szCs w:val="26"/>
        </w:rPr>
        <w:t>zaudējumus</w:t>
      </w:r>
      <w:r w:rsidRPr="00F7678E">
        <w:rPr>
          <w:sz w:val="26"/>
          <w:szCs w:val="26"/>
        </w:rPr>
        <w:t>, kas atbilst katram kalendārajam gadam apstiprinātajam maršrutu tīklam. Ievērojot sabiedriskā transporta pakalpojum</w:t>
      </w:r>
      <w:r w:rsidR="00905958">
        <w:rPr>
          <w:sz w:val="26"/>
          <w:szCs w:val="26"/>
        </w:rPr>
        <w:t xml:space="preserve">os </w:t>
      </w:r>
      <w:r w:rsidRPr="00F7678E">
        <w:rPr>
          <w:sz w:val="26"/>
          <w:szCs w:val="26"/>
        </w:rPr>
        <w:t xml:space="preserve">pamatoto </w:t>
      </w:r>
      <w:r w:rsidR="00905958">
        <w:rPr>
          <w:sz w:val="26"/>
          <w:szCs w:val="26"/>
        </w:rPr>
        <w:t>kompensējamo zaudējumu</w:t>
      </w:r>
      <w:r w:rsidRPr="00F7678E">
        <w:rPr>
          <w:sz w:val="26"/>
          <w:szCs w:val="26"/>
        </w:rPr>
        <w:t xml:space="preserve"> apjomu, tiek sastādīta kopējā nepieciešamā finansējuma prognoze sabiedriskā transporta pakalpojumu nodrošināšanai. </w:t>
      </w:r>
      <w:r w:rsidR="00A87344">
        <w:rPr>
          <w:sz w:val="26"/>
          <w:szCs w:val="26"/>
        </w:rPr>
        <w:t xml:space="preserve">Tāpat </w:t>
      </w:r>
      <w:r w:rsidR="00A87344" w:rsidRPr="00F7678E">
        <w:rPr>
          <w:sz w:val="26"/>
          <w:szCs w:val="26"/>
        </w:rPr>
        <w:t>faktisko zaudējumu aprēķina un precizējumu rezultātā no tekošā gada piešķirtā finansējuma bieži vien ir jākompensē iepriekšējā perioda nesegtie zaudējumi, līdz ar to piešķirtais valsts budžeta finansējums tekošajā gadā ir nepietiekams, tādējādi no valsts budžeta tiek pieprasīts papildu finansējums gan iepriekšējo gadu (periodu), gan tekošā gada zaudējumu kompensēšanai.</w:t>
      </w:r>
      <w:r w:rsidR="00A87344">
        <w:rPr>
          <w:sz w:val="26"/>
          <w:szCs w:val="26"/>
        </w:rPr>
        <w:t xml:space="preserve"> </w:t>
      </w:r>
      <w:r w:rsidR="004C78FF">
        <w:rPr>
          <w:sz w:val="26"/>
          <w:szCs w:val="26"/>
        </w:rPr>
        <w:t xml:space="preserve">Tādējādi </w:t>
      </w:r>
      <w:r w:rsidR="00A87344">
        <w:rPr>
          <w:sz w:val="26"/>
          <w:szCs w:val="26"/>
        </w:rPr>
        <w:t xml:space="preserve">jautājums par papildu finansējuma piešķiršanu sabiedriskā transporta pakalpojumu nodrošināšanai tiek risināts </w:t>
      </w:r>
      <w:r w:rsidR="00307BC3">
        <w:rPr>
          <w:sz w:val="26"/>
          <w:szCs w:val="26"/>
        </w:rPr>
        <w:t xml:space="preserve">kārtējā gada </w:t>
      </w:r>
      <w:r w:rsidR="00A87344">
        <w:rPr>
          <w:sz w:val="26"/>
          <w:szCs w:val="26"/>
        </w:rPr>
        <w:t xml:space="preserve"> valsts budžeta izpildes un elastības ietvarā </w:t>
      </w:r>
      <w:r w:rsidR="000322FA">
        <w:rPr>
          <w:sz w:val="26"/>
          <w:szCs w:val="26"/>
        </w:rPr>
        <w:t>kā to paredz arī Ministru kabineta noteikumu Nr.435 18.</w:t>
      </w:r>
      <w:r w:rsidR="000322FA" w:rsidRPr="000C4EDE">
        <w:rPr>
          <w:sz w:val="26"/>
          <w:szCs w:val="26"/>
        </w:rPr>
        <w:t xml:space="preserve">punkts </w:t>
      </w:r>
      <w:r w:rsidR="00A87344" w:rsidRPr="000C4EDE">
        <w:rPr>
          <w:sz w:val="26"/>
          <w:szCs w:val="26"/>
        </w:rPr>
        <w:t xml:space="preserve">(skatīt </w:t>
      </w:r>
      <w:r w:rsidR="000C4EDE" w:rsidRPr="000C4EDE">
        <w:rPr>
          <w:sz w:val="26"/>
          <w:szCs w:val="26"/>
        </w:rPr>
        <w:t>t</w:t>
      </w:r>
      <w:r w:rsidR="00A87344" w:rsidRPr="000C4EDE">
        <w:rPr>
          <w:sz w:val="26"/>
          <w:szCs w:val="26"/>
        </w:rPr>
        <w:t>abulu</w:t>
      </w:r>
      <w:r w:rsidR="000C4EDE" w:rsidRPr="000C4EDE">
        <w:rPr>
          <w:sz w:val="26"/>
          <w:szCs w:val="26"/>
        </w:rPr>
        <w:t xml:space="preserve"> Nr.9</w:t>
      </w:r>
      <w:r w:rsidR="00A87344" w:rsidRPr="000C4EDE">
        <w:rPr>
          <w:sz w:val="26"/>
          <w:szCs w:val="26"/>
        </w:rPr>
        <w:t>).</w:t>
      </w:r>
    </w:p>
    <w:p w14:paraId="3EDFD9AC" w14:textId="77777777" w:rsidR="00ED6458" w:rsidRDefault="00ED6458" w:rsidP="00ED6458">
      <w:pPr>
        <w:ind w:firstLine="709"/>
        <w:jc w:val="right"/>
        <w:rPr>
          <w:sz w:val="28"/>
          <w:szCs w:val="28"/>
        </w:rPr>
      </w:pPr>
    </w:p>
    <w:p w14:paraId="2CAE78EC" w14:textId="1051B0AC" w:rsidR="00ED6458" w:rsidRPr="00A87344" w:rsidRDefault="000C4EDE" w:rsidP="000C4EDE">
      <w:pPr>
        <w:ind w:firstLine="709"/>
        <w:jc w:val="right"/>
      </w:pPr>
      <w:r w:rsidRPr="000C4EDE">
        <w:t>T</w:t>
      </w:r>
      <w:r w:rsidR="00ED6458" w:rsidRPr="000C4EDE">
        <w:t>abula</w:t>
      </w:r>
      <w:r w:rsidRPr="000C4EDE">
        <w:t xml:space="preserve"> Nr.9</w:t>
      </w:r>
    </w:p>
    <w:p w14:paraId="3C61BC9E" w14:textId="222779EF" w:rsidR="00ED6458" w:rsidRPr="000C4EDE" w:rsidRDefault="00ED6458" w:rsidP="000322FA">
      <w:pPr>
        <w:jc w:val="right"/>
        <w:rPr>
          <w:bCs/>
        </w:rPr>
      </w:pPr>
      <w:r w:rsidRPr="000C4EDE">
        <w:rPr>
          <w:bCs/>
        </w:rPr>
        <w:t xml:space="preserve">Valsts budžeta bāzes finansējums </w:t>
      </w:r>
      <w:r w:rsidR="00905958" w:rsidRPr="000C4EDE">
        <w:rPr>
          <w:bCs/>
        </w:rPr>
        <w:t xml:space="preserve">31.06.00 </w:t>
      </w:r>
      <w:r w:rsidRPr="000C4EDE">
        <w:rPr>
          <w:bCs/>
        </w:rPr>
        <w:t>apakšprogrammā</w:t>
      </w:r>
      <w:r w:rsidR="00CE7E52" w:rsidRPr="000C4EDE">
        <w:rPr>
          <w:rStyle w:val="FootnoteReference"/>
          <w:bCs/>
        </w:rPr>
        <w:footnoteReference w:id="17"/>
      </w:r>
      <w:r w:rsidRPr="000C4EDE">
        <w:rPr>
          <w:bCs/>
        </w:rPr>
        <w:t>, papildus piešķirtais finansējums, kā arī finansējuma segums pār aprēķinātajiem un kompensējamajiem zaudējumiem sabiedriskā transporta pakalpojumu sniegšanā</w:t>
      </w:r>
    </w:p>
    <w:tbl>
      <w:tblPr>
        <w:tblW w:w="9356" w:type="dxa"/>
        <w:tblLook w:val="04A0" w:firstRow="1" w:lastRow="0" w:firstColumn="1" w:lastColumn="0" w:noHBand="0" w:noVBand="1"/>
      </w:tblPr>
      <w:tblGrid>
        <w:gridCol w:w="1909"/>
        <w:gridCol w:w="785"/>
        <w:gridCol w:w="1130"/>
        <w:gridCol w:w="988"/>
        <w:gridCol w:w="876"/>
        <w:gridCol w:w="844"/>
        <w:gridCol w:w="995"/>
        <w:gridCol w:w="931"/>
        <w:gridCol w:w="898"/>
      </w:tblGrid>
      <w:tr w:rsidR="00905958" w14:paraId="7E49EF53" w14:textId="021B7F76" w:rsidTr="00905958">
        <w:trPr>
          <w:trHeight w:val="300"/>
        </w:trPr>
        <w:tc>
          <w:tcPr>
            <w:tcW w:w="1909" w:type="dxa"/>
            <w:tcBorders>
              <w:top w:val="nil"/>
              <w:left w:val="nil"/>
              <w:bottom w:val="single" w:sz="4" w:space="0" w:color="auto"/>
              <w:right w:val="nil"/>
            </w:tcBorders>
            <w:noWrap/>
            <w:vAlign w:val="bottom"/>
            <w:hideMark/>
          </w:tcPr>
          <w:p w14:paraId="0C8DCCCC" w14:textId="77777777" w:rsidR="00905958" w:rsidRPr="00BA2C30" w:rsidRDefault="00905958">
            <w:pPr>
              <w:rPr>
                <w:sz w:val="22"/>
                <w:szCs w:val="22"/>
              </w:rPr>
            </w:pPr>
          </w:p>
        </w:tc>
        <w:tc>
          <w:tcPr>
            <w:tcW w:w="785" w:type="dxa"/>
            <w:tcBorders>
              <w:top w:val="single" w:sz="4" w:space="0" w:color="auto"/>
              <w:left w:val="single" w:sz="4" w:space="0" w:color="auto"/>
              <w:bottom w:val="nil"/>
              <w:right w:val="single" w:sz="4" w:space="0" w:color="auto"/>
            </w:tcBorders>
            <w:noWrap/>
            <w:vAlign w:val="bottom"/>
            <w:hideMark/>
          </w:tcPr>
          <w:p w14:paraId="36F667F4" w14:textId="080B0B98" w:rsidR="00905958" w:rsidRPr="00BA2C30" w:rsidRDefault="00905958">
            <w:pPr>
              <w:spacing w:line="256" w:lineRule="auto"/>
              <w:jc w:val="center"/>
              <w:rPr>
                <w:color w:val="000000"/>
                <w:sz w:val="22"/>
                <w:szCs w:val="22"/>
                <w:lang w:eastAsia="en-US"/>
              </w:rPr>
            </w:pPr>
            <w:r w:rsidRPr="00BA2C30">
              <w:rPr>
                <w:color w:val="000000"/>
                <w:sz w:val="22"/>
                <w:szCs w:val="22"/>
                <w:lang w:eastAsia="en-US"/>
              </w:rPr>
              <w:t>2015.</w:t>
            </w:r>
          </w:p>
          <w:p w14:paraId="25FEDE2C" w14:textId="77777777" w:rsidR="00905958" w:rsidRPr="00BA2C30" w:rsidRDefault="00905958">
            <w:pPr>
              <w:spacing w:line="256" w:lineRule="auto"/>
              <w:jc w:val="center"/>
              <w:rPr>
                <w:color w:val="000000"/>
                <w:sz w:val="22"/>
                <w:szCs w:val="22"/>
                <w:lang w:eastAsia="en-US"/>
              </w:rPr>
            </w:pPr>
            <w:r w:rsidRPr="00BA2C30">
              <w:rPr>
                <w:color w:val="000000"/>
                <w:sz w:val="22"/>
                <w:szCs w:val="22"/>
                <w:lang w:eastAsia="en-US"/>
              </w:rPr>
              <w:t>gads</w:t>
            </w:r>
          </w:p>
        </w:tc>
        <w:tc>
          <w:tcPr>
            <w:tcW w:w="1130" w:type="dxa"/>
            <w:tcBorders>
              <w:top w:val="single" w:sz="4" w:space="0" w:color="auto"/>
              <w:left w:val="nil"/>
              <w:bottom w:val="nil"/>
              <w:right w:val="single" w:sz="4" w:space="0" w:color="auto"/>
            </w:tcBorders>
            <w:noWrap/>
            <w:vAlign w:val="bottom"/>
            <w:hideMark/>
          </w:tcPr>
          <w:p w14:paraId="3D9E125B" w14:textId="6A45E880" w:rsidR="00905958" w:rsidRPr="00BA2C30" w:rsidRDefault="00905958">
            <w:pPr>
              <w:spacing w:line="256" w:lineRule="auto"/>
              <w:jc w:val="center"/>
              <w:rPr>
                <w:color w:val="000000"/>
                <w:sz w:val="22"/>
                <w:szCs w:val="22"/>
                <w:lang w:eastAsia="en-US"/>
              </w:rPr>
            </w:pPr>
            <w:r w:rsidRPr="00BA2C30">
              <w:rPr>
                <w:color w:val="000000"/>
                <w:sz w:val="22"/>
                <w:szCs w:val="22"/>
                <w:lang w:eastAsia="en-US"/>
              </w:rPr>
              <w:t>2016.</w:t>
            </w:r>
          </w:p>
          <w:p w14:paraId="7432F4C3" w14:textId="77777777" w:rsidR="00905958" w:rsidRPr="00BA2C30" w:rsidRDefault="00905958">
            <w:pPr>
              <w:spacing w:line="256" w:lineRule="auto"/>
              <w:jc w:val="center"/>
              <w:rPr>
                <w:color w:val="000000"/>
                <w:sz w:val="22"/>
                <w:szCs w:val="22"/>
                <w:lang w:eastAsia="en-US"/>
              </w:rPr>
            </w:pPr>
            <w:r w:rsidRPr="00BA2C30">
              <w:rPr>
                <w:color w:val="000000"/>
                <w:sz w:val="22"/>
                <w:szCs w:val="22"/>
                <w:lang w:eastAsia="en-US"/>
              </w:rPr>
              <w:t>gads</w:t>
            </w:r>
          </w:p>
        </w:tc>
        <w:tc>
          <w:tcPr>
            <w:tcW w:w="988" w:type="dxa"/>
            <w:tcBorders>
              <w:top w:val="single" w:sz="4" w:space="0" w:color="auto"/>
              <w:left w:val="nil"/>
              <w:bottom w:val="nil"/>
              <w:right w:val="single" w:sz="4" w:space="0" w:color="auto"/>
            </w:tcBorders>
            <w:noWrap/>
            <w:vAlign w:val="bottom"/>
            <w:hideMark/>
          </w:tcPr>
          <w:p w14:paraId="61E4D686" w14:textId="5D3BAE30" w:rsidR="00905958" w:rsidRPr="00BA2C30" w:rsidRDefault="00905958">
            <w:pPr>
              <w:spacing w:line="256" w:lineRule="auto"/>
              <w:jc w:val="center"/>
              <w:rPr>
                <w:color w:val="000000"/>
                <w:sz w:val="22"/>
                <w:szCs w:val="22"/>
                <w:lang w:eastAsia="en-US"/>
              </w:rPr>
            </w:pPr>
            <w:r w:rsidRPr="00BA2C30">
              <w:rPr>
                <w:color w:val="000000"/>
                <w:sz w:val="22"/>
                <w:szCs w:val="22"/>
                <w:lang w:eastAsia="en-US"/>
              </w:rPr>
              <w:t>2017.</w:t>
            </w:r>
          </w:p>
          <w:p w14:paraId="2306ABEC" w14:textId="77777777" w:rsidR="00905958" w:rsidRPr="00BA2C30" w:rsidRDefault="00905958">
            <w:pPr>
              <w:spacing w:line="256" w:lineRule="auto"/>
              <w:jc w:val="center"/>
              <w:rPr>
                <w:color w:val="000000"/>
                <w:sz w:val="22"/>
                <w:szCs w:val="22"/>
                <w:lang w:eastAsia="en-US"/>
              </w:rPr>
            </w:pPr>
            <w:r w:rsidRPr="00BA2C30">
              <w:rPr>
                <w:color w:val="000000"/>
                <w:sz w:val="22"/>
                <w:szCs w:val="22"/>
                <w:lang w:eastAsia="en-US"/>
              </w:rPr>
              <w:t>gads</w:t>
            </w:r>
          </w:p>
        </w:tc>
        <w:tc>
          <w:tcPr>
            <w:tcW w:w="876" w:type="dxa"/>
            <w:tcBorders>
              <w:top w:val="single" w:sz="4" w:space="0" w:color="auto"/>
              <w:left w:val="nil"/>
              <w:bottom w:val="nil"/>
              <w:right w:val="single" w:sz="4" w:space="0" w:color="auto"/>
            </w:tcBorders>
            <w:noWrap/>
            <w:vAlign w:val="bottom"/>
            <w:hideMark/>
          </w:tcPr>
          <w:p w14:paraId="51FE3D06" w14:textId="0155C6D4" w:rsidR="00905958" w:rsidRPr="00BA2C30" w:rsidRDefault="00905958">
            <w:pPr>
              <w:spacing w:line="256" w:lineRule="auto"/>
              <w:jc w:val="center"/>
              <w:rPr>
                <w:color w:val="000000"/>
                <w:sz w:val="22"/>
                <w:szCs w:val="22"/>
                <w:lang w:eastAsia="en-US"/>
              </w:rPr>
            </w:pPr>
            <w:r w:rsidRPr="00BA2C30">
              <w:rPr>
                <w:color w:val="000000"/>
                <w:sz w:val="22"/>
                <w:szCs w:val="22"/>
                <w:lang w:eastAsia="en-US"/>
              </w:rPr>
              <w:t>2018.</w:t>
            </w:r>
          </w:p>
          <w:p w14:paraId="2177E32D" w14:textId="77777777" w:rsidR="00905958" w:rsidRPr="00BA2C30" w:rsidRDefault="00905958">
            <w:pPr>
              <w:spacing w:line="256" w:lineRule="auto"/>
              <w:jc w:val="center"/>
              <w:rPr>
                <w:color w:val="000000"/>
                <w:sz w:val="22"/>
                <w:szCs w:val="22"/>
                <w:lang w:eastAsia="en-US"/>
              </w:rPr>
            </w:pPr>
            <w:r w:rsidRPr="00BA2C30">
              <w:rPr>
                <w:color w:val="000000"/>
                <w:sz w:val="22"/>
                <w:szCs w:val="22"/>
                <w:lang w:eastAsia="en-US"/>
              </w:rPr>
              <w:t>gads</w:t>
            </w:r>
          </w:p>
        </w:tc>
        <w:tc>
          <w:tcPr>
            <w:tcW w:w="844" w:type="dxa"/>
            <w:tcBorders>
              <w:top w:val="single" w:sz="4" w:space="0" w:color="auto"/>
              <w:left w:val="nil"/>
              <w:bottom w:val="nil"/>
              <w:right w:val="single" w:sz="4" w:space="0" w:color="auto"/>
            </w:tcBorders>
            <w:noWrap/>
            <w:vAlign w:val="bottom"/>
            <w:hideMark/>
          </w:tcPr>
          <w:p w14:paraId="1E9B51E2" w14:textId="77777777" w:rsidR="00905958" w:rsidRPr="00BA2C30" w:rsidRDefault="00905958">
            <w:pPr>
              <w:spacing w:line="256" w:lineRule="auto"/>
              <w:jc w:val="center"/>
              <w:rPr>
                <w:color w:val="000000"/>
                <w:sz w:val="22"/>
                <w:szCs w:val="22"/>
                <w:lang w:eastAsia="en-US"/>
              </w:rPr>
            </w:pPr>
            <w:r w:rsidRPr="00BA2C30">
              <w:rPr>
                <w:color w:val="000000"/>
                <w:sz w:val="22"/>
                <w:szCs w:val="22"/>
                <w:lang w:eastAsia="en-US"/>
              </w:rPr>
              <w:t>2019.</w:t>
            </w:r>
          </w:p>
          <w:p w14:paraId="0F530094" w14:textId="47A10A44" w:rsidR="00905958" w:rsidRPr="00BA2C30" w:rsidRDefault="00905958">
            <w:pPr>
              <w:spacing w:line="256" w:lineRule="auto"/>
              <w:jc w:val="center"/>
              <w:rPr>
                <w:color w:val="000000"/>
                <w:sz w:val="22"/>
                <w:szCs w:val="22"/>
                <w:lang w:eastAsia="en-US"/>
              </w:rPr>
            </w:pPr>
            <w:r w:rsidRPr="00BA2C30">
              <w:rPr>
                <w:color w:val="000000"/>
                <w:sz w:val="22"/>
                <w:szCs w:val="22"/>
                <w:lang w:eastAsia="en-US"/>
              </w:rPr>
              <w:t>gads</w:t>
            </w:r>
          </w:p>
        </w:tc>
        <w:tc>
          <w:tcPr>
            <w:tcW w:w="995" w:type="dxa"/>
            <w:tcBorders>
              <w:top w:val="single" w:sz="4" w:space="0" w:color="auto"/>
              <w:left w:val="nil"/>
              <w:bottom w:val="nil"/>
              <w:right w:val="single" w:sz="4" w:space="0" w:color="auto"/>
            </w:tcBorders>
          </w:tcPr>
          <w:p w14:paraId="091201C8" w14:textId="77777777" w:rsidR="00905958" w:rsidRPr="00BA2C30" w:rsidRDefault="00905958">
            <w:pPr>
              <w:spacing w:line="256" w:lineRule="auto"/>
              <w:jc w:val="center"/>
              <w:rPr>
                <w:color w:val="000000"/>
                <w:sz w:val="22"/>
                <w:szCs w:val="22"/>
                <w:lang w:eastAsia="en-US"/>
              </w:rPr>
            </w:pPr>
            <w:r w:rsidRPr="00BA2C30">
              <w:rPr>
                <w:color w:val="000000"/>
                <w:sz w:val="22"/>
                <w:szCs w:val="22"/>
                <w:lang w:eastAsia="en-US"/>
              </w:rPr>
              <w:t>2020.</w:t>
            </w:r>
          </w:p>
          <w:p w14:paraId="358EFA28" w14:textId="1447298F" w:rsidR="00905958" w:rsidRPr="00BA2C30" w:rsidRDefault="00905958">
            <w:pPr>
              <w:spacing w:line="256" w:lineRule="auto"/>
              <w:jc w:val="center"/>
              <w:rPr>
                <w:color w:val="000000"/>
                <w:sz w:val="22"/>
                <w:szCs w:val="22"/>
                <w:lang w:eastAsia="en-US"/>
              </w:rPr>
            </w:pPr>
            <w:r w:rsidRPr="00BA2C30">
              <w:rPr>
                <w:color w:val="000000"/>
                <w:sz w:val="22"/>
                <w:szCs w:val="22"/>
                <w:lang w:eastAsia="en-US"/>
              </w:rPr>
              <w:t>gads</w:t>
            </w:r>
          </w:p>
        </w:tc>
        <w:tc>
          <w:tcPr>
            <w:tcW w:w="931" w:type="dxa"/>
            <w:tcBorders>
              <w:top w:val="single" w:sz="4" w:space="0" w:color="auto"/>
              <w:left w:val="nil"/>
              <w:bottom w:val="single" w:sz="4" w:space="0" w:color="auto"/>
              <w:right w:val="single" w:sz="4" w:space="0" w:color="auto"/>
            </w:tcBorders>
          </w:tcPr>
          <w:p w14:paraId="4388370C" w14:textId="77777777" w:rsidR="00905958" w:rsidRPr="00BA2C30" w:rsidRDefault="00905958">
            <w:pPr>
              <w:spacing w:line="256" w:lineRule="auto"/>
              <w:jc w:val="center"/>
              <w:rPr>
                <w:color w:val="000000"/>
                <w:sz w:val="22"/>
                <w:szCs w:val="22"/>
                <w:lang w:eastAsia="en-US"/>
              </w:rPr>
            </w:pPr>
            <w:r w:rsidRPr="00BA2C30">
              <w:rPr>
                <w:color w:val="000000"/>
                <w:sz w:val="22"/>
                <w:szCs w:val="22"/>
                <w:lang w:eastAsia="en-US"/>
              </w:rPr>
              <w:t>2021.</w:t>
            </w:r>
          </w:p>
          <w:p w14:paraId="34828B39" w14:textId="3FF8B6C3" w:rsidR="00905958" w:rsidRPr="00BA2C30" w:rsidRDefault="00905958">
            <w:pPr>
              <w:spacing w:line="256" w:lineRule="auto"/>
              <w:jc w:val="center"/>
              <w:rPr>
                <w:color w:val="000000"/>
                <w:sz w:val="22"/>
                <w:szCs w:val="22"/>
                <w:lang w:eastAsia="en-US"/>
              </w:rPr>
            </w:pPr>
            <w:r w:rsidRPr="00BA2C30">
              <w:rPr>
                <w:color w:val="000000"/>
                <w:sz w:val="22"/>
                <w:szCs w:val="22"/>
                <w:lang w:eastAsia="en-US"/>
              </w:rPr>
              <w:t>gads</w:t>
            </w:r>
          </w:p>
        </w:tc>
        <w:tc>
          <w:tcPr>
            <w:tcW w:w="898" w:type="dxa"/>
            <w:tcBorders>
              <w:top w:val="single" w:sz="4" w:space="0" w:color="auto"/>
              <w:left w:val="single" w:sz="4" w:space="0" w:color="auto"/>
              <w:bottom w:val="single" w:sz="4" w:space="0" w:color="auto"/>
              <w:right w:val="single" w:sz="4" w:space="0" w:color="auto"/>
            </w:tcBorders>
          </w:tcPr>
          <w:p w14:paraId="25AF6960" w14:textId="77777777" w:rsidR="00905958" w:rsidRPr="00BA2C30" w:rsidRDefault="00905958">
            <w:pPr>
              <w:spacing w:line="256" w:lineRule="auto"/>
              <w:jc w:val="center"/>
              <w:rPr>
                <w:color w:val="000000"/>
                <w:sz w:val="22"/>
                <w:szCs w:val="22"/>
                <w:lang w:eastAsia="en-US"/>
              </w:rPr>
            </w:pPr>
            <w:r w:rsidRPr="00BA2C30">
              <w:rPr>
                <w:color w:val="000000"/>
                <w:sz w:val="22"/>
                <w:szCs w:val="22"/>
                <w:lang w:eastAsia="en-US"/>
              </w:rPr>
              <w:t>2022.</w:t>
            </w:r>
          </w:p>
          <w:p w14:paraId="73F58318" w14:textId="604AED52" w:rsidR="00905958" w:rsidRPr="00BA2C30" w:rsidRDefault="00307BC3">
            <w:pPr>
              <w:spacing w:line="256" w:lineRule="auto"/>
              <w:jc w:val="center"/>
              <w:rPr>
                <w:color w:val="000000"/>
                <w:sz w:val="22"/>
                <w:szCs w:val="22"/>
                <w:lang w:eastAsia="en-US"/>
              </w:rPr>
            </w:pPr>
            <w:r>
              <w:rPr>
                <w:color w:val="000000"/>
                <w:sz w:val="22"/>
                <w:szCs w:val="22"/>
                <w:lang w:eastAsia="en-US"/>
              </w:rPr>
              <w:t>g</w:t>
            </w:r>
            <w:r w:rsidR="00905958" w:rsidRPr="00BA2C30">
              <w:rPr>
                <w:color w:val="000000"/>
                <w:sz w:val="22"/>
                <w:szCs w:val="22"/>
                <w:lang w:eastAsia="en-US"/>
              </w:rPr>
              <w:t>ads</w:t>
            </w:r>
          </w:p>
        </w:tc>
      </w:tr>
      <w:tr w:rsidR="00905958" w14:paraId="22FEF826" w14:textId="2CB31686" w:rsidTr="00CE7E52">
        <w:trPr>
          <w:trHeight w:val="300"/>
        </w:trPr>
        <w:tc>
          <w:tcPr>
            <w:tcW w:w="1909" w:type="dxa"/>
            <w:tcBorders>
              <w:top w:val="single" w:sz="4" w:space="0" w:color="auto"/>
              <w:left w:val="single" w:sz="4" w:space="0" w:color="auto"/>
              <w:bottom w:val="single" w:sz="4" w:space="0" w:color="auto"/>
              <w:right w:val="nil"/>
            </w:tcBorders>
            <w:noWrap/>
            <w:vAlign w:val="bottom"/>
            <w:hideMark/>
          </w:tcPr>
          <w:p w14:paraId="756F40E1" w14:textId="77777777" w:rsidR="00905958" w:rsidRPr="00BA2C30" w:rsidRDefault="00905958">
            <w:pPr>
              <w:spacing w:line="256" w:lineRule="auto"/>
              <w:rPr>
                <w:sz w:val="22"/>
                <w:szCs w:val="22"/>
                <w:lang w:eastAsia="en-US"/>
              </w:rPr>
            </w:pPr>
            <w:r w:rsidRPr="00BA2C30">
              <w:rPr>
                <w:color w:val="000000"/>
                <w:sz w:val="22"/>
                <w:szCs w:val="22"/>
                <w:lang w:eastAsia="en-US"/>
              </w:rPr>
              <w:t>Valsts budžeta bāzes finansējums</w:t>
            </w:r>
          </w:p>
        </w:tc>
        <w:tc>
          <w:tcPr>
            <w:tcW w:w="785" w:type="dxa"/>
            <w:tcBorders>
              <w:top w:val="single" w:sz="4" w:space="0" w:color="auto"/>
              <w:left w:val="single" w:sz="4" w:space="0" w:color="auto"/>
              <w:bottom w:val="nil"/>
              <w:right w:val="single" w:sz="4" w:space="0" w:color="auto"/>
            </w:tcBorders>
            <w:noWrap/>
            <w:vAlign w:val="center"/>
            <w:hideMark/>
          </w:tcPr>
          <w:p w14:paraId="4818F026" w14:textId="66CB41C9" w:rsidR="00905958" w:rsidRPr="00BA2C30" w:rsidRDefault="00905958">
            <w:pPr>
              <w:spacing w:line="256" w:lineRule="auto"/>
              <w:jc w:val="center"/>
              <w:rPr>
                <w:color w:val="000000"/>
                <w:sz w:val="22"/>
                <w:szCs w:val="22"/>
                <w:lang w:eastAsia="en-US"/>
              </w:rPr>
            </w:pPr>
            <w:r w:rsidRPr="00BA2C30">
              <w:rPr>
                <w:color w:val="000000"/>
                <w:sz w:val="22"/>
                <w:szCs w:val="22"/>
                <w:lang w:eastAsia="en-US"/>
              </w:rPr>
              <w:t>53,72</w:t>
            </w:r>
          </w:p>
        </w:tc>
        <w:tc>
          <w:tcPr>
            <w:tcW w:w="1130" w:type="dxa"/>
            <w:tcBorders>
              <w:top w:val="single" w:sz="4" w:space="0" w:color="auto"/>
              <w:left w:val="nil"/>
              <w:bottom w:val="nil"/>
              <w:right w:val="single" w:sz="4" w:space="0" w:color="auto"/>
            </w:tcBorders>
            <w:noWrap/>
            <w:vAlign w:val="center"/>
            <w:hideMark/>
          </w:tcPr>
          <w:p w14:paraId="7FC1B7BE" w14:textId="5FEDA99B" w:rsidR="00905958" w:rsidRPr="00BA2C30" w:rsidRDefault="00905958">
            <w:pPr>
              <w:spacing w:line="256" w:lineRule="auto"/>
              <w:jc w:val="center"/>
              <w:rPr>
                <w:color w:val="000000"/>
                <w:sz w:val="22"/>
                <w:szCs w:val="22"/>
                <w:lang w:eastAsia="en-US"/>
              </w:rPr>
            </w:pPr>
            <w:r w:rsidRPr="00BA2C30">
              <w:rPr>
                <w:color w:val="000000"/>
                <w:sz w:val="22"/>
                <w:szCs w:val="22"/>
                <w:lang w:eastAsia="en-US"/>
              </w:rPr>
              <w:t>53,80</w:t>
            </w:r>
          </w:p>
        </w:tc>
        <w:tc>
          <w:tcPr>
            <w:tcW w:w="988" w:type="dxa"/>
            <w:tcBorders>
              <w:top w:val="single" w:sz="4" w:space="0" w:color="auto"/>
              <w:left w:val="nil"/>
              <w:bottom w:val="nil"/>
              <w:right w:val="single" w:sz="4" w:space="0" w:color="auto"/>
            </w:tcBorders>
            <w:noWrap/>
            <w:vAlign w:val="center"/>
            <w:hideMark/>
          </w:tcPr>
          <w:p w14:paraId="45B30157" w14:textId="13135B68" w:rsidR="00905958" w:rsidRPr="00BA2C30" w:rsidRDefault="00905958">
            <w:pPr>
              <w:spacing w:line="256" w:lineRule="auto"/>
              <w:jc w:val="center"/>
              <w:rPr>
                <w:color w:val="000000"/>
                <w:sz w:val="22"/>
                <w:szCs w:val="22"/>
                <w:lang w:eastAsia="en-US"/>
              </w:rPr>
            </w:pPr>
            <w:r w:rsidRPr="00BA2C30">
              <w:rPr>
                <w:color w:val="000000"/>
                <w:sz w:val="22"/>
                <w:szCs w:val="22"/>
                <w:lang w:eastAsia="en-US"/>
              </w:rPr>
              <w:t>57,42</w:t>
            </w:r>
          </w:p>
        </w:tc>
        <w:tc>
          <w:tcPr>
            <w:tcW w:w="876" w:type="dxa"/>
            <w:tcBorders>
              <w:top w:val="single" w:sz="4" w:space="0" w:color="auto"/>
              <w:left w:val="nil"/>
              <w:bottom w:val="nil"/>
              <w:right w:val="single" w:sz="4" w:space="0" w:color="auto"/>
            </w:tcBorders>
            <w:noWrap/>
            <w:vAlign w:val="center"/>
            <w:hideMark/>
          </w:tcPr>
          <w:p w14:paraId="7F473042" w14:textId="30FC5928" w:rsidR="00905958" w:rsidRPr="00BA2C30" w:rsidRDefault="00905958">
            <w:pPr>
              <w:spacing w:line="256" w:lineRule="auto"/>
              <w:jc w:val="center"/>
              <w:rPr>
                <w:color w:val="000000"/>
                <w:sz w:val="22"/>
                <w:szCs w:val="22"/>
                <w:lang w:eastAsia="en-US"/>
              </w:rPr>
            </w:pPr>
            <w:r w:rsidRPr="00BA2C30">
              <w:rPr>
                <w:color w:val="000000"/>
                <w:sz w:val="22"/>
                <w:szCs w:val="22"/>
                <w:lang w:eastAsia="en-US"/>
              </w:rPr>
              <w:t>61,60</w:t>
            </w:r>
          </w:p>
        </w:tc>
        <w:tc>
          <w:tcPr>
            <w:tcW w:w="844" w:type="dxa"/>
            <w:tcBorders>
              <w:top w:val="single" w:sz="4" w:space="0" w:color="auto"/>
              <w:left w:val="nil"/>
              <w:bottom w:val="nil"/>
              <w:right w:val="single" w:sz="4" w:space="0" w:color="auto"/>
            </w:tcBorders>
            <w:noWrap/>
            <w:vAlign w:val="center"/>
            <w:hideMark/>
          </w:tcPr>
          <w:p w14:paraId="69134305" w14:textId="12039ADC" w:rsidR="00905958" w:rsidRPr="00BA2C30" w:rsidRDefault="00905958" w:rsidP="00CE7E52">
            <w:pPr>
              <w:spacing w:line="256" w:lineRule="auto"/>
              <w:jc w:val="center"/>
              <w:rPr>
                <w:color w:val="000000"/>
                <w:sz w:val="22"/>
                <w:szCs w:val="22"/>
                <w:lang w:eastAsia="en-US"/>
              </w:rPr>
            </w:pPr>
            <w:r w:rsidRPr="00BA2C30">
              <w:rPr>
                <w:color w:val="000000"/>
                <w:sz w:val="22"/>
                <w:szCs w:val="22"/>
                <w:lang w:eastAsia="en-US"/>
              </w:rPr>
              <w:t>61,30</w:t>
            </w:r>
          </w:p>
        </w:tc>
        <w:tc>
          <w:tcPr>
            <w:tcW w:w="995" w:type="dxa"/>
            <w:tcBorders>
              <w:top w:val="single" w:sz="4" w:space="0" w:color="auto"/>
              <w:left w:val="nil"/>
              <w:bottom w:val="nil"/>
              <w:right w:val="single" w:sz="4" w:space="0" w:color="auto"/>
            </w:tcBorders>
            <w:vAlign w:val="center"/>
          </w:tcPr>
          <w:p w14:paraId="5F84486C" w14:textId="0F5B3BD3" w:rsidR="00905958" w:rsidRPr="00BA2C30" w:rsidRDefault="00905958" w:rsidP="00CE7E52">
            <w:pPr>
              <w:spacing w:line="256" w:lineRule="auto"/>
              <w:jc w:val="center"/>
              <w:rPr>
                <w:color w:val="000000"/>
                <w:sz w:val="22"/>
                <w:szCs w:val="22"/>
                <w:lang w:eastAsia="en-US"/>
              </w:rPr>
            </w:pPr>
            <w:r w:rsidRPr="00BA2C30">
              <w:rPr>
                <w:color w:val="000000"/>
                <w:sz w:val="22"/>
                <w:szCs w:val="22"/>
                <w:lang w:eastAsia="en-US"/>
              </w:rPr>
              <w:t>61,60</w:t>
            </w:r>
          </w:p>
        </w:tc>
        <w:tc>
          <w:tcPr>
            <w:tcW w:w="931" w:type="dxa"/>
            <w:tcBorders>
              <w:top w:val="single" w:sz="4" w:space="0" w:color="auto"/>
              <w:left w:val="nil"/>
              <w:bottom w:val="single" w:sz="4" w:space="0" w:color="auto"/>
              <w:right w:val="single" w:sz="4" w:space="0" w:color="auto"/>
            </w:tcBorders>
            <w:vAlign w:val="center"/>
          </w:tcPr>
          <w:p w14:paraId="6D5934FD" w14:textId="1F894A70" w:rsidR="00905958" w:rsidRPr="00BA2C30" w:rsidRDefault="00905958" w:rsidP="00CE7E52">
            <w:pPr>
              <w:spacing w:line="256" w:lineRule="auto"/>
              <w:jc w:val="center"/>
              <w:rPr>
                <w:color w:val="000000"/>
                <w:sz w:val="22"/>
                <w:szCs w:val="22"/>
                <w:lang w:eastAsia="en-US"/>
              </w:rPr>
            </w:pPr>
            <w:r w:rsidRPr="00BA2C30">
              <w:rPr>
                <w:color w:val="000000"/>
                <w:sz w:val="22"/>
                <w:szCs w:val="22"/>
                <w:lang w:eastAsia="en-US"/>
              </w:rPr>
              <w:t>61,60</w:t>
            </w:r>
          </w:p>
        </w:tc>
        <w:tc>
          <w:tcPr>
            <w:tcW w:w="898" w:type="dxa"/>
            <w:tcBorders>
              <w:top w:val="single" w:sz="4" w:space="0" w:color="auto"/>
              <w:left w:val="single" w:sz="4" w:space="0" w:color="auto"/>
              <w:bottom w:val="single" w:sz="4" w:space="0" w:color="auto"/>
              <w:right w:val="single" w:sz="4" w:space="0" w:color="auto"/>
            </w:tcBorders>
            <w:vAlign w:val="center"/>
          </w:tcPr>
          <w:p w14:paraId="6D73E553" w14:textId="7915FD01" w:rsidR="00905958" w:rsidRPr="00BA2C30" w:rsidRDefault="00905958" w:rsidP="00CE7E52">
            <w:pPr>
              <w:spacing w:line="256" w:lineRule="auto"/>
              <w:jc w:val="center"/>
              <w:rPr>
                <w:color w:val="000000"/>
                <w:sz w:val="22"/>
                <w:szCs w:val="22"/>
                <w:lang w:eastAsia="en-US"/>
              </w:rPr>
            </w:pPr>
            <w:r w:rsidRPr="00BA2C30">
              <w:rPr>
                <w:color w:val="000000"/>
                <w:sz w:val="22"/>
                <w:szCs w:val="22"/>
                <w:lang w:eastAsia="en-US"/>
              </w:rPr>
              <w:t>70,29</w:t>
            </w:r>
          </w:p>
        </w:tc>
      </w:tr>
      <w:tr w:rsidR="00905958" w14:paraId="733D4F92" w14:textId="12318868" w:rsidTr="00CE7E52">
        <w:trPr>
          <w:trHeight w:val="300"/>
        </w:trPr>
        <w:tc>
          <w:tcPr>
            <w:tcW w:w="1909" w:type="dxa"/>
            <w:tcBorders>
              <w:top w:val="single" w:sz="4" w:space="0" w:color="auto"/>
              <w:left w:val="single" w:sz="4" w:space="0" w:color="auto"/>
              <w:bottom w:val="single" w:sz="4" w:space="0" w:color="auto"/>
              <w:right w:val="nil"/>
            </w:tcBorders>
            <w:noWrap/>
            <w:vAlign w:val="bottom"/>
            <w:hideMark/>
          </w:tcPr>
          <w:p w14:paraId="2A82A1C6" w14:textId="77777777" w:rsidR="00905958" w:rsidRPr="00BA2C30" w:rsidRDefault="00905958">
            <w:pPr>
              <w:spacing w:line="256" w:lineRule="auto"/>
              <w:rPr>
                <w:sz w:val="22"/>
                <w:szCs w:val="22"/>
                <w:lang w:eastAsia="en-US"/>
              </w:rPr>
            </w:pPr>
            <w:r w:rsidRPr="00BA2C30">
              <w:rPr>
                <w:color w:val="000000"/>
                <w:sz w:val="22"/>
                <w:szCs w:val="22"/>
                <w:lang w:eastAsia="en-US"/>
              </w:rPr>
              <w:t xml:space="preserve">Papildus piešķirtais </w:t>
            </w:r>
            <w:r w:rsidRPr="00BA2C30">
              <w:rPr>
                <w:color w:val="000000"/>
                <w:sz w:val="22"/>
                <w:szCs w:val="22"/>
                <w:lang w:eastAsia="en-US"/>
              </w:rPr>
              <w:lastRenderedPageBreak/>
              <w:t>finansējums, tai skaitā par iepriekšējo periodu nesegtajiem zaudējumiem</w:t>
            </w:r>
          </w:p>
        </w:tc>
        <w:tc>
          <w:tcPr>
            <w:tcW w:w="785" w:type="dxa"/>
            <w:tcBorders>
              <w:top w:val="single" w:sz="4" w:space="0" w:color="auto"/>
              <w:left w:val="single" w:sz="4" w:space="0" w:color="auto"/>
              <w:bottom w:val="nil"/>
              <w:right w:val="single" w:sz="4" w:space="0" w:color="auto"/>
            </w:tcBorders>
            <w:noWrap/>
            <w:vAlign w:val="center"/>
          </w:tcPr>
          <w:p w14:paraId="7084E5D8" w14:textId="1129AA71" w:rsidR="00905958" w:rsidRPr="00BA2C30" w:rsidRDefault="00905958">
            <w:pPr>
              <w:spacing w:line="256" w:lineRule="auto"/>
              <w:jc w:val="center"/>
              <w:rPr>
                <w:color w:val="000000"/>
                <w:sz w:val="22"/>
                <w:szCs w:val="22"/>
                <w:lang w:eastAsia="en-US"/>
              </w:rPr>
            </w:pPr>
            <w:r w:rsidRPr="00BA2C30">
              <w:rPr>
                <w:color w:val="000000"/>
                <w:sz w:val="22"/>
                <w:szCs w:val="22"/>
                <w:lang w:eastAsia="en-US"/>
              </w:rPr>
              <w:lastRenderedPageBreak/>
              <w:t>2,171</w:t>
            </w:r>
          </w:p>
        </w:tc>
        <w:tc>
          <w:tcPr>
            <w:tcW w:w="1130" w:type="dxa"/>
            <w:tcBorders>
              <w:top w:val="single" w:sz="4" w:space="0" w:color="auto"/>
              <w:left w:val="nil"/>
              <w:bottom w:val="nil"/>
              <w:right w:val="single" w:sz="4" w:space="0" w:color="auto"/>
            </w:tcBorders>
            <w:noWrap/>
            <w:vAlign w:val="center"/>
          </w:tcPr>
          <w:p w14:paraId="35728329" w14:textId="7177D7FE" w:rsidR="00905958" w:rsidRPr="00BA2C30" w:rsidRDefault="00905958">
            <w:pPr>
              <w:spacing w:line="256" w:lineRule="auto"/>
              <w:jc w:val="center"/>
              <w:rPr>
                <w:color w:val="000000"/>
                <w:sz w:val="22"/>
                <w:szCs w:val="22"/>
                <w:lang w:eastAsia="en-US"/>
              </w:rPr>
            </w:pPr>
          </w:p>
        </w:tc>
        <w:tc>
          <w:tcPr>
            <w:tcW w:w="988" w:type="dxa"/>
            <w:tcBorders>
              <w:top w:val="single" w:sz="4" w:space="0" w:color="auto"/>
              <w:left w:val="nil"/>
              <w:bottom w:val="nil"/>
              <w:right w:val="single" w:sz="4" w:space="0" w:color="auto"/>
            </w:tcBorders>
            <w:noWrap/>
            <w:vAlign w:val="center"/>
          </w:tcPr>
          <w:p w14:paraId="051E80C2" w14:textId="7D686D23" w:rsidR="00905958" w:rsidRPr="00BA2C30" w:rsidRDefault="00905958">
            <w:pPr>
              <w:spacing w:line="256" w:lineRule="auto"/>
              <w:jc w:val="center"/>
              <w:rPr>
                <w:color w:val="000000"/>
                <w:sz w:val="22"/>
                <w:szCs w:val="22"/>
                <w:lang w:eastAsia="en-US"/>
              </w:rPr>
            </w:pPr>
            <w:r w:rsidRPr="00BA2C30">
              <w:rPr>
                <w:color w:val="000000"/>
                <w:sz w:val="22"/>
                <w:szCs w:val="22"/>
                <w:lang w:eastAsia="en-US"/>
              </w:rPr>
              <w:t>10,26</w:t>
            </w:r>
          </w:p>
        </w:tc>
        <w:tc>
          <w:tcPr>
            <w:tcW w:w="876" w:type="dxa"/>
            <w:tcBorders>
              <w:top w:val="single" w:sz="4" w:space="0" w:color="auto"/>
              <w:left w:val="nil"/>
              <w:bottom w:val="nil"/>
              <w:right w:val="single" w:sz="4" w:space="0" w:color="auto"/>
            </w:tcBorders>
            <w:noWrap/>
            <w:vAlign w:val="center"/>
          </w:tcPr>
          <w:p w14:paraId="7E3E432D" w14:textId="73854264" w:rsidR="00905958" w:rsidRPr="00BA2C30" w:rsidRDefault="00905958">
            <w:pPr>
              <w:spacing w:line="256" w:lineRule="auto"/>
              <w:jc w:val="center"/>
              <w:rPr>
                <w:color w:val="000000"/>
                <w:sz w:val="22"/>
                <w:szCs w:val="22"/>
                <w:lang w:eastAsia="en-US"/>
              </w:rPr>
            </w:pPr>
            <w:r w:rsidRPr="00BA2C30">
              <w:rPr>
                <w:color w:val="000000"/>
                <w:sz w:val="22"/>
                <w:szCs w:val="22"/>
                <w:lang w:eastAsia="en-US"/>
              </w:rPr>
              <w:t>12,55</w:t>
            </w:r>
          </w:p>
        </w:tc>
        <w:tc>
          <w:tcPr>
            <w:tcW w:w="844" w:type="dxa"/>
            <w:tcBorders>
              <w:top w:val="single" w:sz="4" w:space="0" w:color="auto"/>
              <w:left w:val="nil"/>
              <w:bottom w:val="nil"/>
              <w:right w:val="single" w:sz="4" w:space="0" w:color="auto"/>
            </w:tcBorders>
            <w:noWrap/>
            <w:vAlign w:val="center"/>
          </w:tcPr>
          <w:p w14:paraId="35A41819" w14:textId="1F43F8EB" w:rsidR="00905958" w:rsidRPr="00BA2C30" w:rsidRDefault="00905958" w:rsidP="00CE7E52">
            <w:pPr>
              <w:spacing w:line="256" w:lineRule="auto"/>
              <w:jc w:val="center"/>
              <w:rPr>
                <w:color w:val="000000"/>
                <w:sz w:val="22"/>
                <w:szCs w:val="22"/>
                <w:lang w:eastAsia="en-US"/>
              </w:rPr>
            </w:pPr>
            <w:r w:rsidRPr="00BA2C30">
              <w:rPr>
                <w:color w:val="000000"/>
                <w:sz w:val="22"/>
                <w:szCs w:val="22"/>
                <w:lang w:eastAsia="en-US"/>
              </w:rPr>
              <w:t>16,36</w:t>
            </w:r>
          </w:p>
        </w:tc>
        <w:tc>
          <w:tcPr>
            <w:tcW w:w="995" w:type="dxa"/>
            <w:tcBorders>
              <w:top w:val="single" w:sz="4" w:space="0" w:color="auto"/>
              <w:left w:val="nil"/>
              <w:bottom w:val="nil"/>
              <w:right w:val="single" w:sz="4" w:space="0" w:color="auto"/>
            </w:tcBorders>
            <w:vAlign w:val="center"/>
          </w:tcPr>
          <w:p w14:paraId="271593A0" w14:textId="670AB98B" w:rsidR="00905958" w:rsidRPr="00BA2C30" w:rsidRDefault="00905958" w:rsidP="00CE7E52">
            <w:pPr>
              <w:spacing w:line="256" w:lineRule="auto"/>
              <w:jc w:val="center"/>
              <w:rPr>
                <w:color w:val="000000"/>
                <w:sz w:val="22"/>
                <w:szCs w:val="22"/>
                <w:lang w:eastAsia="en-US"/>
              </w:rPr>
            </w:pPr>
            <w:r w:rsidRPr="00BA2C30">
              <w:rPr>
                <w:color w:val="000000"/>
                <w:sz w:val="22"/>
                <w:szCs w:val="22"/>
                <w:lang w:eastAsia="en-US"/>
              </w:rPr>
              <w:t>24,5</w:t>
            </w:r>
          </w:p>
        </w:tc>
        <w:tc>
          <w:tcPr>
            <w:tcW w:w="931" w:type="dxa"/>
            <w:tcBorders>
              <w:top w:val="single" w:sz="4" w:space="0" w:color="auto"/>
              <w:left w:val="nil"/>
              <w:bottom w:val="single" w:sz="4" w:space="0" w:color="auto"/>
              <w:right w:val="single" w:sz="4" w:space="0" w:color="auto"/>
            </w:tcBorders>
            <w:vAlign w:val="center"/>
          </w:tcPr>
          <w:p w14:paraId="0ACBC21D" w14:textId="403BEA26" w:rsidR="00905958" w:rsidRPr="00BA2C30" w:rsidRDefault="00905958" w:rsidP="00CE7E52">
            <w:pPr>
              <w:spacing w:line="256" w:lineRule="auto"/>
              <w:jc w:val="center"/>
              <w:rPr>
                <w:color w:val="000000"/>
                <w:sz w:val="22"/>
                <w:szCs w:val="22"/>
                <w:lang w:eastAsia="en-US"/>
              </w:rPr>
            </w:pPr>
            <w:r w:rsidRPr="00BA2C30">
              <w:rPr>
                <w:color w:val="000000"/>
                <w:sz w:val="22"/>
                <w:szCs w:val="22"/>
                <w:lang w:eastAsia="en-US"/>
              </w:rPr>
              <w:t>36,42</w:t>
            </w:r>
          </w:p>
        </w:tc>
        <w:tc>
          <w:tcPr>
            <w:tcW w:w="898" w:type="dxa"/>
            <w:tcBorders>
              <w:top w:val="single" w:sz="4" w:space="0" w:color="auto"/>
              <w:left w:val="single" w:sz="4" w:space="0" w:color="auto"/>
              <w:bottom w:val="single" w:sz="4" w:space="0" w:color="auto"/>
              <w:right w:val="single" w:sz="4" w:space="0" w:color="auto"/>
            </w:tcBorders>
            <w:vAlign w:val="center"/>
          </w:tcPr>
          <w:p w14:paraId="114ABCF3" w14:textId="1B6C9A1D" w:rsidR="00905958" w:rsidRPr="00BA2C30" w:rsidRDefault="00905958" w:rsidP="00CE7E52">
            <w:pPr>
              <w:spacing w:line="256" w:lineRule="auto"/>
              <w:jc w:val="center"/>
              <w:rPr>
                <w:color w:val="000000"/>
                <w:sz w:val="22"/>
                <w:szCs w:val="22"/>
                <w:lang w:eastAsia="en-US"/>
              </w:rPr>
            </w:pPr>
            <w:r w:rsidRPr="00BA2C30">
              <w:rPr>
                <w:color w:val="000000"/>
                <w:sz w:val="22"/>
                <w:szCs w:val="22"/>
                <w:lang w:eastAsia="en-US"/>
              </w:rPr>
              <w:t>29,9</w:t>
            </w:r>
          </w:p>
        </w:tc>
      </w:tr>
      <w:tr w:rsidR="00905958" w14:paraId="34D67C26" w14:textId="7B3F6E78" w:rsidTr="00CE7E52">
        <w:trPr>
          <w:trHeight w:val="300"/>
        </w:trPr>
        <w:tc>
          <w:tcPr>
            <w:tcW w:w="1909" w:type="dxa"/>
            <w:tcBorders>
              <w:top w:val="single" w:sz="4" w:space="0" w:color="auto"/>
              <w:left w:val="single" w:sz="4" w:space="0" w:color="auto"/>
              <w:bottom w:val="single" w:sz="4" w:space="0" w:color="auto"/>
              <w:right w:val="single" w:sz="4" w:space="0" w:color="auto"/>
            </w:tcBorders>
            <w:noWrap/>
            <w:vAlign w:val="bottom"/>
            <w:hideMark/>
          </w:tcPr>
          <w:p w14:paraId="122281BD" w14:textId="77777777" w:rsidR="00905958" w:rsidRPr="00BA2C30" w:rsidRDefault="00905958">
            <w:pPr>
              <w:spacing w:line="256" w:lineRule="auto"/>
              <w:rPr>
                <w:color w:val="000000"/>
                <w:sz w:val="22"/>
                <w:szCs w:val="22"/>
                <w:lang w:eastAsia="en-US"/>
              </w:rPr>
            </w:pPr>
            <w:r w:rsidRPr="00BA2C30">
              <w:rPr>
                <w:color w:val="000000"/>
                <w:sz w:val="22"/>
                <w:szCs w:val="22"/>
                <w:lang w:eastAsia="en-US"/>
              </w:rPr>
              <w:t>Valsts budžeta bāzes finansējuma segums pār kompensējamiem zaudējumiem</w:t>
            </w:r>
          </w:p>
        </w:tc>
        <w:tc>
          <w:tcPr>
            <w:tcW w:w="785" w:type="dxa"/>
            <w:tcBorders>
              <w:top w:val="single" w:sz="4" w:space="0" w:color="auto"/>
              <w:left w:val="nil"/>
              <w:bottom w:val="single" w:sz="4" w:space="0" w:color="auto"/>
              <w:right w:val="single" w:sz="4" w:space="0" w:color="auto"/>
            </w:tcBorders>
            <w:noWrap/>
            <w:vAlign w:val="center"/>
            <w:hideMark/>
          </w:tcPr>
          <w:p w14:paraId="50D7E023" w14:textId="0E20E08B" w:rsidR="00905958" w:rsidRPr="00BA2C30" w:rsidRDefault="00CE7E52">
            <w:pPr>
              <w:spacing w:line="256" w:lineRule="auto"/>
              <w:jc w:val="center"/>
              <w:rPr>
                <w:color w:val="000000"/>
                <w:sz w:val="22"/>
                <w:szCs w:val="22"/>
                <w:lang w:eastAsia="en-US"/>
              </w:rPr>
            </w:pPr>
            <w:r w:rsidRPr="00BA2C30">
              <w:rPr>
                <w:color w:val="000000"/>
                <w:sz w:val="22"/>
                <w:szCs w:val="22"/>
                <w:lang w:eastAsia="en-US"/>
              </w:rPr>
              <w:t>96</w:t>
            </w:r>
            <w:r w:rsidR="00905958" w:rsidRPr="00BA2C30">
              <w:rPr>
                <w:color w:val="000000"/>
                <w:sz w:val="22"/>
                <w:szCs w:val="22"/>
                <w:lang w:eastAsia="en-US"/>
              </w:rPr>
              <w:t>%</w:t>
            </w:r>
          </w:p>
        </w:tc>
        <w:tc>
          <w:tcPr>
            <w:tcW w:w="1130" w:type="dxa"/>
            <w:tcBorders>
              <w:top w:val="single" w:sz="4" w:space="0" w:color="auto"/>
              <w:left w:val="nil"/>
              <w:bottom w:val="single" w:sz="4" w:space="0" w:color="auto"/>
              <w:right w:val="single" w:sz="4" w:space="0" w:color="auto"/>
            </w:tcBorders>
            <w:noWrap/>
            <w:vAlign w:val="center"/>
            <w:hideMark/>
          </w:tcPr>
          <w:p w14:paraId="04BE8C90" w14:textId="30DC18E6" w:rsidR="00905958" w:rsidRPr="00BA2C30" w:rsidRDefault="00CE7E52">
            <w:pPr>
              <w:spacing w:line="256" w:lineRule="auto"/>
              <w:jc w:val="center"/>
              <w:rPr>
                <w:color w:val="000000"/>
                <w:sz w:val="22"/>
                <w:szCs w:val="22"/>
                <w:lang w:eastAsia="en-US"/>
              </w:rPr>
            </w:pPr>
            <w:r w:rsidRPr="00BA2C30">
              <w:rPr>
                <w:color w:val="000000"/>
                <w:sz w:val="22"/>
                <w:szCs w:val="22"/>
                <w:lang w:eastAsia="en-US"/>
              </w:rPr>
              <w:t>90</w:t>
            </w:r>
            <w:r w:rsidR="00905958" w:rsidRPr="00BA2C30">
              <w:rPr>
                <w:color w:val="000000"/>
                <w:sz w:val="22"/>
                <w:szCs w:val="22"/>
                <w:lang w:eastAsia="en-US"/>
              </w:rPr>
              <w:t>%</w:t>
            </w:r>
          </w:p>
        </w:tc>
        <w:tc>
          <w:tcPr>
            <w:tcW w:w="988" w:type="dxa"/>
            <w:tcBorders>
              <w:top w:val="single" w:sz="4" w:space="0" w:color="auto"/>
              <w:left w:val="nil"/>
              <w:bottom w:val="single" w:sz="4" w:space="0" w:color="auto"/>
              <w:right w:val="single" w:sz="4" w:space="0" w:color="auto"/>
            </w:tcBorders>
            <w:noWrap/>
            <w:vAlign w:val="center"/>
            <w:hideMark/>
          </w:tcPr>
          <w:p w14:paraId="1D232EBB" w14:textId="4C56E6C2" w:rsidR="00905958" w:rsidRPr="00BA2C30" w:rsidRDefault="00CE7E52">
            <w:pPr>
              <w:spacing w:line="256" w:lineRule="auto"/>
              <w:jc w:val="center"/>
              <w:rPr>
                <w:color w:val="000000"/>
                <w:sz w:val="22"/>
                <w:szCs w:val="22"/>
                <w:lang w:eastAsia="en-US"/>
              </w:rPr>
            </w:pPr>
            <w:r w:rsidRPr="00BA2C30">
              <w:rPr>
                <w:color w:val="000000"/>
                <w:sz w:val="22"/>
                <w:szCs w:val="22"/>
                <w:lang w:eastAsia="en-US"/>
              </w:rPr>
              <w:t>88</w:t>
            </w:r>
            <w:r w:rsidR="00905958" w:rsidRPr="00BA2C30">
              <w:rPr>
                <w:color w:val="000000"/>
                <w:sz w:val="22"/>
                <w:szCs w:val="22"/>
                <w:lang w:eastAsia="en-US"/>
              </w:rPr>
              <w:t>%</w:t>
            </w:r>
          </w:p>
        </w:tc>
        <w:tc>
          <w:tcPr>
            <w:tcW w:w="876" w:type="dxa"/>
            <w:tcBorders>
              <w:top w:val="single" w:sz="4" w:space="0" w:color="auto"/>
              <w:left w:val="nil"/>
              <w:bottom w:val="single" w:sz="4" w:space="0" w:color="auto"/>
              <w:right w:val="single" w:sz="4" w:space="0" w:color="auto"/>
            </w:tcBorders>
            <w:noWrap/>
            <w:vAlign w:val="center"/>
            <w:hideMark/>
          </w:tcPr>
          <w:p w14:paraId="69C47B2C" w14:textId="62C099FA" w:rsidR="00905958" w:rsidRPr="00BA2C30" w:rsidRDefault="00905958">
            <w:pPr>
              <w:spacing w:line="256" w:lineRule="auto"/>
              <w:jc w:val="center"/>
              <w:rPr>
                <w:color w:val="000000"/>
                <w:sz w:val="22"/>
                <w:szCs w:val="22"/>
                <w:lang w:eastAsia="en-US"/>
              </w:rPr>
            </w:pPr>
            <w:r w:rsidRPr="00BA2C30">
              <w:rPr>
                <w:color w:val="000000"/>
                <w:sz w:val="22"/>
                <w:szCs w:val="22"/>
                <w:lang w:eastAsia="en-US"/>
              </w:rPr>
              <w:t>8</w:t>
            </w:r>
            <w:r w:rsidR="00CE7E52" w:rsidRPr="00BA2C30">
              <w:rPr>
                <w:color w:val="000000"/>
                <w:sz w:val="22"/>
                <w:szCs w:val="22"/>
                <w:lang w:eastAsia="en-US"/>
              </w:rPr>
              <w:t>6</w:t>
            </w:r>
            <w:r w:rsidRPr="00BA2C30">
              <w:rPr>
                <w:color w:val="000000"/>
                <w:sz w:val="22"/>
                <w:szCs w:val="22"/>
                <w:lang w:eastAsia="en-US"/>
              </w:rPr>
              <w:t>%</w:t>
            </w:r>
          </w:p>
        </w:tc>
        <w:tc>
          <w:tcPr>
            <w:tcW w:w="844" w:type="dxa"/>
            <w:tcBorders>
              <w:top w:val="single" w:sz="4" w:space="0" w:color="auto"/>
              <w:left w:val="nil"/>
              <w:bottom w:val="single" w:sz="4" w:space="0" w:color="auto"/>
              <w:right w:val="single" w:sz="4" w:space="0" w:color="auto"/>
            </w:tcBorders>
            <w:noWrap/>
            <w:vAlign w:val="center"/>
            <w:hideMark/>
          </w:tcPr>
          <w:p w14:paraId="31B62C83" w14:textId="59572994" w:rsidR="00905958" w:rsidRPr="00BA2C30" w:rsidRDefault="00905958" w:rsidP="00CE7E52">
            <w:pPr>
              <w:spacing w:line="256" w:lineRule="auto"/>
              <w:jc w:val="center"/>
              <w:rPr>
                <w:color w:val="000000"/>
                <w:sz w:val="22"/>
                <w:szCs w:val="22"/>
                <w:lang w:eastAsia="en-US"/>
              </w:rPr>
            </w:pPr>
            <w:r w:rsidRPr="00BA2C30">
              <w:rPr>
                <w:color w:val="000000"/>
                <w:sz w:val="22"/>
                <w:szCs w:val="22"/>
                <w:lang w:eastAsia="en-US"/>
              </w:rPr>
              <w:t>8</w:t>
            </w:r>
            <w:r w:rsidR="00CE7E52" w:rsidRPr="00BA2C30">
              <w:rPr>
                <w:color w:val="000000"/>
                <w:sz w:val="22"/>
                <w:szCs w:val="22"/>
                <w:lang w:eastAsia="en-US"/>
              </w:rPr>
              <w:t>0</w:t>
            </w:r>
            <w:r w:rsidRPr="00BA2C30">
              <w:rPr>
                <w:color w:val="000000"/>
                <w:sz w:val="22"/>
                <w:szCs w:val="22"/>
                <w:lang w:eastAsia="en-US"/>
              </w:rPr>
              <w:t>%</w:t>
            </w:r>
          </w:p>
        </w:tc>
        <w:tc>
          <w:tcPr>
            <w:tcW w:w="995" w:type="dxa"/>
            <w:tcBorders>
              <w:top w:val="single" w:sz="4" w:space="0" w:color="auto"/>
              <w:left w:val="nil"/>
              <w:bottom w:val="single" w:sz="4" w:space="0" w:color="auto"/>
              <w:right w:val="single" w:sz="4" w:space="0" w:color="auto"/>
            </w:tcBorders>
            <w:vAlign w:val="center"/>
          </w:tcPr>
          <w:p w14:paraId="34542157" w14:textId="1747339C" w:rsidR="00905958" w:rsidRPr="00BA2C30" w:rsidRDefault="00CE7E52" w:rsidP="00CE7E52">
            <w:pPr>
              <w:spacing w:line="256" w:lineRule="auto"/>
              <w:jc w:val="center"/>
              <w:rPr>
                <w:color w:val="000000"/>
                <w:sz w:val="22"/>
                <w:szCs w:val="22"/>
                <w:lang w:eastAsia="en-US"/>
              </w:rPr>
            </w:pPr>
            <w:r w:rsidRPr="00BA2C30">
              <w:rPr>
                <w:color w:val="000000"/>
                <w:sz w:val="22"/>
                <w:szCs w:val="22"/>
                <w:lang w:eastAsia="en-US"/>
              </w:rPr>
              <w:t>70%</w:t>
            </w:r>
          </w:p>
        </w:tc>
        <w:tc>
          <w:tcPr>
            <w:tcW w:w="931" w:type="dxa"/>
            <w:tcBorders>
              <w:top w:val="single" w:sz="4" w:space="0" w:color="auto"/>
              <w:left w:val="nil"/>
              <w:bottom w:val="single" w:sz="4" w:space="0" w:color="auto"/>
              <w:right w:val="single" w:sz="4" w:space="0" w:color="auto"/>
            </w:tcBorders>
            <w:vAlign w:val="center"/>
          </w:tcPr>
          <w:p w14:paraId="2077F907" w14:textId="2BBD88D1" w:rsidR="00905958" w:rsidRPr="00BA2C30" w:rsidRDefault="00CE7E52" w:rsidP="00CE7E52">
            <w:pPr>
              <w:spacing w:line="256" w:lineRule="auto"/>
              <w:jc w:val="center"/>
              <w:rPr>
                <w:color w:val="000000"/>
                <w:sz w:val="22"/>
                <w:szCs w:val="22"/>
                <w:lang w:eastAsia="en-US"/>
              </w:rPr>
            </w:pPr>
            <w:r w:rsidRPr="00BA2C30">
              <w:rPr>
                <w:color w:val="000000"/>
                <w:sz w:val="22"/>
                <w:szCs w:val="22"/>
                <w:lang w:eastAsia="en-US"/>
              </w:rPr>
              <w:t>64%</w:t>
            </w:r>
          </w:p>
        </w:tc>
        <w:tc>
          <w:tcPr>
            <w:tcW w:w="898" w:type="dxa"/>
            <w:tcBorders>
              <w:top w:val="single" w:sz="4" w:space="0" w:color="auto"/>
              <w:left w:val="single" w:sz="4" w:space="0" w:color="auto"/>
              <w:bottom w:val="single" w:sz="4" w:space="0" w:color="auto"/>
              <w:right w:val="single" w:sz="4" w:space="0" w:color="auto"/>
            </w:tcBorders>
            <w:vAlign w:val="center"/>
          </w:tcPr>
          <w:p w14:paraId="4B7DFAA3" w14:textId="10CF8245" w:rsidR="00905958" w:rsidRPr="00BA2C30" w:rsidRDefault="00CE7E52" w:rsidP="00CE7E52">
            <w:pPr>
              <w:spacing w:line="256" w:lineRule="auto"/>
              <w:jc w:val="center"/>
              <w:rPr>
                <w:color w:val="000000"/>
                <w:sz w:val="22"/>
                <w:szCs w:val="22"/>
                <w:lang w:eastAsia="en-US"/>
              </w:rPr>
            </w:pPr>
            <w:r w:rsidRPr="00BA2C30">
              <w:rPr>
                <w:color w:val="000000"/>
                <w:sz w:val="22"/>
                <w:szCs w:val="22"/>
                <w:lang w:eastAsia="en-US"/>
              </w:rPr>
              <w:t>75%</w:t>
            </w:r>
          </w:p>
        </w:tc>
      </w:tr>
      <w:tr w:rsidR="00905958" w14:paraId="2C3E7996" w14:textId="3B052199" w:rsidTr="00CE7E52">
        <w:trPr>
          <w:trHeight w:val="300"/>
        </w:trPr>
        <w:tc>
          <w:tcPr>
            <w:tcW w:w="1909" w:type="dxa"/>
            <w:tcBorders>
              <w:top w:val="single" w:sz="4" w:space="0" w:color="auto"/>
              <w:left w:val="single" w:sz="4" w:space="0" w:color="auto"/>
              <w:bottom w:val="single" w:sz="4" w:space="0" w:color="auto"/>
              <w:right w:val="single" w:sz="4" w:space="0" w:color="auto"/>
            </w:tcBorders>
            <w:noWrap/>
            <w:vAlign w:val="bottom"/>
            <w:hideMark/>
          </w:tcPr>
          <w:p w14:paraId="2365A07D" w14:textId="77777777" w:rsidR="00905958" w:rsidRPr="00BA2C30" w:rsidRDefault="00905958">
            <w:pPr>
              <w:spacing w:line="256" w:lineRule="auto"/>
              <w:rPr>
                <w:color w:val="000000"/>
                <w:sz w:val="22"/>
                <w:szCs w:val="22"/>
                <w:lang w:eastAsia="en-US"/>
              </w:rPr>
            </w:pPr>
            <w:r w:rsidRPr="00BA2C30">
              <w:rPr>
                <w:color w:val="000000"/>
                <w:sz w:val="22"/>
                <w:szCs w:val="22"/>
                <w:lang w:eastAsia="en-US"/>
              </w:rPr>
              <w:t>Papildus piešķirtais finansējums, tai skaitā par iepriekšējo periodu nesegtajiem zaudējumiem</w:t>
            </w:r>
          </w:p>
        </w:tc>
        <w:tc>
          <w:tcPr>
            <w:tcW w:w="785" w:type="dxa"/>
            <w:tcBorders>
              <w:top w:val="single" w:sz="4" w:space="0" w:color="auto"/>
              <w:left w:val="nil"/>
              <w:bottom w:val="single" w:sz="4" w:space="0" w:color="auto"/>
              <w:right w:val="single" w:sz="4" w:space="0" w:color="auto"/>
            </w:tcBorders>
            <w:noWrap/>
            <w:vAlign w:val="center"/>
            <w:hideMark/>
          </w:tcPr>
          <w:p w14:paraId="0CCA975B" w14:textId="71670E76" w:rsidR="00905958" w:rsidRPr="00BA2C30" w:rsidRDefault="00CE7E52">
            <w:pPr>
              <w:spacing w:line="256" w:lineRule="auto"/>
              <w:jc w:val="center"/>
              <w:rPr>
                <w:color w:val="000000"/>
                <w:sz w:val="22"/>
                <w:szCs w:val="22"/>
                <w:lang w:eastAsia="en-US"/>
              </w:rPr>
            </w:pPr>
            <w:r w:rsidRPr="00BA2C30">
              <w:rPr>
                <w:color w:val="000000"/>
                <w:sz w:val="22"/>
                <w:szCs w:val="22"/>
                <w:lang w:eastAsia="en-US"/>
              </w:rPr>
              <w:t>4</w:t>
            </w:r>
            <w:r w:rsidR="00905958" w:rsidRPr="00BA2C30">
              <w:rPr>
                <w:color w:val="000000"/>
                <w:sz w:val="22"/>
                <w:szCs w:val="22"/>
                <w:lang w:eastAsia="en-US"/>
              </w:rPr>
              <w:t>%</w:t>
            </w:r>
          </w:p>
        </w:tc>
        <w:tc>
          <w:tcPr>
            <w:tcW w:w="1130" w:type="dxa"/>
            <w:tcBorders>
              <w:top w:val="single" w:sz="4" w:space="0" w:color="auto"/>
              <w:left w:val="nil"/>
              <w:bottom w:val="single" w:sz="4" w:space="0" w:color="auto"/>
              <w:right w:val="single" w:sz="4" w:space="0" w:color="auto"/>
            </w:tcBorders>
            <w:noWrap/>
            <w:vAlign w:val="center"/>
            <w:hideMark/>
          </w:tcPr>
          <w:p w14:paraId="531D3D86" w14:textId="12F9661A" w:rsidR="00905958" w:rsidRPr="00BA2C30" w:rsidRDefault="00CE7E52">
            <w:pPr>
              <w:spacing w:line="256" w:lineRule="auto"/>
              <w:jc w:val="center"/>
              <w:rPr>
                <w:color w:val="000000"/>
                <w:sz w:val="22"/>
                <w:szCs w:val="22"/>
                <w:lang w:eastAsia="en-US"/>
              </w:rPr>
            </w:pPr>
            <w:r w:rsidRPr="00BA2C30">
              <w:rPr>
                <w:color w:val="000000"/>
                <w:sz w:val="22"/>
                <w:szCs w:val="22"/>
                <w:lang w:eastAsia="en-US"/>
              </w:rPr>
              <w:t>0</w:t>
            </w:r>
            <w:r w:rsidR="00905958" w:rsidRPr="00BA2C30">
              <w:rPr>
                <w:color w:val="000000"/>
                <w:sz w:val="22"/>
                <w:szCs w:val="22"/>
                <w:lang w:eastAsia="en-US"/>
              </w:rPr>
              <w:t>%</w:t>
            </w:r>
          </w:p>
        </w:tc>
        <w:tc>
          <w:tcPr>
            <w:tcW w:w="988" w:type="dxa"/>
            <w:tcBorders>
              <w:top w:val="single" w:sz="4" w:space="0" w:color="auto"/>
              <w:left w:val="nil"/>
              <w:bottom w:val="single" w:sz="4" w:space="0" w:color="auto"/>
              <w:right w:val="single" w:sz="4" w:space="0" w:color="auto"/>
            </w:tcBorders>
            <w:noWrap/>
            <w:vAlign w:val="center"/>
            <w:hideMark/>
          </w:tcPr>
          <w:p w14:paraId="23CE11C0" w14:textId="0C6062A1" w:rsidR="00905958" w:rsidRPr="00BA2C30" w:rsidRDefault="00CE7E52">
            <w:pPr>
              <w:spacing w:line="256" w:lineRule="auto"/>
              <w:jc w:val="center"/>
              <w:rPr>
                <w:color w:val="000000"/>
                <w:sz w:val="22"/>
                <w:szCs w:val="22"/>
                <w:lang w:eastAsia="en-US"/>
              </w:rPr>
            </w:pPr>
            <w:r w:rsidRPr="00BA2C30">
              <w:rPr>
                <w:color w:val="000000"/>
                <w:sz w:val="22"/>
                <w:szCs w:val="22"/>
                <w:lang w:eastAsia="en-US"/>
              </w:rPr>
              <w:t>16</w:t>
            </w:r>
            <w:r w:rsidR="00905958" w:rsidRPr="00BA2C30">
              <w:rPr>
                <w:color w:val="000000"/>
                <w:sz w:val="22"/>
                <w:szCs w:val="22"/>
                <w:lang w:eastAsia="en-US"/>
              </w:rPr>
              <w:t>%</w:t>
            </w:r>
          </w:p>
        </w:tc>
        <w:tc>
          <w:tcPr>
            <w:tcW w:w="876" w:type="dxa"/>
            <w:tcBorders>
              <w:top w:val="single" w:sz="4" w:space="0" w:color="auto"/>
              <w:left w:val="nil"/>
              <w:bottom w:val="single" w:sz="4" w:space="0" w:color="auto"/>
              <w:right w:val="single" w:sz="4" w:space="0" w:color="auto"/>
            </w:tcBorders>
            <w:noWrap/>
            <w:vAlign w:val="center"/>
            <w:hideMark/>
          </w:tcPr>
          <w:p w14:paraId="338BC4F3" w14:textId="6F0D95D4" w:rsidR="00905958" w:rsidRPr="00BA2C30" w:rsidRDefault="00905958">
            <w:pPr>
              <w:spacing w:line="256" w:lineRule="auto"/>
              <w:jc w:val="center"/>
              <w:rPr>
                <w:color w:val="000000"/>
                <w:sz w:val="22"/>
                <w:szCs w:val="22"/>
                <w:lang w:eastAsia="en-US"/>
              </w:rPr>
            </w:pPr>
            <w:r w:rsidRPr="00BA2C30">
              <w:rPr>
                <w:color w:val="000000"/>
                <w:sz w:val="22"/>
                <w:szCs w:val="22"/>
                <w:lang w:eastAsia="en-US"/>
              </w:rPr>
              <w:t>1</w:t>
            </w:r>
            <w:r w:rsidR="00CE7E52" w:rsidRPr="00BA2C30">
              <w:rPr>
                <w:color w:val="000000"/>
                <w:sz w:val="22"/>
                <w:szCs w:val="22"/>
                <w:lang w:eastAsia="en-US"/>
              </w:rPr>
              <w:t>8</w:t>
            </w:r>
            <w:r w:rsidRPr="00BA2C30">
              <w:rPr>
                <w:color w:val="000000"/>
                <w:sz w:val="22"/>
                <w:szCs w:val="22"/>
                <w:lang w:eastAsia="en-US"/>
              </w:rPr>
              <w:t>%</w:t>
            </w:r>
          </w:p>
        </w:tc>
        <w:tc>
          <w:tcPr>
            <w:tcW w:w="844" w:type="dxa"/>
            <w:tcBorders>
              <w:top w:val="single" w:sz="4" w:space="0" w:color="auto"/>
              <w:left w:val="nil"/>
              <w:bottom w:val="single" w:sz="4" w:space="0" w:color="auto"/>
              <w:right w:val="single" w:sz="4" w:space="0" w:color="auto"/>
            </w:tcBorders>
            <w:noWrap/>
            <w:vAlign w:val="center"/>
            <w:hideMark/>
          </w:tcPr>
          <w:p w14:paraId="140F5BB9" w14:textId="6C3818A8" w:rsidR="00905958" w:rsidRPr="00BA2C30" w:rsidRDefault="00CE7E52" w:rsidP="00CE7E52">
            <w:pPr>
              <w:spacing w:line="256" w:lineRule="auto"/>
              <w:jc w:val="center"/>
              <w:rPr>
                <w:color w:val="000000"/>
                <w:sz w:val="22"/>
                <w:szCs w:val="22"/>
                <w:lang w:eastAsia="en-US"/>
              </w:rPr>
            </w:pPr>
            <w:r w:rsidRPr="00BA2C30">
              <w:rPr>
                <w:color w:val="000000"/>
                <w:sz w:val="22"/>
                <w:szCs w:val="22"/>
                <w:lang w:eastAsia="en-US"/>
              </w:rPr>
              <w:t>21%</w:t>
            </w:r>
          </w:p>
        </w:tc>
        <w:tc>
          <w:tcPr>
            <w:tcW w:w="995" w:type="dxa"/>
            <w:tcBorders>
              <w:top w:val="single" w:sz="4" w:space="0" w:color="auto"/>
              <w:left w:val="nil"/>
              <w:bottom w:val="single" w:sz="4" w:space="0" w:color="auto"/>
              <w:right w:val="single" w:sz="4" w:space="0" w:color="auto"/>
            </w:tcBorders>
            <w:vAlign w:val="center"/>
          </w:tcPr>
          <w:p w14:paraId="1D491697" w14:textId="27EC727C" w:rsidR="00905958" w:rsidRPr="00BA2C30" w:rsidRDefault="00CE7E52" w:rsidP="00CE7E52">
            <w:pPr>
              <w:spacing w:line="256" w:lineRule="auto"/>
              <w:jc w:val="center"/>
              <w:rPr>
                <w:color w:val="000000"/>
                <w:sz w:val="22"/>
                <w:szCs w:val="22"/>
                <w:lang w:eastAsia="en-US"/>
              </w:rPr>
            </w:pPr>
            <w:r w:rsidRPr="00BA2C30">
              <w:rPr>
                <w:color w:val="000000"/>
                <w:sz w:val="22"/>
                <w:szCs w:val="22"/>
                <w:lang w:eastAsia="en-US"/>
              </w:rPr>
              <w:t>28%</w:t>
            </w:r>
          </w:p>
        </w:tc>
        <w:tc>
          <w:tcPr>
            <w:tcW w:w="931" w:type="dxa"/>
            <w:tcBorders>
              <w:top w:val="single" w:sz="4" w:space="0" w:color="auto"/>
              <w:left w:val="nil"/>
              <w:bottom w:val="single" w:sz="4" w:space="0" w:color="auto"/>
              <w:right w:val="single" w:sz="4" w:space="0" w:color="auto"/>
            </w:tcBorders>
            <w:vAlign w:val="center"/>
          </w:tcPr>
          <w:p w14:paraId="55178A02" w14:textId="68344D97" w:rsidR="00905958" w:rsidRPr="00BA2C30" w:rsidRDefault="00CE7E52" w:rsidP="00CE7E52">
            <w:pPr>
              <w:spacing w:line="256" w:lineRule="auto"/>
              <w:jc w:val="center"/>
              <w:rPr>
                <w:color w:val="000000"/>
                <w:sz w:val="22"/>
                <w:szCs w:val="22"/>
                <w:lang w:eastAsia="en-US"/>
              </w:rPr>
            </w:pPr>
            <w:r w:rsidRPr="00BA2C30">
              <w:rPr>
                <w:color w:val="000000"/>
                <w:sz w:val="22"/>
                <w:szCs w:val="22"/>
                <w:lang w:eastAsia="en-US"/>
              </w:rPr>
              <w:t>38%</w:t>
            </w:r>
          </w:p>
        </w:tc>
        <w:tc>
          <w:tcPr>
            <w:tcW w:w="898" w:type="dxa"/>
            <w:tcBorders>
              <w:top w:val="single" w:sz="4" w:space="0" w:color="auto"/>
              <w:left w:val="single" w:sz="4" w:space="0" w:color="auto"/>
              <w:bottom w:val="single" w:sz="4" w:space="0" w:color="auto"/>
              <w:right w:val="single" w:sz="4" w:space="0" w:color="auto"/>
            </w:tcBorders>
            <w:vAlign w:val="center"/>
          </w:tcPr>
          <w:p w14:paraId="4EE6B104" w14:textId="59DA2E1A" w:rsidR="00905958" w:rsidRPr="00BA2C30" w:rsidRDefault="00CE7E52" w:rsidP="00CE7E52">
            <w:pPr>
              <w:spacing w:line="256" w:lineRule="auto"/>
              <w:jc w:val="center"/>
              <w:rPr>
                <w:color w:val="000000"/>
                <w:sz w:val="22"/>
                <w:szCs w:val="22"/>
                <w:lang w:eastAsia="en-US"/>
              </w:rPr>
            </w:pPr>
            <w:r w:rsidRPr="00BA2C30">
              <w:rPr>
                <w:color w:val="000000"/>
                <w:sz w:val="22"/>
                <w:szCs w:val="22"/>
                <w:lang w:eastAsia="en-US"/>
              </w:rPr>
              <w:t>32%</w:t>
            </w:r>
          </w:p>
        </w:tc>
      </w:tr>
      <w:tr w:rsidR="00E40D35" w14:paraId="7488676B" w14:textId="77777777" w:rsidTr="00E40D35">
        <w:trPr>
          <w:trHeight w:val="300"/>
        </w:trPr>
        <w:tc>
          <w:tcPr>
            <w:tcW w:w="1909" w:type="dxa"/>
            <w:tcBorders>
              <w:top w:val="single" w:sz="4" w:space="0" w:color="auto"/>
              <w:left w:val="single" w:sz="4" w:space="0" w:color="auto"/>
              <w:bottom w:val="single" w:sz="4" w:space="0" w:color="auto"/>
              <w:right w:val="single" w:sz="4" w:space="0" w:color="auto"/>
            </w:tcBorders>
            <w:noWrap/>
            <w:vAlign w:val="bottom"/>
          </w:tcPr>
          <w:p w14:paraId="7557FA7E" w14:textId="45F6D249" w:rsidR="00E40D35" w:rsidRPr="00BA2C30" w:rsidRDefault="00E40D35" w:rsidP="00E40D35">
            <w:pPr>
              <w:spacing w:line="256" w:lineRule="auto"/>
              <w:rPr>
                <w:color w:val="000000"/>
                <w:sz w:val="22"/>
                <w:szCs w:val="22"/>
                <w:lang w:eastAsia="en-US"/>
              </w:rPr>
            </w:pPr>
            <w:r>
              <w:rPr>
                <w:color w:val="000000"/>
                <w:sz w:val="22"/>
                <w:szCs w:val="22"/>
                <w:lang w:eastAsia="en-US"/>
              </w:rPr>
              <w:t>Kopējais valsts budžeta finansējums zaudējumu kompensēšanai</w:t>
            </w:r>
          </w:p>
        </w:tc>
        <w:tc>
          <w:tcPr>
            <w:tcW w:w="785" w:type="dxa"/>
            <w:tcBorders>
              <w:top w:val="single" w:sz="4" w:space="0" w:color="auto"/>
              <w:left w:val="nil"/>
              <w:bottom w:val="single" w:sz="4" w:space="0" w:color="auto"/>
              <w:right w:val="single" w:sz="4" w:space="0" w:color="auto"/>
            </w:tcBorders>
            <w:noWrap/>
            <w:vAlign w:val="center"/>
          </w:tcPr>
          <w:p w14:paraId="4B31B938" w14:textId="6D9DAF47" w:rsidR="00E40D35" w:rsidRPr="00BA2C30" w:rsidRDefault="00E40D35" w:rsidP="00E40D35">
            <w:pPr>
              <w:spacing w:line="256" w:lineRule="auto"/>
              <w:jc w:val="center"/>
              <w:rPr>
                <w:color w:val="000000"/>
                <w:sz w:val="22"/>
                <w:szCs w:val="22"/>
                <w:lang w:eastAsia="en-US"/>
              </w:rPr>
            </w:pPr>
            <w:r>
              <w:rPr>
                <w:color w:val="000000"/>
                <w:sz w:val="22"/>
                <w:szCs w:val="22"/>
              </w:rPr>
              <w:t>55,89</w:t>
            </w:r>
          </w:p>
        </w:tc>
        <w:tc>
          <w:tcPr>
            <w:tcW w:w="1130" w:type="dxa"/>
            <w:tcBorders>
              <w:top w:val="single" w:sz="4" w:space="0" w:color="auto"/>
              <w:left w:val="nil"/>
              <w:bottom w:val="single" w:sz="4" w:space="0" w:color="auto"/>
              <w:right w:val="single" w:sz="4" w:space="0" w:color="auto"/>
            </w:tcBorders>
            <w:noWrap/>
            <w:vAlign w:val="center"/>
          </w:tcPr>
          <w:p w14:paraId="4D9B8684" w14:textId="07D94F92" w:rsidR="00E40D35" w:rsidRPr="00BA2C30" w:rsidRDefault="00E40D35" w:rsidP="00E40D35">
            <w:pPr>
              <w:spacing w:line="256" w:lineRule="auto"/>
              <w:jc w:val="center"/>
              <w:rPr>
                <w:color w:val="000000"/>
                <w:sz w:val="22"/>
                <w:szCs w:val="22"/>
                <w:lang w:eastAsia="en-US"/>
              </w:rPr>
            </w:pPr>
            <w:r>
              <w:rPr>
                <w:color w:val="000000"/>
                <w:sz w:val="22"/>
                <w:szCs w:val="22"/>
              </w:rPr>
              <w:t>53,80</w:t>
            </w:r>
          </w:p>
        </w:tc>
        <w:tc>
          <w:tcPr>
            <w:tcW w:w="988" w:type="dxa"/>
            <w:tcBorders>
              <w:top w:val="single" w:sz="4" w:space="0" w:color="auto"/>
              <w:left w:val="nil"/>
              <w:bottom w:val="single" w:sz="4" w:space="0" w:color="auto"/>
              <w:right w:val="single" w:sz="4" w:space="0" w:color="auto"/>
            </w:tcBorders>
            <w:noWrap/>
            <w:vAlign w:val="center"/>
          </w:tcPr>
          <w:p w14:paraId="62844261" w14:textId="287E5A45" w:rsidR="00E40D35" w:rsidRPr="00BA2C30" w:rsidRDefault="00E40D35" w:rsidP="00E40D35">
            <w:pPr>
              <w:spacing w:line="256" w:lineRule="auto"/>
              <w:jc w:val="center"/>
              <w:rPr>
                <w:color w:val="000000"/>
                <w:sz w:val="22"/>
                <w:szCs w:val="22"/>
                <w:lang w:eastAsia="en-US"/>
              </w:rPr>
            </w:pPr>
            <w:r>
              <w:rPr>
                <w:color w:val="000000"/>
                <w:sz w:val="22"/>
                <w:szCs w:val="22"/>
              </w:rPr>
              <w:t>67,69</w:t>
            </w:r>
          </w:p>
        </w:tc>
        <w:tc>
          <w:tcPr>
            <w:tcW w:w="876" w:type="dxa"/>
            <w:tcBorders>
              <w:top w:val="single" w:sz="4" w:space="0" w:color="auto"/>
              <w:left w:val="nil"/>
              <w:bottom w:val="single" w:sz="4" w:space="0" w:color="auto"/>
              <w:right w:val="single" w:sz="4" w:space="0" w:color="auto"/>
            </w:tcBorders>
            <w:noWrap/>
            <w:vAlign w:val="center"/>
          </w:tcPr>
          <w:p w14:paraId="06F36792" w14:textId="0F3F22C6" w:rsidR="00E40D35" w:rsidRPr="00BA2C30" w:rsidRDefault="00E40D35" w:rsidP="00E40D35">
            <w:pPr>
              <w:spacing w:line="256" w:lineRule="auto"/>
              <w:jc w:val="center"/>
              <w:rPr>
                <w:color w:val="000000"/>
                <w:sz w:val="22"/>
                <w:szCs w:val="22"/>
                <w:lang w:eastAsia="en-US"/>
              </w:rPr>
            </w:pPr>
            <w:r>
              <w:rPr>
                <w:color w:val="000000"/>
                <w:sz w:val="22"/>
                <w:szCs w:val="22"/>
              </w:rPr>
              <w:t>74,15</w:t>
            </w:r>
          </w:p>
        </w:tc>
        <w:tc>
          <w:tcPr>
            <w:tcW w:w="844" w:type="dxa"/>
            <w:tcBorders>
              <w:top w:val="single" w:sz="4" w:space="0" w:color="auto"/>
              <w:left w:val="nil"/>
              <w:bottom w:val="single" w:sz="4" w:space="0" w:color="auto"/>
              <w:right w:val="single" w:sz="4" w:space="0" w:color="auto"/>
            </w:tcBorders>
            <w:noWrap/>
            <w:vAlign w:val="center"/>
          </w:tcPr>
          <w:p w14:paraId="42D907D5" w14:textId="71E970D4" w:rsidR="00E40D35" w:rsidRPr="00BA2C30" w:rsidRDefault="00E40D35" w:rsidP="00E40D35">
            <w:pPr>
              <w:spacing w:line="256" w:lineRule="auto"/>
              <w:jc w:val="center"/>
              <w:rPr>
                <w:color w:val="000000"/>
                <w:sz w:val="22"/>
                <w:szCs w:val="22"/>
                <w:lang w:eastAsia="en-US"/>
              </w:rPr>
            </w:pPr>
            <w:r>
              <w:rPr>
                <w:color w:val="000000"/>
                <w:sz w:val="22"/>
                <w:szCs w:val="22"/>
              </w:rPr>
              <w:t>77,67</w:t>
            </w:r>
          </w:p>
        </w:tc>
        <w:tc>
          <w:tcPr>
            <w:tcW w:w="995" w:type="dxa"/>
            <w:tcBorders>
              <w:top w:val="single" w:sz="4" w:space="0" w:color="auto"/>
              <w:left w:val="nil"/>
              <w:bottom w:val="single" w:sz="4" w:space="0" w:color="auto"/>
              <w:right w:val="single" w:sz="4" w:space="0" w:color="auto"/>
            </w:tcBorders>
            <w:vAlign w:val="center"/>
          </w:tcPr>
          <w:p w14:paraId="1B0E4E46" w14:textId="0D481953" w:rsidR="00E40D35" w:rsidRPr="00BA2C30" w:rsidRDefault="00E40D35" w:rsidP="00E40D35">
            <w:pPr>
              <w:spacing w:line="256" w:lineRule="auto"/>
              <w:jc w:val="center"/>
              <w:rPr>
                <w:color w:val="000000"/>
                <w:sz w:val="22"/>
                <w:szCs w:val="22"/>
                <w:lang w:eastAsia="en-US"/>
              </w:rPr>
            </w:pPr>
            <w:r>
              <w:rPr>
                <w:color w:val="000000"/>
                <w:sz w:val="22"/>
                <w:szCs w:val="22"/>
              </w:rPr>
              <w:t>86,10</w:t>
            </w:r>
          </w:p>
        </w:tc>
        <w:tc>
          <w:tcPr>
            <w:tcW w:w="931" w:type="dxa"/>
            <w:tcBorders>
              <w:top w:val="single" w:sz="4" w:space="0" w:color="auto"/>
              <w:left w:val="nil"/>
              <w:bottom w:val="single" w:sz="4" w:space="0" w:color="auto"/>
              <w:right w:val="single" w:sz="4" w:space="0" w:color="auto"/>
            </w:tcBorders>
            <w:vAlign w:val="center"/>
          </w:tcPr>
          <w:p w14:paraId="0EDD8962" w14:textId="25315FB0" w:rsidR="00E40D35" w:rsidRPr="00BA2C30" w:rsidRDefault="00E40D35" w:rsidP="00E40D35">
            <w:pPr>
              <w:spacing w:line="256" w:lineRule="auto"/>
              <w:jc w:val="center"/>
              <w:rPr>
                <w:color w:val="000000"/>
                <w:sz w:val="22"/>
                <w:szCs w:val="22"/>
                <w:lang w:eastAsia="en-US"/>
              </w:rPr>
            </w:pPr>
            <w:r>
              <w:rPr>
                <w:color w:val="000000"/>
                <w:sz w:val="22"/>
                <w:szCs w:val="22"/>
              </w:rPr>
              <w:t>98,02</w:t>
            </w:r>
          </w:p>
        </w:tc>
        <w:tc>
          <w:tcPr>
            <w:tcW w:w="898" w:type="dxa"/>
            <w:tcBorders>
              <w:top w:val="single" w:sz="4" w:space="0" w:color="auto"/>
              <w:left w:val="single" w:sz="4" w:space="0" w:color="auto"/>
              <w:bottom w:val="single" w:sz="4" w:space="0" w:color="auto"/>
              <w:right w:val="single" w:sz="4" w:space="0" w:color="auto"/>
            </w:tcBorders>
            <w:vAlign w:val="center"/>
          </w:tcPr>
          <w:p w14:paraId="63EC1FAF" w14:textId="43B74CA8" w:rsidR="00E40D35" w:rsidRPr="00BA2C30" w:rsidRDefault="00E40D35" w:rsidP="00E40D35">
            <w:pPr>
              <w:spacing w:line="256" w:lineRule="auto"/>
              <w:jc w:val="center"/>
              <w:rPr>
                <w:color w:val="000000"/>
                <w:sz w:val="22"/>
                <w:szCs w:val="22"/>
                <w:lang w:eastAsia="en-US"/>
              </w:rPr>
            </w:pPr>
            <w:r>
              <w:rPr>
                <w:color w:val="000000"/>
                <w:sz w:val="22"/>
                <w:szCs w:val="22"/>
              </w:rPr>
              <w:t>100,19</w:t>
            </w:r>
          </w:p>
        </w:tc>
      </w:tr>
      <w:tr w:rsidR="00E40D35" w14:paraId="19C6DBB2" w14:textId="77777777" w:rsidTr="00E40D35">
        <w:trPr>
          <w:trHeight w:val="300"/>
        </w:trPr>
        <w:tc>
          <w:tcPr>
            <w:tcW w:w="1909" w:type="dxa"/>
            <w:tcBorders>
              <w:top w:val="single" w:sz="4" w:space="0" w:color="auto"/>
              <w:left w:val="single" w:sz="4" w:space="0" w:color="auto"/>
              <w:bottom w:val="single" w:sz="4" w:space="0" w:color="auto"/>
              <w:right w:val="single" w:sz="4" w:space="0" w:color="auto"/>
            </w:tcBorders>
            <w:noWrap/>
            <w:vAlign w:val="bottom"/>
          </w:tcPr>
          <w:p w14:paraId="0F952A47" w14:textId="31D7FC71" w:rsidR="00E40D35" w:rsidRPr="00BA2C30" w:rsidRDefault="00E40D35" w:rsidP="00E40D35">
            <w:pPr>
              <w:spacing w:line="256" w:lineRule="auto"/>
              <w:rPr>
                <w:color w:val="000000"/>
                <w:sz w:val="22"/>
                <w:szCs w:val="22"/>
                <w:lang w:eastAsia="en-US"/>
              </w:rPr>
            </w:pPr>
            <w:r>
              <w:rPr>
                <w:color w:val="000000"/>
                <w:sz w:val="22"/>
                <w:szCs w:val="22"/>
                <w:lang w:eastAsia="en-US"/>
              </w:rPr>
              <w:t>Valsts budžeta finansējuma segums pār kompensējamiem zaudējumiem tekošā gadā</w:t>
            </w:r>
          </w:p>
        </w:tc>
        <w:tc>
          <w:tcPr>
            <w:tcW w:w="785" w:type="dxa"/>
            <w:tcBorders>
              <w:top w:val="single" w:sz="4" w:space="0" w:color="auto"/>
              <w:left w:val="nil"/>
              <w:bottom w:val="single" w:sz="4" w:space="0" w:color="auto"/>
              <w:right w:val="single" w:sz="4" w:space="0" w:color="auto"/>
            </w:tcBorders>
            <w:noWrap/>
            <w:vAlign w:val="center"/>
          </w:tcPr>
          <w:p w14:paraId="688396B8" w14:textId="1E67EC25" w:rsidR="00E40D35" w:rsidRPr="00BA2C30" w:rsidRDefault="00E40D35" w:rsidP="00E40D35">
            <w:pPr>
              <w:spacing w:line="256" w:lineRule="auto"/>
              <w:jc w:val="center"/>
              <w:rPr>
                <w:color w:val="000000"/>
                <w:sz w:val="22"/>
                <w:szCs w:val="22"/>
                <w:lang w:eastAsia="en-US"/>
              </w:rPr>
            </w:pPr>
            <w:r>
              <w:rPr>
                <w:color w:val="000000"/>
                <w:sz w:val="22"/>
                <w:szCs w:val="22"/>
              </w:rPr>
              <w:t>100%</w:t>
            </w:r>
          </w:p>
        </w:tc>
        <w:tc>
          <w:tcPr>
            <w:tcW w:w="1130" w:type="dxa"/>
            <w:tcBorders>
              <w:top w:val="single" w:sz="4" w:space="0" w:color="auto"/>
              <w:left w:val="nil"/>
              <w:bottom w:val="single" w:sz="4" w:space="0" w:color="auto"/>
              <w:right w:val="single" w:sz="4" w:space="0" w:color="auto"/>
            </w:tcBorders>
            <w:noWrap/>
            <w:vAlign w:val="center"/>
          </w:tcPr>
          <w:p w14:paraId="1B3A0223" w14:textId="13DAFA3F" w:rsidR="00E40D35" w:rsidRPr="00BA2C30" w:rsidRDefault="00E40D35" w:rsidP="00E40D35">
            <w:pPr>
              <w:spacing w:line="256" w:lineRule="auto"/>
              <w:jc w:val="center"/>
              <w:rPr>
                <w:color w:val="000000"/>
                <w:sz w:val="22"/>
                <w:szCs w:val="22"/>
                <w:lang w:eastAsia="en-US"/>
              </w:rPr>
            </w:pPr>
            <w:r>
              <w:rPr>
                <w:color w:val="000000"/>
                <w:sz w:val="22"/>
                <w:szCs w:val="22"/>
              </w:rPr>
              <w:t>90%</w:t>
            </w:r>
          </w:p>
        </w:tc>
        <w:tc>
          <w:tcPr>
            <w:tcW w:w="988" w:type="dxa"/>
            <w:tcBorders>
              <w:top w:val="single" w:sz="4" w:space="0" w:color="auto"/>
              <w:left w:val="nil"/>
              <w:bottom w:val="single" w:sz="4" w:space="0" w:color="auto"/>
              <w:right w:val="single" w:sz="4" w:space="0" w:color="auto"/>
            </w:tcBorders>
            <w:noWrap/>
            <w:vAlign w:val="center"/>
          </w:tcPr>
          <w:p w14:paraId="1B70C4C5" w14:textId="52BEFC35" w:rsidR="00E40D35" w:rsidRPr="00BA2C30" w:rsidRDefault="00E40D35" w:rsidP="00E40D35">
            <w:pPr>
              <w:spacing w:line="256" w:lineRule="auto"/>
              <w:jc w:val="center"/>
              <w:rPr>
                <w:color w:val="000000"/>
                <w:sz w:val="22"/>
                <w:szCs w:val="22"/>
                <w:lang w:eastAsia="en-US"/>
              </w:rPr>
            </w:pPr>
            <w:r>
              <w:rPr>
                <w:color w:val="000000"/>
                <w:sz w:val="22"/>
                <w:szCs w:val="22"/>
              </w:rPr>
              <w:t>104%</w:t>
            </w:r>
          </w:p>
        </w:tc>
        <w:tc>
          <w:tcPr>
            <w:tcW w:w="876" w:type="dxa"/>
            <w:tcBorders>
              <w:top w:val="single" w:sz="4" w:space="0" w:color="auto"/>
              <w:left w:val="nil"/>
              <w:bottom w:val="single" w:sz="4" w:space="0" w:color="auto"/>
              <w:right w:val="single" w:sz="4" w:space="0" w:color="auto"/>
            </w:tcBorders>
            <w:noWrap/>
            <w:vAlign w:val="center"/>
          </w:tcPr>
          <w:p w14:paraId="50397B0E" w14:textId="03DE5560" w:rsidR="00E40D35" w:rsidRPr="00BA2C30" w:rsidRDefault="00E40D35" w:rsidP="00E40D35">
            <w:pPr>
              <w:spacing w:line="256" w:lineRule="auto"/>
              <w:jc w:val="center"/>
              <w:rPr>
                <w:color w:val="000000"/>
                <w:sz w:val="22"/>
                <w:szCs w:val="22"/>
                <w:lang w:eastAsia="en-US"/>
              </w:rPr>
            </w:pPr>
            <w:r>
              <w:rPr>
                <w:color w:val="000000"/>
                <w:sz w:val="22"/>
                <w:szCs w:val="22"/>
              </w:rPr>
              <w:t>104%</w:t>
            </w:r>
          </w:p>
        </w:tc>
        <w:tc>
          <w:tcPr>
            <w:tcW w:w="844" w:type="dxa"/>
            <w:tcBorders>
              <w:top w:val="single" w:sz="4" w:space="0" w:color="auto"/>
              <w:left w:val="nil"/>
              <w:bottom w:val="single" w:sz="4" w:space="0" w:color="auto"/>
              <w:right w:val="single" w:sz="4" w:space="0" w:color="auto"/>
            </w:tcBorders>
            <w:noWrap/>
            <w:vAlign w:val="center"/>
          </w:tcPr>
          <w:p w14:paraId="4832987C" w14:textId="037DE85E" w:rsidR="00E40D35" w:rsidRPr="00BA2C30" w:rsidRDefault="00E40D35" w:rsidP="00E40D35">
            <w:pPr>
              <w:spacing w:line="256" w:lineRule="auto"/>
              <w:jc w:val="center"/>
              <w:rPr>
                <w:color w:val="000000"/>
                <w:sz w:val="22"/>
                <w:szCs w:val="22"/>
                <w:lang w:eastAsia="en-US"/>
              </w:rPr>
            </w:pPr>
            <w:r>
              <w:rPr>
                <w:color w:val="000000"/>
                <w:sz w:val="22"/>
                <w:szCs w:val="22"/>
              </w:rPr>
              <w:t>102%</w:t>
            </w:r>
          </w:p>
        </w:tc>
        <w:tc>
          <w:tcPr>
            <w:tcW w:w="995" w:type="dxa"/>
            <w:tcBorders>
              <w:top w:val="single" w:sz="4" w:space="0" w:color="auto"/>
              <w:left w:val="nil"/>
              <w:bottom w:val="single" w:sz="4" w:space="0" w:color="auto"/>
              <w:right w:val="single" w:sz="4" w:space="0" w:color="auto"/>
            </w:tcBorders>
            <w:vAlign w:val="center"/>
          </w:tcPr>
          <w:p w14:paraId="5810A310" w14:textId="1048233C" w:rsidR="00E40D35" w:rsidRPr="00BA2C30" w:rsidRDefault="00E40D35" w:rsidP="00E40D35">
            <w:pPr>
              <w:spacing w:line="256" w:lineRule="auto"/>
              <w:jc w:val="center"/>
              <w:rPr>
                <w:color w:val="000000"/>
                <w:sz w:val="22"/>
                <w:szCs w:val="22"/>
                <w:lang w:eastAsia="en-US"/>
              </w:rPr>
            </w:pPr>
            <w:r>
              <w:rPr>
                <w:color w:val="000000"/>
                <w:sz w:val="22"/>
                <w:szCs w:val="22"/>
              </w:rPr>
              <w:t>97%</w:t>
            </w:r>
          </w:p>
        </w:tc>
        <w:tc>
          <w:tcPr>
            <w:tcW w:w="931" w:type="dxa"/>
            <w:tcBorders>
              <w:top w:val="single" w:sz="4" w:space="0" w:color="auto"/>
              <w:left w:val="nil"/>
              <w:bottom w:val="single" w:sz="4" w:space="0" w:color="auto"/>
              <w:right w:val="single" w:sz="4" w:space="0" w:color="auto"/>
            </w:tcBorders>
            <w:vAlign w:val="center"/>
          </w:tcPr>
          <w:p w14:paraId="114C8ABC" w14:textId="3A7C7A68" w:rsidR="00E40D35" w:rsidRPr="00BA2C30" w:rsidRDefault="00E40D35" w:rsidP="00E40D35">
            <w:pPr>
              <w:spacing w:line="256" w:lineRule="auto"/>
              <w:jc w:val="center"/>
              <w:rPr>
                <w:color w:val="000000"/>
                <w:sz w:val="22"/>
                <w:szCs w:val="22"/>
                <w:lang w:eastAsia="en-US"/>
              </w:rPr>
            </w:pPr>
            <w:r>
              <w:rPr>
                <w:color w:val="000000"/>
                <w:sz w:val="22"/>
                <w:szCs w:val="22"/>
              </w:rPr>
              <w:t>101%</w:t>
            </w:r>
          </w:p>
        </w:tc>
        <w:tc>
          <w:tcPr>
            <w:tcW w:w="898" w:type="dxa"/>
            <w:tcBorders>
              <w:top w:val="single" w:sz="4" w:space="0" w:color="auto"/>
              <w:left w:val="single" w:sz="4" w:space="0" w:color="auto"/>
              <w:bottom w:val="single" w:sz="4" w:space="0" w:color="auto"/>
              <w:right w:val="single" w:sz="4" w:space="0" w:color="auto"/>
            </w:tcBorders>
            <w:vAlign w:val="center"/>
          </w:tcPr>
          <w:p w14:paraId="407313AE" w14:textId="5470B7CE" w:rsidR="00E40D35" w:rsidRPr="00BA2C30" w:rsidRDefault="00E40D35" w:rsidP="00E40D35">
            <w:pPr>
              <w:spacing w:line="256" w:lineRule="auto"/>
              <w:jc w:val="center"/>
              <w:rPr>
                <w:color w:val="000000"/>
                <w:sz w:val="22"/>
                <w:szCs w:val="22"/>
                <w:lang w:eastAsia="en-US"/>
              </w:rPr>
            </w:pPr>
            <w:r>
              <w:rPr>
                <w:color w:val="000000"/>
                <w:sz w:val="22"/>
                <w:szCs w:val="22"/>
              </w:rPr>
              <w:t>107%</w:t>
            </w:r>
          </w:p>
        </w:tc>
      </w:tr>
    </w:tbl>
    <w:p w14:paraId="73CB3DDD" w14:textId="77777777" w:rsidR="00ED6458" w:rsidRDefault="00ED6458" w:rsidP="00ED6458">
      <w:pPr>
        <w:ind w:firstLine="709"/>
        <w:jc w:val="both"/>
        <w:rPr>
          <w:sz w:val="28"/>
          <w:szCs w:val="28"/>
        </w:rPr>
      </w:pPr>
    </w:p>
    <w:p w14:paraId="080D8E05" w14:textId="7C20DCFA" w:rsidR="00914404" w:rsidRPr="00914404" w:rsidRDefault="00914404" w:rsidP="0034391F">
      <w:pPr>
        <w:pStyle w:val="tv213"/>
        <w:shd w:val="clear" w:color="auto" w:fill="FFFFFF"/>
        <w:spacing w:before="0" w:beforeAutospacing="0" w:after="0" w:afterAutospacing="0" w:line="293" w:lineRule="atLeast"/>
        <w:ind w:firstLine="709"/>
        <w:jc w:val="both"/>
        <w:rPr>
          <w:b/>
          <w:bCs/>
          <w:sz w:val="26"/>
          <w:szCs w:val="26"/>
        </w:rPr>
      </w:pPr>
      <w:r w:rsidRPr="00914404">
        <w:rPr>
          <w:b/>
          <w:bCs/>
          <w:sz w:val="26"/>
          <w:szCs w:val="26"/>
        </w:rPr>
        <w:t xml:space="preserve">2.1. </w:t>
      </w:r>
      <w:r>
        <w:rPr>
          <w:b/>
          <w:bCs/>
          <w:sz w:val="26"/>
          <w:szCs w:val="26"/>
        </w:rPr>
        <w:t>Valsts budžeta izdevumu m</w:t>
      </w:r>
      <w:r w:rsidRPr="00914404">
        <w:rPr>
          <w:b/>
          <w:bCs/>
          <w:sz w:val="26"/>
          <w:szCs w:val="26"/>
        </w:rPr>
        <w:t>azinošo pasākumu virzieni</w:t>
      </w:r>
    </w:p>
    <w:p w14:paraId="5967C212" w14:textId="4977CAF4" w:rsidR="0034391F" w:rsidRPr="00A75A31" w:rsidRDefault="00860E15" w:rsidP="00860E15">
      <w:pPr>
        <w:tabs>
          <w:tab w:val="left" w:pos="709"/>
        </w:tabs>
        <w:jc w:val="both"/>
        <w:rPr>
          <w:sz w:val="26"/>
          <w:szCs w:val="26"/>
        </w:rPr>
      </w:pPr>
      <w:r>
        <w:rPr>
          <w:sz w:val="26"/>
          <w:szCs w:val="26"/>
        </w:rPr>
        <w:tab/>
      </w:r>
      <w:r w:rsidR="0034391F" w:rsidRPr="0034391F">
        <w:rPr>
          <w:sz w:val="26"/>
          <w:szCs w:val="26"/>
        </w:rPr>
        <w:t xml:space="preserve">Atbilstoši Ministru kabineta noteikumu Nr.435 17.punktā noteiktajam, izskatot pastāvošos apstākļus attiecībā uz situāciju, kad gadskārtējā valsts budžeta ietvarā </w:t>
      </w:r>
      <w:r w:rsidR="0034391F" w:rsidRPr="00A75A31">
        <w:rPr>
          <w:sz w:val="26"/>
          <w:szCs w:val="26"/>
        </w:rPr>
        <w:t xml:space="preserve">finansējums sabiedriskā transporta pakalpojumu līgumu izpildei nav pietiekams, tad Sabiedriskā transporta padomē </w:t>
      </w:r>
      <w:r w:rsidR="000322FA">
        <w:rPr>
          <w:sz w:val="26"/>
          <w:szCs w:val="26"/>
        </w:rPr>
        <w:t>2023.gada</w:t>
      </w:r>
      <w:r w:rsidR="0034391F" w:rsidRPr="00A75A31">
        <w:rPr>
          <w:sz w:val="26"/>
          <w:szCs w:val="26"/>
        </w:rPr>
        <w:t xml:space="preserve"> 3.marta sēdē tika izskatīti </w:t>
      </w:r>
      <w:r w:rsidR="00CB2BAF" w:rsidRPr="00A75A31">
        <w:rPr>
          <w:sz w:val="26"/>
          <w:szCs w:val="26"/>
        </w:rPr>
        <w:t>p</w:t>
      </w:r>
      <w:r w:rsidR="00CB2BAF">
        <w:rPr>
          <w:sz w:val="26"/>
          <w:szCs w:val="26"/>
        </w:rPr>
        <w:t xml:space="preserve">riekšlikumi </w:t>
      </w:r>
      <w:r w:rsidR="0034391F" w:rsidRPr="00A75A31">
        <w:rPr>
          <w:sz w:val="26"/>
          <w:szCs w:val="26"/>
        </w:rPr>
        <w:t xml:space="preserve">valsts budžeta </w:t>
      </w:r>
      <w:r w:rsidR="001F77E2">
        <w:rPr>
          <w:sz w:val="26"/>
          <w:szCs w:val="26"/>
        </w:rPr>
        <w:t>kompensācijas apmēra</w:t>
      </w:r>
      <w:r w:rsidR="0034391F" w:rsidRPr="00A75A31">
        <w:rPr>
          <w:sz w:val="26"/>
          <w:szCs w:val="26"/>
        </w:rPr>
        <w:t xml:space="preserve"> mazināšanai. Sabiedriskā transporta padome ar lēmumu </w:t>
      </w:r>
      <w:r w:rsidR="003A1457" w:rsidRPr="008857FD">
        <w:rPr>
          <w:sz w:val="26"/>
          <w:szCs w:val="26"/>
        </w:rPr>
        <w:t>(prot. Nr.</w:t>
      </w:r>
      <w:r w:rsidR="003A1457">
        <w:rPr>
          <w:sz w:val="26"/>
          <w:szCs w:val="26"/>
        </w:rPr>
        <w:t>6</w:t>
      </w:r>
      <w:r w:rsidR="00D85B46">
        <w:rPr>
          <w:sz w:val="26"/>
          <w:szCs w:val="26"/>
        </w:rPr>
        <w:t xml:space="preserve"> 3.</w:t>
      </w:r>
      <w:r w:rsidR="003A1457" w:rsidRPr="008857FD">
        <w:rPr>
          <w:sz w:val="26"/>
          <w:szCs w:val="26"/>
        </w:rPr>
        <w:t>§)</w:t>
      </w:r>
      <w:r w:rsidR="003A1457">
        <w:rPr>
          <w:sz w:val="26"/>
          <w:szCs w:val="26"/>
        </w:rPr>
        <w:t xml:space="preserve"> </w:t>
      </w:r>
      <w:r w:rsidR="0034391F" w:rsidRPr="00A75A31">
        <w:rPr>
          <w:sz w:val="26"/>
          <w:szCs w:val="26"/>
        </w:rPr>
        <w:t xml:space="preserve">konceptuāli ir atbalstījusi </w:t>
      </w:r>
      <w:r w:rsidR="00307BC3">
        <w:rPr>
          <w:sz w:val="26"/>
          <w:szCs w:val="26"/>
        </w:rPr>
        <w:t xml:space="preserve">šādus </w:t>
      </w:r>
      <w:r w:rsidR="0034391F" w:rsidRPr="00A75A31">
        <w:rPr>
          <w:sz w:val="26"/>
          <w:szCs w:val="26"/>
        </w:rPr>
        <w:t xml:space="preserve"> </w:t>
      </w:r>
      <w:r w:rsidR="00DB5E84">
        <w:rPr>
          <w:sz w:val="26"/>
          <w:szCs w:val="26"/>
        </w:rPr>
        <w:t xml:space="preserve">- </w:t>
      </w:r>
      <w:r w:rsidR="0034391F" w:rsidRPr="00A75A31">
        <w:rPr>
          <w:sz w:val="26"/>
          <w:szCs w:val="26"/>
        </w:rPr>
        <w:t>pasākumus:</w:t>
      </w:r>
    </w:p>
    <w:p w14:paraId="7246D8C5" w14:textId="422F359E" w:rsidR="008F595F" w:rsidRPr="008F595F" w:rsidRDefault="0034391F" w:rsidP="00C01B80">
      <w:pPr>
        <w:pStyle w:val="BodyText"/>
        <w:numPr>
          <w:ilvl w:val="0"/>
          <w:numId w:val="24"/>
        </w:numPr>
        <w:ind w:left="0" w:firstLine="720"/>
        <w:jc w:val="both"/>
        <w:rPr>
          <w:b w:val="0"/>
          <w:bCs w:val="0"/>
          <w:sz w:val="26"/>
          <w:szCs w:val="26"/>
        </w:rPr>
      </w:pPr>
      <w:r w:rsidRPr="008F595F">
        <w:rPr>
          <w:b w:val="0"/>
          <w:bCs w:val="0"/>
          <w:sz w:val="26"/>
          <w:szCs w:val="26"/>
        </w:rPr>
        <w:t>Ievērojot , ka 2020. un 2021.gadā pasažieru plūsmas būtisk</w:t>
      </w:r>
      <w:r w:rsidR="00A75A31" w:rsidRPr="008F595F">
        <w:rPr>
          <w:b w:val="0"/>
          <w:bCs w:val="0"/>
          <w:sz w:val="26"/>
          <w:szCs w:val="26"/>
        </w:rPr>
        <w:t xml:space="preserve">as izmaiņas noteica Covid-19 saslimšanas apkarošanai ierobežojošie pasākumi, </w:t>
      </w:r>
      <w:r w:rsidR="000322FA" w:rsidRPr="008F595F">
        <w:rPr>
          <w:b w:val="0"/>
          <w:bCs w:val="0"/>
          <w:sz w:val="26"/>
          <w:szCs w:val="26"/>
        </w:rPr>
        <w:t>bet 2022.gadā stabilizējoties iedzīvotāju pieprasījuma</w:t>
      </w:r>
      <w:r w:rsidR="00BA7F12">
        <w:rPr>
          <w:b w:val="0"/>
          <w:bCs w:val="0"/>
          <w:sz w:val="26"/>
          <w:szCs w:val="26"/>
        </w:rPr>
        <w:t>m</w:t>
      </w:r>
      <w:r w:rsidR="000322FA" w:rsidRPr="008F595F">
        <w:rPr>
          <w:b w:val="0"/>
          <w:bCs w:val="0"/>
          <w:sz w:val="26"/>
          <w:szCs w:val="26"/>
        </w:rPr>
        <w:t xml:space="preserve"> pēc sabiedriskā transporta pakalpojumiem</w:t>
      </w:r>
      <w:r w:rsidR="00A75A31" w:rsidRPr="008F595F">
        <w:rPr>
          <w:b w:val="0"/>
          <w:bCs w:val="0"/>
          <w:sz w:val="26"/>
          <w:szCs w:val="26"/>
        </w:rPr>
        <w:t>, tad 2023.gadā</w:t>
      </w:r>
      <w:r w:rsidR="008F595F" w:rsidRPr="008F595F">
        <w:rPr>
          <w:b w:val="0"/>
          <w:bCs w:val="0"/>
          <w:sz w:val="26"/>
          <w:szCs w:val="26"/>
        </w:rPr>
        <w:t xml:space="preserve"> Autotransporta direkcijai sadarbībā ar plānošana reģioniem</w:t>
      </w:r>
      <w:r w:rsidR="00A75A31" w:rsidRPr="008F595F">
        <w:rPr>
          <w:b w:val="0"/>
          <w:bCs w:val="0"/>
          <w:sz w:val="26"/>
          <w:szCs w:val="26"/>
        </w:rPr>
        <w:t xml:space="preserve"> jāveic kopējā reģionālās nozīmes maršrutu tīkla pārskatīšana</w:t>
      </w:r>
      <w:r w:rsidR="008F595F" w:rsidRPr="008F595F">
        <w:rPr>
          <w:b w:val="0"/>
          <w:bCs w:val="0"/>
          <w:sz w:val="26"/>
          <w:szCs w:val="26"/>
        </w:rPr>
        <w:t>,</w:t>
      </w:r>
      <w:r w:rsidR="00A75A31" w:rsidRPr="008F595F">
        <w:rPr>
          <w:b w:val="0"/>
          <w:bCs w:val="0"/>
          <w:sz w:val="26"/>
          <w:szCs w:val="26"/>
        </w:rPr>
        <w:t xml:space="preserve"> </w:t>
      </w:r>
      <w:r w:rsidR="008F595F" w:rsidRPr="008F595F">
        <w:rPr>
          <w:b w:val="0"/>
          <w:bCs w:val="0"/>
          <w:sz w:val="26"/>
          <w:szCs w:val="26"/>
        </w:rPr>
        <w:t xml:space="preserve">novērtējot kopējo maršrutu tīkla lietderību un pasažieru pieprasījumu, </w:t>
      </w:r>
      <w:r w:rsidR="00A75A31" w:rsidRPr="008F595F">
        <w:rPr>
          <w:b w:val="0"/>
          <w:bCs w:val="0"/>
          <w:sz w:val="26"/>
          <w:szCs w:val="26"/>
        </w:rPr>
        <w:t xml:space="preserve">atbilstoši </w:t>
      </w:r>
      <w:r w:rsidR="00022CEA">
        <w:rPr>
          <w:b w:val="0"/>
          <w:bCs w:val="0"/>
          <w:sz w:val="26"/>
          <w:szCs w:val="26"/>
        </w:rPr>
        <w:t xml:space="preserve">STP Likuma </w:t>
      </w:r>
      <w:r w:rsidR="008F595F" w:rsidRPr="008F595F">
        <w:rPr>
          <w:b w:val="0"/>
          <w:bCs w:val="0"/>
          <w:sz w:val="26"/>
          <w:szCs w:val="26"/>
        </w:rPr>
        <w:t xml:space="preserve">6.panta </w:t>
      </w:r>
      <w:r w:rsidR="008F595F">
        <w:rPr>
          <w:b w:val="0"/>
          <w:bCs w:val="0"/>
          <w:sz w:val="26"/>
          <w:szCs w:val="26"/>
        </w:rPr>
        <w:t>6</w:t>
      </w:r>
      <w:r w:rsidR="00DB5E84">
        <w:rPr>
          <w:b w:val="0"/>
          <w:bCs w:val="0"/>
          <w:sz w:val="26"/>
          <w:szCs w:val="26"/>
        </w:rPr>
        <w:t xml:space="preserve">. </w:t>
      </w:r>
      <w:r w:rsidR="008F595F" w:rsidRPr="008F595F">
        <w:rPr>
          <w:b w:val="0"/>
          <w:bCs w:val="0"/>
          <w:sz w:val="26"/>
          <w:szCs w:val="26"/>
          <w:vertAlign w:val="superscript"/>
        </w:rPr>
        <w:t>2</w:t>
      </w:r>
      <w:r w:rsidR="008F595F" w:rsidRPr="008F595F">
        <w:rPr>
          <w:b w:val="0"/>
          <w:bCs w:val="0"/>
          <w:sz w:val="26"/>
          <w:szCs w:val="26"/>
        </w:rPr>
        <w:t xml:space="preserve"> daļa</w:t>
      </w:r>
      <w:r w:rsidR="008F595F">
        <w:rPr>
          <w:b w:val="0"/>
          <w:bCs w:val="0"/>
          <w:sz w:val="26"/>
          <w:szCs w:val="26"/>
        </w:rPr>
        <w:t>i.</w:t>
      </w:r>
    </w:p>
    <w:p w14:paraId="5DC6446E" w14:textId="6DD2EA58" w:rsidR="00A75A31" w:rsidRPr="008F595F" w:rsidRDefault="00A75A31" w:rsidP="00C01B80">
      <w:pPr>
        <w:pStyle w:val="BodyText"/>
        <w:numPr>
          <w:ilvl w:val="0"/>
          <w:numId w:val="24"/>
        </w:numPr>
        <w:ind w:left="0" w:firstLine="720"/>
        <w:jc w:val="both"/>
        <w:rPr>
          <w:b w:val="0"/>
          <w:bCs w:val="0"/>
          <w:sz w:val="26"/>
          <w:szCs w:val="26"/>
        </w:rPr>
      </w:pPr>
      <w:r w:rsidRPr="008F595F">
        <w:rPr>
          <w:b w:val="0"/>
          <w:bCs w:val="0"/>
          <w:sz w:val="26"/>
          <w:szCs w:val="26"/>
        </w:rPr>
        <w:t xml:space="preserve">Ņemot vērā , ka no sabiedriskā transporta pakalpojumu sniegšanas gūtie ieņēmumi tiešā veidā ietekmē no valsts budžeta kompensējamos sabiedriskā transporta pakalpojumos radušos zaudējumus, </w:t>
      </w:r>
      <w:r w:rsidR="00914404" w:rsidRPr="008F595F">
        <w:rPr>
          <w:b w:val="0"/>
          <w:bCs w:val="0"/>
          <w:sz w:val="26"/>
          <w:szCs w:val="26"/>
        </w:rPr>
        <w:t>bet</w:t>
      </w:r>
      <w:r w:rsidR="0053624D">
        <w:rPr>
          <w:b w:val="0"/>
          <w:bCs w:val="0"/>
          <w:sz w:val="26"/>
          <w:szCs w:val="26"/>
        </w:rPr>
        <w:t xml:space="preserve"> situācijā</w:t>
      </w:r>
      <w:r w:rsidR="00914404" w:rsidRPr="008F595F">
        <w:rPr>
          <w:b w:val="0"/>
          <w:bCs w:val="0"/>
          <w:sz w:val="26"/>
          <w:szCs w:val="26"/>
        </w:rPr>
        <w:t>,</w:t>
      </w:r>
      <w:r w:rsidRPr="008F595F">
        <w:rPr>
          <w:b w:val="0"/>
          <w:bCs w:val="0"/>
          <w:sz w:val="26"/>
          <w:szCs w:val="26"/>
        </w:rPr>
        <w:t xml:space="preserve"> kad preču un pakalpojumu patēriņa cenas ir palielinājušās jau par 20,8%</w:t>
      </w:r>
      <w:r w:rsidRPr="00914404">
        <w:rPr>
          <w:rStyle w:val="FootnoteReference"/>
          <w:b w:val="0"/>
          <w:bCs w:val="0"/>
          <w:sz w:val="26"/>
          <w:szCs w:val="26"/>
        </w:rPr>
        <w:footnoteReference w:id="18"/>
      </w:r>
      <w:r w:rsidRPr="008F595F">
        <w:rPr>
          <w:b w:val="0"/>
          <w:bCs w:val="0"/>
          <w:sz w:val="26"/>
          <w:szCs w:val="26"/>
        </w:rPr>
        <w:t xml:space="preserve">, </w:t>
      </w:r>
      <w:r w:rsidR="00910FAC">
        <w:rPr>
          <w:b w:val="0"/>
          <w:bCs w:val="0"/>
          <w:sz w:val="26"/>
          <w:szCs w:val="26"/>
        </w:rPr>
        <w:t xml:space="preserve">kā arī vidējais neto atalgojums Latvijā kopš 2020.gada, kad pēdējo reizi veiktas </w:t>
      </w:r>
      <w:r w:rsidR="00655A8F" w:rsidRPr="00766F58">
        <w:rPr>
          <w:b w:val="0"/>
          <w:bCs w:val="0"/>
          <w:sz w:val="26"/>
          <w:szCs w:val="26"/>
        </w:rPr>
        <w:t xml:space="preserve">braukšanas maksas </w:t>
      </w:r>
      <w:r w:rsidR="00910FAC" w:rsidRPr="00766F58">
        <w:rPr>
          <w:b w:val="0"/>
          <w:bCs w:val="0"/>
          <w:sz w:val="26"/>
          <w:szCs w:val="26"/>
        </w:rPr>
        <w:t>(</w:t>
      </w:r>
      <w:r w:rsidR="00655A8F" w:rsidRPr="00766F58">
        <w:rPr>
          <w:b w:val="0"/>
          <w:bCs w:val="0"/>
          <w:sz w:val="26"/>
          <w:szCs w:val="26"/>
        </w:rPr>
        <w:t>tarifa</w:t>
      </w:r>
      <w:r w:rsidR="00655A8F" w:rsidRPr="00766F58" w:rsidDel="00655A8F">
        <w:rPr>
          <w:b w:val="0"/>
          <w:bCs w:val="0"/>
          <w:sz w:val="26"/>
          <w:szCs w:val="26"/>
        </w:rPr>
        <w:t xml:space="preserve"> </w:t>
      </w:r>
      <w:r w:rsidR="00910FAC" w:rsidRPr="00766F58">
        <w:rPr>
          <w:b w:val="0"/>
          <w:bCs w:val="0"/>
          <w:sz w:val="26"/>
          <w:szCs w:val="26"/>
        </w:rPr>
        <w:t>)</w:t>
      </w:r>
      <w:r w:rsidR="00910FAC">
        <w:rPr>
          <w:b w:val="0"/>
          <w:bCs w:val="0"/>
          <w:sz w:val="26"/>
          <w:szCs w:val="26"/>
        </w:rPr>
        <w:t xml:space="preserve"> izmaiņas, ir pieaudzis </w:t>
      </w:r>
      <w:r w:rsidR="00910FAC">
        <w:rPr>
          <w:b w:val="0"/>
          <w:bCs w:val="0"/>
          <w:sz w:val="26"/>
          <w:szCs w:val="26"/>
        </w:rPr>
        <w:lastRenderedPageBreak/>
        <w:t xml:space="preserve">par </w:t>
      </w:r>
      <w:r w:rsidR="001A2E9D">
        <w:rPr>
          <w:b w:val="0"/>
          <w:bCs w:val="0"/>
          <w:sz w:val="26"/>
          <w:szCs w:val="26"/>
        </w:rPr>
        <w:t>19,62</w:t>
      </w:r>
      <w:r w:rsidR="00910FAC">
        <w:rPr>
          <w:b w:val="0"/>
          <w:bCs w:val="0"/>
          <w:sz w:val="26"/>
          <w:szCs w:val="26"/>
        </w:rPr>
        <w:t>%</w:t>
      </w:r>
      <w:r w:rsidR="001A2E9D">
        <w:rPr>
          <w:rStyle w:val="FootnoteReference"/>
          <w:b w:val="0"/>
          <w:bCs w:val="0"/>
          <w:sz w:val="26"/>
          <w:szCs w:val="26"/>
        </w:rPr>
        <w:footnoteReference w:id="19"/>
      </w:r>
      <w:r w:rsidR="001A2E9D">
        <w:rPr>
          <w:b w:val="0"/>
          <w:bCs w:val="0"/>
          <w:sz w:val="26"/>
          <w:szCs w:val="26"/>
        </w:rPr>
        <w:t>,</w:t>
      </w:r>
      <w:r w:rsidR="00910FAC">
        <w:rPr>
          <w:b w:val="0"/>
          <w:bCs w:val="0"/>
          <w:sz w:val="26"/>
          <w:szCs w:val="26"/>
        </w:rPr>
        <w:t xml:space="preserve"> </w:t>
      </w:r>
      <w:r w:rsidRPr="008F595F">
        <w:rPr>
          <w:b w:val="0"/>
          <w:bCs w:val="0"/>
          <w:sz w:val="26"/>
          <w:szCs w:val="26"/>
        </w:rPr>
        <w:t>tad viens no instrumentiem, kā samazināt valsts budžeta dotāciju apmēru pie pieaugošām izmaksām</w:t>
      </w:r>
      <w:r w:rsidR="0038099B">
        <w:rPr>
          <w:b w:val="0"/>
          <w:bCs w:val="0"/>
          <w:sz w:val="26"/>
          <w:szCs w:val="26"/>
        </w:rPr>
        <w:t>,</w:t>
      </w:r>
      <w:r w:rsidRPr="008F595F">
        <w:rPr>
          <w:b w:val="0"/>
          <w:bCs w:val="0"/>
          <w:sz w:val="26"/>
          <w:szCs w:val="26"/>
        </w:rPr>
        <w:t xml:space="preserve"> būtu </w:t>
      </w:r>
      <w:r w:rsidRPr="00766F58">
        <w:rPr>
          <w:b w:val="0"/>
          <w:bCs w:val="0"/>
          <w:sz w:val="26"/>
          <w:szCs w:val="26"/>
        </w:rPr>
        <w:t xml:space="preserve">braukšanas maksas </w:t>
      </w:r>
      <w:r w:rsidR="0038099B" w:rsidRPr="00766F58">
        <w:rPr>
          <w:b w:val="0"/>
          <w:bCs w:val="0"/>
          <w:sz w:val="26"/>
          <w:szCs w:val="26"/>
        </w:rPr>
        <w:t>(tarifa)</w:t>
      </w:r>
      <w:r w:rsidR="0038099B">
        <w:rPr>
          <w:b w:val="0"/>
          <w:bCs w:val="0"/>
          <w:sz w:val="26"/>
          <w:szCs w:val="26"/>
        </w:rPr>
        <w:t xml:space="preserve"> </w:t>
      </w:r>
      <w:r w:rsidRPr="008F595F">
        <w:rPr>
          <w:b w:val="0"/>
          <w:bCs w:val="0"/>
          <w:sz w:val="26"/>
          <w:szCs w:val="26"/>
        </w:rPr>
        <w:t xml:space="preserve">pārskatīšana un ieņēmumu palielināšana. </w:t>
      </w:r>
      <w:r w:rsidR="00914404" w:rsidRPr="008F595F">
        <w:rPr>
          <w:b w:val="0"/>
          <w:bCs w:val="0"/>
          <w:sz w:val="26"/>
          <w:szCs w:val="26"/>
        </w:rPr>
        <w:t>Līdz ar to</w:t>
      </w:r>
      <w:r w:rsidR="00DB5E84">
        <w:rPr>
          <w:b w:val="0"/>
          <w:bCs w:val="0"/>
          <w:sz w:val="26"/>
          <w:szCs w:val="26"/>
        </w:rPr>
        <w:t>,</w:t>
      </w:r>
      <w:r w:rsidR="00914404" w:rsidRPr="008F595F">
        <w:rPr>
          <w:b w:val="0"/>
          <w:bCs w:val="0"/>
          <w:sz w:val="26"/>
          <w:szCs w:val="26"/>
        </w:rPr>
        <w:t xml:space="preserve"> konceptuāli ir atbalstīta braukšanas </w:t>
      </w:r>
      <w:r w:rsidR="00766F58">
        <w:rPr>
          <w:b w:val="0"/>
          <w:bCs w:val="0"/>
          <w:sz w:val="26"/>
          <w:szCs w:val="26"/>
        </w:rPr>
        <w:t xml:space="preserve">maksas </w:t>
      </w:r>
      <w:r w:rsidR="00914404" w:rsidRPr="008F595F">
        <w:rPr>
          <w:b w:val="0"/>
          <w:bCs w:val="0"/>
          <w:sz w:val="26"/>
          <w:szCs w:val="26"/>
        </w:rPr>
        <w:t>(</w:t>
      </w:r>
      <w:r w:rsidR="00766F58">
        <w:rPr>
          <w:b w:val="0"/>
          <w:bCs w:val="0"/>
          <w:sz w:val="26"/>
          <w:szCs w:val="26"/>
        </w:rPr>
        <w:t>tarifa)</w:t>
      </w:r>
      <w:r w:rsidR="00914404" w:rsidRPr="008F595F">
        <w:rPr>
          <w:b w:val="0"/>
          <w:bCs w:val="0"/>
          <w:sz w:val="26"/>
          <w:szCs w:val="26"/>
        </w:rPr>
        <w:t xml:space="preserve"> pārskatīšana, konsultējoties ar plānošanas reģioniem par pieņemamāko risinājumu, lai netiktu būtiski ietekmēta iedzīvotāju spēja izmantot sabiedrisko transportu</w:t>
      </w:r>
      <w:r w:rsidR="008F595F">
        <w:rPr>
          <w:b w:val="0"/>
          <w:bCs w:val="0"/>
          <w:sz w:val="26"/>
          <w:szCs w:val="26"/>
        </w:rPr>
        <w:t xml:space="preserve"> sevišķi novadu teritorijās</w:t>
      </w:r>
      <w:r w:rsidR="00914404" w:rsidRPr="008F595F">
        <w:rPr>
          <w:b w:val="0"/>
          <w:bCs w:val="0"/>
          <w:sz w:val="26"/>
          <w:szCs w:val="26"/>
        </w:rPr>
        <w:t xml:space="preserve">. Braukšanas </w:t>
      </w:r>
      <w:r w:rsidR="00766F58">
        <w:rPr>
          <w:b w:val="0"/>
          <w:bCs w:val="0"/>
          <w:sz w:val="26"/>
          <w:szCs w:val="26"/>
        </w:rPr>
        <w:t>maksas</w:t>
      </w:r>
      <w:r w:rsidR="00766F58" w:rsidRPr="008F595F">
        <w:rPr>
          <w:b w:val="0"/>
          <w:bCs w:val="0"/>
          <w:sz w:val="26"/>
          <w:szCs w:val="26"/>
        </w:rPr>
        <w:t xml:space="preserve"> </w:t>
      </w:r>
      <w:r w:rsidR="00914404" w:rsidRPr="008F595F">
        <w:rPr>
          <w:b w:val="0"/>
          <w:bCs w:val="0"/>
          <w:sz w:val="26"/>
          <w:szCs w:val="26"/>
        </w:rPr>
        <w:t>(</w:t>
      </w:r>
      <w:r w:rsidR="00766F58">
        <w:rPr>
          <w:b w:val="0"/>
          <w:bCs w:val="0"/>
          <w:sz w:val="26"/>
          <w:szCs w:val="26"/>
        </w:rPr>
        <w:t>tarifa</w:t>
      </w:r>
      <w:r w:rsidR="00914404" w:rsidRPr="008F595F">
        <w:rPr>
          <w:b w:val="0"/>
          <w:bCs w:val="0"/>
          <w:sz w:val="26"/>
          <w:szCs w:val="26"/>
        </w:rPr>
        <w:t>) pārskatīšana ietver sevī dažādu lojalitātes programmu nodrošināšanu, to starpā lielākas atlaides abonementu biļetēm, dažādu pārvadājumu veidu vienotas biļetes ieviešan</w:t>
      </w:r>
      <w:r w:rsidR="0038099B">
        <w:rPr>
          <w:b w:val="0"/>
          <w:bCs w:val="0"/>
          <w:sz w:val="26"/>
          <w:szCs w:val="26"/>
        </w:rPr>
        <w:t>u</w:t>
      </w:r>
      <w:r w:rsidR="00914404" w:rsidRPr="008F595F">
        <w:rPr>
          <w:b w:val="0"/>
          <w:bCs w:val="0"/>
          <w:sz w:val="26"/>
          <w:szCs w:val="26"/>
        </w:rPr>
        <w:t>.</w:t>
      </w:r>
    </w:p>
    <w:p w14:paraId="2D1BAFB8" w14:textId="77777777" w:rsidR="00E3479C" w:rsidRDefault="00E3479C" w:rsidP="001E79A8">
      <w:pPr>
        <w:ind w:firstLine="709"/>
        <w:jc w:val="both"/>
        <w:rPr>
          <w:sz w:val="28"/>
          <w:szCs w:val="28"/>
        </w:rPr>
      </w:pPr>
    </w:p>
    <w:p w14:paraId="535D476D" w14:textId="7E549CB4" w:rsidR="00914404" w:rsidRDefault="00914404" w:rsidP="00914404">
      <w:pPr>
        <w:pStyle w:val="tv213"/>
        <w:shd w:val="clear" w:color="auto" w:fill="FFFFFF"/>
        <w:spacing w:before="0" w:beforeAutospacing="0" w:after="0" w:afterAutospacing="0" w:line="293" w:lineRule="atLeast"/>
        <w:ind w:firstLine="709"/>
        <w:jc w:val="both"/>
        <w:rPr>
          <w:b/>
          <w:bCs/>
          <w:sz w:val="26"/>
          <w:szCs w:val="26"/>
        </w:rPr>
      </w:pPr>
      <w:r w:rsidRPr="00914404">
        <w:rPr>
          <w:b/>
          <w:bCs/>
          <w:sz w:val="26"/>
          <w:szCs w:val="26"/>
        </w:rPr>
        <w:t>2.</w:t>
      </w:r>
      <w:r>
        <w:rPr>
          <w:b/>
          <w:bCs/>
          <w:sz w:val="26"/>
          <w:szCs w:val="26"/>
        </w:rPr>
        <w:t>2</w:t>
      </w:r>
      <w:r w:rsidRPr="00914404">
        <w:rPr>
          <w:b/>
          <w:bCs/>
          <w:sz w:val="26"/>
          <w:szCs w:val="26"/>
        </w:rPr>
        <w:t xml:space="preserve">. </w:t>
      </w:r>
      <w:r>
        <w:rPr>
          <w:b/>
          <w:bCs/>
          <w:sz w:val="26"/>
          <w:szCs w:val="26"/>
        </w:rPr>
        <w:t>Valsts budžeta izdevumu m</w:t>
      </w:r>
      <w:r w:rsidRPr="00914404">
        <w:rPr>
          <w:b/>
          <w:bCs/>
          <w:sz w:val="26"/>
          <w:szCs w:val="26"/>
        </w:rPr>
        <w:t xml:space="preserve">azinošo pasākumu </w:t>
      </w:r>
      <w:r>
        <w:rPr>
          <w:b/>
          <w:bCs/>
          <w:sz w:val="26"/>
          <w:szCs w:val="26"/>
        </w:rPr>
        <w:t>finansiālā ietekme un termiņi</w:t>
      </w:r>
      <w:r w:rsidR="00C84A81">
        <w:rPr>
          <w:b/>
          <w:bCs/>
          <w:sz w:val="26"/>
          <w:szCs w:val="26"/>
        </w:rPr>
        <w:t>, ieguvumi un riski</w:t>
      </w:r>
    </w:p>
    <w:p w14:paraId="53E65D4F" w14:textId="02EC8909" w:rsidR="00914404" w:rsidRDefault="00C84A81" w:rsidP="00914404">
      <w:pPr>
        <w:pStyle w:val="tv213"/>
        <w:shd w:val="clear" w:color="auto" w:fill="FFFFFF"/>
        <w:spacing w:before="0" w:beforeAutospacing="0" w:after="0" w:afterAutospacing="0" w:line="293" w:lineRule="atLeast"/>
        <w:ind w:firstLine="709"/>
        <w:jc w:val="both"/>
        <w:rPr>
          <w:b/>
          <w:bCs/>
          <w:sz w:val="26"/>
          <w:szCs w:val="26"/>
        </w:rPr>
      </w:pPr>
      <w:r w:rsidRPr="00C84A81">
        <w:rPr>
          <w:b/>
          <w:bCs/>
          <w:sz w:val="26"/>
          <w:szCs w:val="26"/>
        </w:rPr>
        <w:t xml:space="preserve">2.2.1. Reģionālās nozīmes maršrutu tīkla </w:t>
      </w:r>
      <w:r w:rsidR="008552B7">
        <w:rPr>
          <w:b/>
          <w:bCs/>
          <w:sz w:val="26"/>
          <w:szCs w:val="26"/>
        </w:rPr>
        <w:t>izvērtēšana</w:t>
      </w:r>
    </w:p>
    <w:p w14:paraId="3AB9FEE1" w14:textId="4C1417F9" w:rsidR="00187D2E" w:rsidRPr="006601FA" w:rsidRDefault="00187D2E" w:rsidP="00187D2E">
      <w:pPr>
        <w:pStyle w:val="tv213"/>
        <w:shd w:val="clear" w:color="auto" w:fill="FFFFFF"/>
        <w:spacing w:before="0" w:beforeAutospacing="0" w:after="0" w:afterAutospacing="0" w:line="293" w:lineRule="atLeast"/>
        <w:ind w:firstLine="709"/>
        <w:jc w:val="both"/>
        <w:rPr>
          <w:sz w:val="26"/>
          <w:szCs w:val="26"/>
        </w:rPr>
      </w:pPr>
      <w:r>
        <w:rPr>
          <w:sz w:val="26"/>
          <w:szCs w:val="26"/>
        </w:rPr>
        <w:t xml:space="preserve">Reģionālās nozīmes pārvadājumos ar autobusiem maršrutos, kuriem rentabilitāte ir zem 10% kopējais nobraukumus varētu sastādīt ap </w:t>
      </w:r>
      <w:r w:rsidRPr="00B14789">
        <w:rPr>
          <w:sz w:val="26"/>
          <w:szCs w:val="26"/>
        </w:rPr>
        <w:t>3</w:t>
      </w:r>
      <w:r>
        <w:rPr>
          <w:sz w:val="26"/>
          <w:szCs w:val="26"/>
        </w:rPr>
        <w:t> </w:t>
      </w:r>
      <w:r w:rsidRPr="00B14789">
        <w:rPr>
          <w:sz w:val="26"/>
          <w:szCs w:val="26"/>
        </w:rPr>
        <w:t>458</w:t>
      </w:r>
      <w:r>
        <w:rPr>
          <w:sz w:val="26"/>
          <w:szCs w:val="26"/>
        </w:rPr>
        <w:t xml:space="preserve"> </w:t>
      </w:r>
      <w:r w:rsidRPr="00B14789">
        <w:rPr>
          <w:sz w:val="26"/>
          <w:szCs w:val="26"/>
        </w:rPr>
        <w:t>360</w:t>
      </w:r>
      <w:r>
        <w:rPr>
          <w:sz w:val="26"/>
          <w:szCs w:val="26"/>
        </w:rPr>
        <w:t xml:space="preserve"> kilometri gadā, kas lēšams </w:t>
      </w:r>
      <w:r w:rsidRPr="0076275E">
        <w:rPr>
          <w:b/>
          <w:bCs/>
          <w:sz w:val="26"/>
          <w:szCs w:val="26"/>
        </w:rPr>
        <w:t>aptuveni</w:t>
      </w:r>
      <w:r>
        <w:rPr>
          <w:sz w:val="26"/>
          <w:szCs w:val="26"/>
        </w:rPr>
        <w:t xml:space="preserve"> </w:t>
      </w:r>
      <w:r w:rsidRPr="00E70AF9">
        <w:rPr>
          <w:b/>
          <w:bCs/>
          <w:sz w:val="26"/>
          <w:szCs w:val="26"/>
        </w:rPr>
        <w:t>3 866 527 EUR</w:t>
      </w:r>
      <w:r>
        <w:rPr>
          <w:sz w:val="26"/>
          <w:szCs w:val="26"/>
        </w:rPr>
        <w:t xml:space="preserve"> apmērā zaudējumu kompensēšanai, un pirmsšķietami par </w:t>
      </w:r>
      <w:r w:rsidR="00FA6450">
        <w:t xml:space="preserve">322 211 EUR </w:t>
      </w:r>
      <w:r>
        <w:rPr>
          <w:sz w:val="26"/>
          <w:szCs w:val="26"/>
        </w:rPr>
        <w:t xml:space="preserve">potenciāli samazināmi valsts budžeta izdevumi. Tomēr, lai rastu objektīvu pamatojumu maršrutu tīkla samazinājumam jau 2023.gadā, </w:t>
      </w:r>
      <w:r w:rsidR="00CB2BAF">
        <w:rPr>
          <w:sz w:val="26"/>
          <w:szCs w:val="26"/>
        </w:rPr>
        <w:t xml:space="preserve">Autotransporta direkcijai ir uzdots </w:t>
      </w:r>
      <w:r w:rsidR="00F13789" w:rsidRPr="006C7835">
        <w:rPr>
          <w:sz w:val="26"/>
          <w:szCs w:val="26"/>
        </w:rPr>
        <w:t xml:space="preserve">2023.gada </w:t>
      </w:r>
      <w:r w:rsidR="00F13789">
        <w:rPr>
          <w:sz w:val="26"/>
          <w:szCs w:val="26"/>
        </w:rPr>
        <w:t>otrajā ceturksnī S</w:t>
      </w:r>
      <w:r w:rsidR="00F13789" w:rsidRPr="006C7835">
        <w:rPr>
          <w:sz w:val="26"/>
          <w:szCs w:val="26"/>
        </w:rPr>
        <w:t>abiedriskā transporta padome</w:t>
      </w:r>
      <w:r w:rsidR="00F13789">
        <w:rPr>
          <w:sz w:val="26"/>
          <w:szCs w:val="26"/>
        </w:rPr>
        <w:t>i</w:t>
      </w:r>
      <w:r w:rsidR="00F13789" w:rsidRPr="006C7835">
        <w:rPr>
          <w:sz w:val="26"/>
          <w:szCs w:val="26"/>
        </w:rPr>
        <w:t xml:space="preserve"> </w:t>
      </w:r>
      <w:r w:rsidRPr="006C7835">
        <w:rPr>
          <w:sz w:val="26"/>
          <w:szCs w:val="26"/>
        </w:rPr>
        <w:t xml:space="preserve">iesniegt nerentablāko (maršrutu ar biļešu </w:t>
      </w:r>
      <w:r w:rsidR="00DC1F6D">
        <w:rPr>
          <w:sz w:val="26"/>
          <w:szCs w:val="26"/>
        </w:rPr>
        <w:t xml:space="preserve">ieņēmumu </w:t>
      </w:r>
      <w:r w:rsidRPr="006601FA">
        <w:rPr>
          <w:sz w:val="26"/>
          <w:szCs w:val="26"/>
        </w:rPr>
        <w:t xml:space="preserve">rentabilitāti līdz 10%) maršrutu izvērtējumu. Kopā šādi maršruti aptuveni </w:t>
      </w:r>
      <w:r w:rsidR="00F13789" w:rsidRPr="006601FA">
        <w:rPr>
          <w:sz w:val="26"/>
          <w:szCs w:val="26"/>
        </w:rPr>
        <w:t xml:space="preserve">veido </w:t>
      </w:r>
      <w:r w:rsidRPr="006601FA">
        <w:rPr>
          <w:sz w:val="26"/>
          <w:szCs w:val="26"/>
        </w:rPr>
        <w:t>219, kas pārsvarā atrodas Latgales</w:t>
      </w:r>
      <w:r w:rsidR="00E70AF9">
        <w:rPr>
          <w:sz w:val="26"/>
          <w:szCs w:val="26"/>
        </w:rPr>
        <w:t xml:space="preserve"> un</w:t>
      </w:r>
      <w:r w:rsidRPr="006601FA">
        <w:rPr>
          <w:sz w:val="26"/>
          <w:szCs w:val="26"/>
        </w:rPr>
        <w:t xml:space="preserve"> Vidzemes plānošanas reģionos.</w:t>
      </w:r>
      <w:r w:rsidR="00FA6450">
        <w:rPr>
          <w:sz w:val="26"/>
          <w:szCs w:val="26"/>
        </w:rPr>
        <w:t xml:space="preserve"> Novērtējums attiecībā uz potenciālo finansiālo ieguvumu </w:t>
      </w:r>
      <w:r w:rsidR="00653995">
        <w:rPr>
          <w:sz w:val="26"/>
          <w:szCs w:val="26"/>
        </w:rPr>
        <w:t>(</w:t>
      </w:r>
      <w:r w:rsidR="00653995">
        <w:t xml:space="preserve">322 211 EUR) </w:t>
      </w:r>
      <w:r w:rsidR="00FA6450">
        <w:rPr>
          <w:sz w:val="26"/>
          <w:szCs w:val="26"/>
        </w:rPr>
        <w:t xml:space="preserve">veidots, ievērojot to, ka atsevišķiem maršrutiem vai reisiem ar ļoti zemu rentabilitāti jau pašlaik ir mazāks savienojumu un intensitātes apjoms nekā STP Likumā noteiktais minimālais garantētais apjoms </w:t>
      </w:r>
      <w:r w:rsidR="00FA6450" w:rsidRPr="0018158A">
        <w:rPr>
          <w:sz w:val="26"/>
          <w:szCs w:val="26"/>
        </w:rPr>
        <w:t>darbdienās</w:t>
      </w:r>
      <w:r w:rsidR="00FA6450">
        <w:rPr>
          <w:sz w:val="26"/>
          <w:szCs w:val="26"/>
        </w:rPr>
        <w:t xml:space="preserve"> un brīvdienās</w:t>
      </w:r>
      <w:r w:rsidR="00653995">
        <w:rPr>
          <w:sz w:val="26"/>
          <w:szCs w:val="26"/>
        </w:rPr>
        <w:t>, līdz ar to</w:t>
      </w:r>
      <w:r w:rsidR="002D32E8">
        <w:rPr>
          <w:sz w:val="26"/>
          <w:szCs w:val="26"/>
        </w:rPr>
        <w:t>,</w:t>
      </w:r>
      <w:r w:rsidR="00653995">
        <w:rPr>
          <w:sz w:val="26"/>
          <w:szCs w:val="26"/>
        </w:rPr>
        <w:t xml:space="preserve"> slēdzot šādus maršrutus vai reisus</w:t>
      </w:r>
      <w:r w:rsidR="002D32E8">
        <w:rPr>
          <w:sz w:val="26"/>
          <w:szCs w:val="26"/>
        </w:rPr>
        <w:t>,</w:t>
      </w:r>
      <w:r w:rsidR="00653995">
        <w:rPr>
          <w:sz w:val="26"/>
          <w:szCs w:val="26"/>
        </w:rPr>
        <w:t xml:space="preserve"> pastāv risks, ka iedzīvotājiem nepastāv citas pārvietošanās vai mobilitātes iespējas</w:t>
      </w:r>
      <w:r w:rsidR="00FA6450">
        <w:rPr>
          <w:sz w:val="26"/>
          <w:szCs w:val="26"/>
        </w:rPr>
        <w:t>.</w:t>
      </w:r>
    </w:p>
    <w:p w14:paraId="0EF67073" w14:textId="39E87B7B" w:rsidR="006601FA" w:rsidRPr="00E70AF9" w:rsidRDefault="006601FA" w:rsidP="00E70AF9">
      <w:pPr>
        <w:pStyle w:val="tv213"/>
        <w:shd w:val="clear" w:color="auto" w:fill="FFFFFF"/>
        <w:spacing w:before="0" w:beforeAutospacing="0" w:after="0" w:afterAutospacing="0"/>
        <w:ind w:firstLine="709"/>
        <w:jc w:val="both"/>
        <w:rPr>
          <w:sz w:val="26"/>
          <w:szCs w:val="26"/>
        </w:rPr>
      </w:pPr>
      <w:r w:rsidRPr="006601FA">
        <w:rPr>
          <w:sz w:val="26"/>
          <w:szCs w:val="26"/>
        </w:rPr>
        <w:t>Papildus tiks sagatavoti priekšlikumi pārskatīt autobusu maršrutus, kurus tā posmā iespējams daļēji aizstāt ar vilcienu, veidojot kombinētos pārvadājumus. Šobrīd maršrutu pārskatīšanu ierobežo pieejamā vilcienu kapacitāte un apgrūtinātās pasažieru iekāpšanas/izkāpšanas iespējas vilcienos, kā arī staciju un pieturas punktu piekļūstamība, jo viens no galvenajiem kombinēto pārvadājumu pamatnosacījumiem ir ātra un ērta piekļūšana un pārsēšanās iespējas nezaudējot ceļā pavadīto laiku. Pēc jauno elektrovilcienu nodošanas ekspluatācijā un intervāla grafika ieviešanas, kā arī lielas daļ</w:t>
      </w:r>
      <w:r w:rsidR="0053624D">
        <w:rPr>
          <w:sz w:val="26"/>
          <w:szCs w:val="26"/>
        </w:rPr>
        <w:t>a</w:t>
      </w:r>
      <w:r w:rsidRPr="006601FA">
        <w:rPr>
          <w:sz w:val="26"/>
          <w:szCs w:val="26"/>
        </w:rPr>
        <w:t xml:space="preserve">s </w:t>
      </w:r>
      <w:r w:rsidRPr="00E70AF9">
        <w:rPr>
          <w:sz w:val="26"/>
          <w:szCs w:val="26"/>
        </w:rPr>
        <w:t>dzelzceļa staciju un pieturas punktu rekonstrukcijas (t</w:t>
      </w:r>
      <w:r w:rsidR="00DB5E84">
        <w:rPr>
          <w:sz w:val="26"/>
          <w:szCs w:val="26"/>
        </w:rPr>
        <w:t>ostarp</w:t>
      </w:r>
      <w:r w:rsidRPr="00E70AF9">
        <w:rPr>
          <w:sz w:val="26"/>
          <w:szCs w:val="26"/>
        </w:rPr>
        <w:t xml:space="preserve"> paaugstinot peronus) 2024.gadā, būs iespēja palielināt kombinēto (dzelzceļš-autobuss) pārvadājumu apjomu, tādējādi samazinot finansējuma apjomu zaudējumu kompensēšanai autobusu pārvadājumos.</w:t>
      </w:r>
      <w:r w:rsidR="00727ECE" w:rsidRPr="00727ECE">
        <w:rPr>
          <w:rStyle w:val="Strong"/>
          <w:b w:val="0"/>
          <w:bCs w:val="0"/>
          <w:sz w:val="26"/>
          <w:szCs w:val="26"/>
          <w:shd w:val="clear" w:color="auto" w:fill="FFFFFF"/>
        </w:rPr>
        <w:t xml:space="preserve"> Platformu modernizācija tiks veikta ar </w:t>
      </w:r>
      <w:r w:rsidR="00253511" w:rsidRPr="00727ECE">
        <w:rPr>
          <w:sz w:val="26"/>
          <w:szCs w:val="26"/>
          <w:shd w:val="clear" w:color="auto" w:fill="FFFFFF"/>
        </w:rPr>
        <w:t>ES Kohēzijas fonda līdzfinansējum</w:t>
      </w:r>
      <w:r w:rsidR="00727ECE">
        <w:rPr>
          <w:sz w:val="26"/>
          <w:szCs w:val="26"/>
          <w:shd w:val="clear" w:color="auto" w:fill="FFFFFF"/>
        </w:rPr>
        <w:t>u</w:t>
      </w:r>
      <w:r w:rsidR="00253511" w:rsidRPr="00727ECE">
        <w:rPr>
          <w:sz w:val="26"/>
          <w:szCs w:val="26"/>
          <w:shd w:val="clear" w:color="auto" w:fill="FFFFFF"/>
        </w:rPr>
        <w:t xml:space="preserve"> 85%, un atlikušo nepieciešamo finansējumu jeb 15% </w:t>
      </w:r>
      <w:r w:rsidR="00727ECE" w:rsidRPr="00727ECE">
        <w:rPr>
          <w:sz w:val="26"/>
          <w:szCs w:val="26"/>
          <w:shd w:val="clear" w:color="auto" w:fill="FFFFFF"/>
        </w:rPr>
        <w:t>VAS “Latvijas Dzelzceļš”</w:t>
      </w:r>
      <w:r w:rsidR="00253511" w:rsidRPr="00727ECE">
        <w:rPr>
          <w:sz w:val="26"/>
          <w:szCs w:val="26"/>
          <w:shd w:val="clear" w:color="auto" w:fill="FFFFFF"/>
        </w:rPr>
        <w:t xml:space="preserve"> segs no saviem finanšu resursiem</w:t>
      </w:r>
      <w:r w:rsidR="00727ECE" w:rsidRPr="00727ECE">
        <w:rPr>
          <w:sz w:val="26"/>
          <w:szCs w:val="26"/>
          <w:shd w:val="clear" w:color="auto" w:fill="FFFFFF"/>
        </w:rPr>
        <w:t>.</w:t>
      </w:r>
      <w:r w:rsidR="00653995">
        <w:rPr>
          <w:sz w:val="26"/>
          <w:szCs w:val="26"/>
          <w:shd w:val="clear" w:color="auto" w:fill="FFFFFF"/>
        </w:rPr>
        <w:t xml:space="preserve"> Potenciāli valsts budžeta izdevumu ekonomija, samazinot nobraukumu reģionālās nozīmes pārvadājumos ar autobusiem</w:t>
      </w:r>
      <w:r w:rsidR="000D59C6">
        <w:rPr>
          <w:sz w:val="26"/>
          <w:szCs w:val="26"/>
          <w:shd w:val="clear" w:color="auto" w:fill="FFFFFF"/>
        </w:rPr>
        <w:t>, novērtējam</w:t>
      </w:r>
      <w:r w:rsidR="008275DD">
        <w:rPr>
          <w:sz w:val="26"/>
          <w:szCs w:val="26"/>
          <w:shd w:val="clear" w:color="auto" w:fill="FFFFFF"/>
        </w:rPr>
        <w:t>a</w:t>
      </w:r>
      <w:r w:rsidR="000D59C6">
        <w:rPr>
          <w:sz w:val="26"/>
          <w:szCs w:val="26"/>
          <w:shd w:val="clear" w:color="auto" w:fill="FFFFFF"/>
        </w:rPr>
        <w:t xml:space="preserve"> 567 000 EUR apmērā.</w:t>
      </w:r>
    </w:p>
    <w:p w14:paraId="06F78E7D" w14:textId="1902375D" w:rsidR="00E70AF9" w:rsidRPr="00E70AF9" w:rsidRDefault="006601FA" w:rsidP="00E70AF9">
      <w:pPr>
        <w:pStyle w:val="pf0"/>
        <w:spacing w:before="0" w:beforeAutospacing="0" w:after="0" w:afterAutospacing="0"/>
        <w:ind w:firstLine="709"/>
        <w:jc w:val="both"/>
        <w:rPr>
          <w:sz w:val="26"/>
          <w:szCs w:val="26"/>
        </w:rPr>
      </w:pPr>
      <w:r w:rsidRPr="00E70AF9">
        <w:rPr>
          <w:sz w:val="26"/>
          <w:szCs w:val="26"/>
        </w:rPr>
        <w:t>Vienlaikus j</w:t>
      </w:r>
      <w:r w:rsidR="00F13789" w:rsidRPr="00E70AF9">
        <w:rPr>
          <w:sz w:val="26"/>
          <w:szCs w:val="26"/>
        </w:rPr>
        <w:t>āatzīmē, ka</w:t>
      </w:r>
      <w:r w:rsidR="00C84A81" w:rsidRPr="00E70AF9">
        <w:rPr>
          <w:sz w:val="26"/>
          <w:szCs w:val="26"/>
        </w:rPr>
        <w:t xml:space="preserve"> </w:t>
      </w:r>
      <w:r w:rsidR="00E70AF9" w:rsidRPr="00E70AF9">
        <w:rPr>
          <w:sz w:val="26"/>
          <w:szCs w:val="26"/>
        </w:rPr>
        <w:t xml:space="preserve">ar </w:t>
      </w:r>
      <w:r w:rsidR="00C84A81" w:rsidRPr="00E70AF9">
        <w:rPr>
          <w:sz w:val="26"/>
          <w:szCs w:val="26"/>
        </w:rPr>
        <w:t>maršrutu tīkla</w:t>
      </w:r>
      <w:r w:rsidR="00E70AF9" w:rsidRPr="00E70AF9">
        <w:rPr>
          <w:sz w:val="26"/>
          <w:szCs w:val="26"/>
        </w:rPr>
        <w:t xml:space="preserve"> mazināšanu </w:t>
      </w:r>
      <w:r w:rsidR="00E70AF9" w:rsidRPr="00E70AF9">
        <w:rPr>
          <w:rStyle w:val="cf01"/>
          <w:rFonts w:ascii="Times New Roman" w:hAnsi="Times New Roman" w:cs="Times New Roman"/>
          <w:sz w:val="26"/>
          <w:szCs w:val="26"/>
        </w:rPr>
        <w:t>var tikt negatīvi ietekmēta attiecīgās pašvaldības attīstība, jo pieejams sabiedriskais transports ir viens no priekšnosacījumiem, kas nodrošina teritorijas un tās iedzīvotāju spēju būt konkurētspējīgiem un integrētiem valsts kopējā ekonomikā.</w:t>
      </w:r>
    </w:p>
    <w:p w14:paraId="13BB9B7F" w14:textId="1F492331" w:rsidR="00C84A81" w:rsidRPr="00C84A81" w:rsidRDefault="00C84A81" w:rsidP="006601FA">
      <w:pPr>
        <w:pStyle w:val="tv213"/>
        <w:shd w:val="clear" w:color="auto" w:fill="FFFFFF"/>
        <w:spacing w:before="0" w:beforeAutospacing="0" w:after="0" w:afterAutospacing="0" w:line="293" w:lineRule="atLeast"/>
        <w:ind w:firstLine="709"/>
        <w:jc w:val="both"/>
        <w:rPr>
          <w:b/>
          <w:bCs/>
          <w:sz w:val="26"/>
          <w:szCs w:val="26"/>
        </w:rPr>
      </w:pPr>
    </w:p>
    <w:p w14:paraId="5812DB2C" w14:textId="17B48101" w:rsidR="00C84A81" w:rsidRDefault="00C84A81" w:rsidP="00914404">
      <w:pPr>
        <w:pStyle w:val="tv213"/>
        <w:shd w:val="clear" w:color="auto" w:fill="FFFFFF"/>
        <w:spacing w:before="0" w:beforeAutospacing="0" w:after="0" w:afterAutospacing="0" w:line="293" w:lineRule="atLeast"/>
        <w:ind w:firstLine="709"/>
        <w:jc w:val="both"/>
        <w:rPr>
          <w:b/>
          <w:bCs/>
          <w:sz w:val="26"/>
          <w:szCs w:val="26"/>
        </w:rPr>
      </w:pPr>
      <w:r>
        <w:rPr>
          <w:b/>
          <w:bCs/>
          <w:sz w:val="26"/>
          <w:szCs w:val="26"/>
        </w:rPr>
        <w:t>2.2.2. Tarifu (braukšanas maksas) pārskatīšana</w:t>
      </w:r>
    </w:p>
    <w:p w14:paraId="323D721A" w14:textId="60358E6D" w:rsidR="002263C8" w:rsidRDefault="001A2E9D" w:rsidP="001A2E9D">
      <w:pPr>
        <w:ind w:firstLine="709"/>
        <w:jc w:val="both"/>
        <w:rPr>
          <w:color w:val="000000"/>
          <w:sz w:val="26"/>
          <w:szCs w:val="26"/>
        </w:rPr>
      </w:pPr>
      <w:r w:rsidRPr="00CA2BB6">
        <w:rPr>
          <w:color w:val="000000"/>
          <w:sz w:val="26"/>
          <w:szCs w:val="26"/>
        </w:rPr>
        <w:t>Sākotnēji</w:t>
      </w:r>
      <w:r>
        <w:rPr>
          <w:color w:val="000000"/>
          <w:sz w:val="26"/>
          <w:szCs w:val="26"/>
        </w:rPr>
        <w:t>, izvērtējot situāciju</w:t>
      </w:r>
      <w:r w:rsidR="00133F29">
        <w:rPr>
          <w:color w:val="000000"/>
          <w:sz w:val="26"/>
          <w:szCs w:val="26"/>
        </w:rPr>
        <w:t xml:space="preserve"> un secinot to, ka reģionālās nozīmes pārvadājumos ar autobusiem pastāv vismaz 3 dažādi tarifa veidošanas principi (</w:t>
      </w:r>
      <w:r w:rsidR="002263C8">
        <w:rPr>
          <w:color w:val="000000"/>
          <w:sz w:val="26"/>
          <w:szCs w:val="26"/>
        </w:rPr>
        <w:t xml:space="preserve">viens </w:t>
      </w:r>
      <w:r w:rsidR="00133F29">
        <w:rPr>
          <w:color w:val="000000"/>
          <w:sz w:val="26"/>
          <w:szCs w:val="26"/>
        </w:rPr>
        <w:t xml:space="preserve">vietējās nozīmes pārvadājumiem un divi starppilsētu nozīmes pārvadājumos), kā arī vilcienu pārvadājumos pastāv dalījums – zonu tarifs pārvadājumos ar elektrovilcieniem (un Siguldas virzienā ar dīzeļvilcienu) un tarifs </w:t>
      </w:r>
      <w:r w:rsidR="00E74AD2">
        <w:rPr>
          <w:color w:val="000000"/>
          <w:sz w:val="26"/>
          <w:szCs w:val="26"/>
        </w:rPr>
        <w:t xml:space="preserve">ārpus zonām, </w:t>
      </w:r>
      <w:r w:rsidR="00133F29">
        <w:rPr>
          <w:color w:val="000000"/>
          <w:sz w:val="26"/>
          <w:szCs w:val="26"/>
        </w:rPr>
        <w:t xml:space="preserve">atkarībā no braukšanas attāluma </w:t>
      </w:r>
      <w:r w:rsidR="002263C8">
        <w:rPr>
          <w:color w:val="000000"/>
          <w:sz w:val="26"/>
          <w:szCs w:val="26"/>
        </w:rPr>
        <w:t>–</w:t>
      </w:r>
      <w:r w:rsidR="00133F29">
        <w:rPr>
          <w:color w:val="000000"/>
          <w:sz w:val="26"/>
          <w:szCs w:val="26"/>
        </w:rPr>
        <w:t xml:space="preserve"> dīzeļvilcienos, tad primāri</w:t>
      </w:r>
      <w:r w:rsidR="002263C8">
        <w:rPr>
          <w:color w:val="000000"/>
          <w:sz w:val="26"/>
          <w:szCs w:val="26"/>
        </w:rPr>
        <w:t>, pārskatot tarifus,</w:t>
      </w:r>
      <w:r w:rsidR="00133F29">
        <w:rPr>
          <w:color w:val="000000"/>
          <w:sz w:val="26"/>
          <w:szCs w:val="26"/>
        </w:rPr>
        <w:t xml:space="preserve"> tika izvirzīts kritērijs – vienādot vietējās un starppilsētu </w:t>
      </w:r>
      <w:r w:rsidR="00655A8F">
        <w:rPr>
          <w:color w:val="000000"/>
          <w:sz w:val="26"/>
          <w:szCs w:val="26"/>
        </w:rPr>
        <w:t xml:space="preserve">nozīmes </w:t>
      </w:r>
      <w:r w:rsidR="00133F29">
        <w:rPr>
          <w:color w:val="000000"/>
          <w:sz w:val="26"/>
          <w:szCs w:val="26"/>
        </w:rPr>
        <w:t xml:space="preserve">autobusu </w:t>
      </w:r>
      <w:r w:rsidR="00655A8F">
        <w:rPr>
          <w:color w:val="000000"/>
          <w:sz w:val="26"/>
          <w:szCs w:val="26"/>
        </w:rPr>
        <w:t xml:space="preserve">pārvadājumu </w:t>
      </w:r>
      <w:r w:rsidR="00133F29">
        <w:rPr>
          <w:color w:val="000000"/>
          <w:sz w:val="26"/>
          <w:szCs w:val="26"/>
        </w:rPr>
        <w:t>tarifus</w:t>
      </w:r>
      <w:r w:rsidR="002263C8">
        <w:rPr>
          <w:color w:val="000000"/>
          <w:sz w:val="26"/>
          <w:szCs w:val="26"/>
        </w:rPr>
        <w:t>, kā arī saglabāt augstāku prioritāti attiecībā uz dzelzceļa pārvadājumiem, nosakot autobusu pārvadājumos tarifu, kas ir augstāks vai vienāds ar vilcienu pārvadājumos noteikto tarifu.</w:t>
      </w:r>
    </w:p>
    <w:p w14:paraId="55DB364A" w14:textId="0C1067C9" w:rsidR="0064441A" w:rsidRDefault="002263C8" w:rsidP="001A2E9D">
      <w:pPr>
        <w:ind w:firstLine="709"/>
        <w:jc w:val="both"/>
        <w:rPr>
          <w:color w:val="000000"/>
          <w:sz w:val="26"/>
          <w:szCs w:val="26"/>
        </w:rPr>
      </w:pPr>
      <w:r>
        <w:rPr>
          <w:color w:val="000000"/>
          <w:sz w:val="26"/>
          <w:szCs w:val="26"/>
        </w:rPr>
        <w:t>Veicot izpēti arī attiecībā uz reģionu teritoriālajām izmaiņām pēc Administratīvi teritoriālās reformas un iedzīvotāju maksātspēju pēdējo gados, tika secināts, ka Rīgas plānošanas reģionā vidējā neto darba samaksa 2022.gadā ir bijusi vidēji par 27%</w:t>
      </w:r>
      <w:r w:rsidR="0064441A">
        <w:rPr>
          <w:rStyle w:val="FootnoteReference"/>
          <w:color w:val="000000"/>
          <w:sz w:val="26"/>
          <w:szCs w:val="26"/>
        </w:rPr>
        <w:footnoteReference w:id="20"/>
      </w:r>
      <w:r>
        <w:rPr>
          <w:color w:val="000000"/>
          <w:sz w:val="26"/>
          <w:szCs w:val="26"/>
        </w:rPr>
        <w:t xml:space="preserve"> lielāk</w:t>
      </w:r>
      <w:r w:rsidR="0064441A">
        <w:rPr>
          <w:color w:val="000000"/>
          <w:sz w:val="26"/>
          <w:szCs w:val="26"/>
        </w:rPr>
        <w:t>a</w:t>
      </w:r>
      <w:r>
        <w:rPr>
          <w:color w:val="000000"/>
          <w:sz w:val="26"/>
          <w:szCs w:val="26"/>
        </w:rPr>
        <w:t xml:space="preserve"> nekā pārējos plānošanas reģionos (vislielāk</w:t>
      </w:r>
      <w:r w:rsidR="00655A8F">
        <w:rPr>
          <w:color w:val="000000"/>
          <w:sz w:val="26"/>
          <w:szCs w:val="26"/>
        </w:rPr>
        <w:t>ā</w:t>
      </w:r>
      <w:r>
        <w:rPr>
          <w:color w:val="000000"/>
          <w:sz w:val="26"/>
          <w:szCs w:val="26"/>
        </w:rPr>
        <w:t xml:space="preserve"> plaisa veidojas tieši ar Latgales plānošanas reģionu </w:t>
      </w:r>
      <w:r w:rsidR="0064441A">
        <w:rPr>
          <w:color w:val="000000"/>
          <w:sz w:val="26"/>
          <w:szCs w:val="26"/>
        </w:rPr>
        <w:t xml:space="preserve">– 34% apmērā). </w:t>
      </w:r>
    </w:p>
    <w:p w14:paraId="68AF1A80" w14:textId="213FB43A" w:rsidR="001A2E9D" w:rsidRDefault="0064441A" w:rsidP="001A2E9D">
      <w:pPr>
        <w:ind w:firstLine="709"/>
        <w:jc w:val="both"/>
        <w:rPr>
          <w:color w:val="000000"/>
          <w:sz w:val="26"/>
          <w:szCs w:val="26"/>
        </w:rPr>
      </w:pPr>
      <w:r>
        <w:rPr>
          <w:color w:val="000000"/>
          <w:sz w:val="26"/>
          <w:szCs w:val="26"/>
        </w:rPr>
        <w:t xml:space="preserve">Līdz ar to tika </w:t>
      </w:r>
      <w:r w:rsidR="001A2E9D" w:rsidRPr="00CA2BB6">
        <w:rPr>
          <w:color w:val="000000"/>
          <w:sz w:val="26"/>
          <w:szCs w:val="26"/>
        </w:rPr>
        <w:t xml:space="preserve">izstrādāti vairāki </w:t>
      </w:r>
      <w:r w:rsidR="007A7A4B">
        <w:rPr>
          <w:color w:val="000000"/>
          <w:sz w:val="26"/>
          <w:szCs w:val="26"/>
        </w:rPr>
        <w:t>braukšanas maksas</w:t>
      </w:r>
      <w:r w:rsidR="007A7A4B" w:rsidRPr="007A7A4B">
        <w:rPr>
          <w:color w:val="000000"/>
          <w:sz w:val="26"/>
          <w:szCs w:val="26"/>
        </w:rPr>
        <w:t xml:space="preserve"> </w:t>
      </w:r>
      <w:r>
        <w:rPr>
          <w:color w:val="000000"/>
          <w:sz w:val="26"/>
          <w:szCs w:val="26"/>
        </w:rPr>
        <w:t>(</w:t>
      </w:r>
      <w:r w:rsidR="007A7A4B">
        <w:rPr>
          <w:color w:val="000000"/>
          <w:sz w:val="26"/>
          <w:szCs w:val="26"/>
        </w:rPr>
        <w:t>tarifu</w:t>
      </w:r>
      <w:r>
        <w:rPr>
          <w:color w:val="000000"/>
          <w:sz w:val="26"/>
          <w:szCs w:val="26"/>
        </w:rPr>
        <w:t>)</w:t>
      </w:r>
      <w:r w:rsidR="001A2E9D" w:rsidRPr="00CA2BB6">
        <w:rPr>
          <w:color w:val="000000"/>
          <w:sz w:val="26"/>
          <w:szCs w:val="26"/>
        </w:rPr>
        <w:t xml:space="preserve"> pārskatīšanas varianti, kuru provizoriskā finanšu ietekme ir robežās no 7 563 628 EUR līdz 9 974 276 EUR, kuriem pastāv apakšvarianti. Variantu raksturojošās pazīmes ir lielāks vai mazāks braukšanas maksas pieaugums braucot starp zonām vilcienu maršrutos, straujāks vai mazāk straujš biļešu cenu kāpums vilcienu pārvadājumos ārpus zonām, kā arī straujāks vai mazāk straujš biļešu cenu pieaugums reģionālās nozīmes autobusu pārvadājumos. Visos variantos paredzēta augstākas minimālās maksas noteikšana Rīgā un citās valstspilsētās</w:t>
      </w:r>
      <w:r>
        <w:rPr>
          <w:color w:val="000000"/>
          <w:sz w:val="26"/>
          <w:szCs w:val="26"/>
        </w:rPr>
        <w:t xml:space="preserve"> (skatīt tabulu Nr.10)</w:t>
      </w:r>
      <w:r w:rsidR="001A2E9D" w:rsidRPr="00CA2BB6">
        <w:rPr>
          <w:color w:val="000000"/>
          <w:sz w:val="26"/>
          <w:szCs w:val="26"/>
        </w:rPr>
        <w:t>.</w:t>
      </w:r>
    </w:p>
    <w:p w14:paraId="790A4F50" w14:textId="4F21FD30" w:rsidR="0064441A" w:rsidRPr="00CA2BB6" w:rsidRDefault="0064441A" w:rsidP="00CA2BB6">
      <w:pPr>
        <w:jc w:val="right"/>
        <w:rPr>
          <w:color w:val="000000"/>
        </w:rPr>
      </w:pPr>
      <w:r w:rsidRPr="00CA2BB6">
        <w:rPr>
          <w:color w:val="000000"/>
        </w:rPr>
        <w:t xml:space="preserve">Tabula Nr.10 </w:t>
      </w:r>
    </w:p>
    <w:p w14:paraId="143CFD0A" w14:textId="28909C36" w:rsidR="0064441A" w:rsidRDefault="0064441A" w:rsidP="0064441A">
      <w:pPr>
        <w:jc w:val="right"/>
        <w:rPr>
          <w:color w:val="000000"/>
        </w:rPr>
      </w:pPr>
      <w:r>
        <w:rPr>
          <w:color w:val="000000"/>
        </w:rPr>
        <w:t>Pārskatītā</w:t>
      </w:r>
      <w:r w:rsidRPr="00CA2BB6">
        <w:rPr>
          <w:color w:val="000000"/>
        </w:rPr>
        <w:t xml:space="preserve"> tarifa (braukšanas maksas) </w:t>
      </w:r>
      <w:r>
        <w:rPr>
          <w:color w:val="000000"/>
        </w:rPr>
        <w:t xml:space="preserve">potenciālā </w:t>
      </w:r>
    </w:p>
    <w:p w14:paraId="65FAE84A" w14:textId="06FC32FE" w:rsidR="0064441A" w:rsidRPr="00CA2BB6" w:rsidRDefault="0064441A" w:rsidP="00CA2BB6">
      <w:pPr>
        <w:jc w:val="right"/>
        <w:rPr>
          <w:color w:val="000000"/>
        </w:rPr>
      </w:pPr>
      <w:r w:rsidRPr="00CA2BB6">
        <w:rPr>
          <w:color w:val="000000"/>
        </w:rPr>
        <w:t>ietekme valsts budžeta izdevumiem un sekas</w:t>
      </w:r>
    </w:p>
    <w:tbl>
      <w:tblPr>
        <w:tblW w:w="9207" w:type="dxa"/>
        <w:tblInd w:w="-3" w:type="dxa"/>
        <w:tblCellMar>
          <w:left w:w="0" w:type="dxa"/>
          <w:right w:w="0" w:type="dxa"/>
        </w:tblCellMar>
        <w:tblLook w:val="04A0" w:firstRow="1" w:lastRow="0" w:firstColumn="1" w:lastColumn="0" w:noHBand="0" w:noVBand="1"/>
      </w:tblPr>
      <w:tblGrid>
        <w:gridCol w:w="560"/>
        <w:gridCol w:w="1529"/>
        <w:gridCol w:w="3858"/>
        <w:gridCol w:w="3260"/>
      </w:tblGrid>
      <w:tr w:rsidR="0064441A" w14:paraId="56D97509" w14:textId="77777777" w:rsidTr="00CA2BB6">
        <w:trPr>
          <w:trHeight w:val="1500"/>
        </w:trPr>
        <w:tc>
          <w:tcPr>
            <w:tcW w:w="56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84070E8" w14:textId="77777777" w:rsidR="0064441A" w:rsidRDefault="0064441A" w:rsidP="00535B58">
            <w:pPr>
              <w:rPr>
                <w:color w:val="000000"/>
              </w:rPr>
            </w:pPr>
            <w:r>
              <w:rPr>
                <w:color w:val="000000"/>
              </w:rPr>
              <w:t> </w:t>
            </w:r>
          </w:p>
        </w:tc>
        <w:tc>
          <w:tcPr>
            <w:tcW w:w="152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4217725" w14:textId="2175EC2F" w:rsidR="0064441A" w:rsidRDefault="00E74AD2" w:rsidP="00535B58">
            <w:pPr>
              <w:jc w:val="center"/>
              <w:rPr>
                <w:color w:val="000000"/>
              </w:rPr>
            </w:pPr>
            <w:r>
              <w:rPr>
                <w:color w:val="000000"/>
              </w:rPr>
              <w:t>Potenciālā f</w:t>
            </w:r>
            <w:r w:rsidR="0064441A">
              <w:rPr>
                <w:color w:val="000000"/>
              </w:rPr>
              <w:t>inansiālā ietekme uz biļešu ieņēmumiem</w:t>
            </w:r>
            <w:r>
              <w:rPr>
                <w:color w:val="000000"/>
              </w:rPr>
              <w:t>, EUR (bez PVN)</w:t>
            </w:r>
          </w:p>
        </w:tc>
        <w:tc>
          <w:tcPr>
            <w:tcW w:w="385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2E48BFA" w14:textId="5C4F481C" w:rsidR="0064441A" w:rsidRDefault="0064441A" w:rsidP="00535B58">
            <w:pPr>
              <w:jc w:val="center"/>
              <w:rPr>
                <w:color w:val="000000"/>
              </w:rPr>
            </w:pPr>
            <w:r>
              <w:rPr>
                <w:color w:val="000000"/>
              </w:rPr>
              <w:t xml:space="preserve">Tarifa (braukšanas maksas) izmaiņas pret </w:t>
            </w:r>
            <w:r w:rsidRPr="007A7A4B">
              <w:rPr>
                <w:color w:val="000000"/>
              </w:rPr>
              <w:t>spēkā esošo tarifu</w:t>
            </w:r>
            <w:r>
              <w:rPr>
                <w:color w:val="000000"/>
              </w:rPr>
              <w:t xml:space="preserve"> (braukšanas maksu) pamatprincipi</w:t>
            </w:r>
          </w:p>
        </w:tc>
        <w:tc>
          <w:tcPr>
            <w:tcW w:w="32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04DABEE1" w14:textId="77777777" w:rsidR="0064441A" w:rsidRDefault="0064441A" w:rsidP="00535B58">
            <w:pPr>
              <w:jc w:val="center"/>
              <w:rPr>
                <w:color w:val="000000"/>
              </w:rPr>
            </w:pPr>
            <w:r>
              <w:rPr>
                <w:color w:val="000000"/>
              </w:rPr>
              <w:t xml:space="preserve">Sekas </w:t>
            </w:r>
          </w:p>
        </w:tc>
      </w:tr>
      <w:tr w:rsidR="00E74AD2" w14:paraId="732AE18C" w14:textId="77777777" w:rsidTr="00E74AD2">
        <w:trPr>
          <w:cantSplit/>
          <w:trHeight w:val="1134"/>
        </w:trPr>
        <w:tc>
          <w:tcPr>
            <w:tcW w:w="560" w:type="dxa"/>
            <w:tcBorders>
              <w:top w:val="nil"/>
              <w:left w:val="single" w:sz="8" w:space="0" w:color="auto"/>
              <w:bottom w:val="single" w:sz="8" w:space="0" w:color="auto"/>
              <w:right w:val="single" w:sz="8" w:space="0" w:color="auto"/>
            </w:tcBorders>
            <w:noWrap/>
            <w:tcMar>
              <w:top w:w="0" w:type="dxa"/>
              <w:left w:w="108" w:type="dxa"/>
              <w:bottom w:w="0" w:type="dxa"/>
              <w:right w:w="108" w:type="dxa"/>
            </w:tcMar>
            <w:textDirection w:val="btLr"/>
            <w:vAlign w:val="center"/>
            <w:hideMark/>
          </w:tcPr>
          <w:p w14:paraId="6F6BB60E" w14:textId="77777777" w:rsidR="0064441A" w:rsidRDefault="0064441A" w:rsidP="00E74AD2">
            <w:pPr>
              <w:ind w:left="113" w:right="113"/>
              <w:jc w:val="center"/>
              <w:rPr>
                <w:color w:val="000000"/>
              </w:rPr>
            </w:pPr>
            <w:r>
              <w:rPr>
                <w:color w:val="000000"/>
              </w:rPr>
              <w:t>1.variants</w:t>
            </w:r>
          </w:p>
        </w:tc>
        <w:tc>
          <w:tcPr>
            <w:tcW w:w="152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0D1C56B" w14:textId="77777777" w:rsidR="0064441A" w:rsidRDefault="0064441A" w:rsidP="00E74AD2">
            <w:pPr>
              <w:jc w:val="center"/>
              <w:rPr>
                <w:color w:val="000000"/>
              </w:rPr>
            </w:pPr>
            <w:r>
              <w:rPr>
                <w:color w:val="000000"/>
              </w:rPr>
              <w:t>7 563 628</w:t>
            </w:r>
          </w:p>
        </w:tc>
        <w:tc>
          <w:tcPr>
            <w:tcW w:w="3858"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4A8F7D4D" w14:textId="77777777" w:rsidR="0064441A" w:rsidRDefault="0064441A" w:rsidP="00535B58">
            <w:pPr>
              <w:rPr>
                <w:color w:val="000000"/>
              </w:rPr>
            </w:pPr>
          </w:p>
          <w:p w14:paraId="7DC6CE3B" w14:textId="77777777" w:rsidR="0064441A" w:rsidRPr="00FA65FF" w:rsidRDefault="0064441A" w:rsidP="00535B58">
            <w:pPr>
              <w:rPr>
                <w:color w:val="000000"/>
              </w:rPr>
            </w:pPr>
            <w:r>
              <w:rPr>
                <w:color w:val="000000"/>
              </w:rPr>
              <w:t xml:space="preserve">Vidējs </w:t>
            </w:r>
            <w:r w:rsidRPr="00FA65FF">
              <w:rPr>
                <w:color w:val="000000"/>
              </w:rPr>
              <w:t>braukšanas maksas pieaugums starp zonu braucienos (</w:t>
            </w:r>
            <w:r>
              <w:rPr>
                <w:color w:val="000000"/>
              </w:rPr>
              <w:t>0,50 EUR)</w:t>
            </w:r>
            <w:r w:rsidRPr="00FA65FF">
              <w:rPr>
                <w:color w:val="000000"/>
              </w:rPr>
              <w:t xml:space="preserve"> ar </w:t>
            </w:r>
            <w:r>
              <w:rPr>
                <w:color w:val="000000"/>
              </w:rPr>
              <w:t xml:space="preserve">mazāk strauju </w:t>
            </w:r>
            <w:r w:rsidRPr="00FA65FF">
              <w:rPr>
                <w:color w:val="000000"/>
              </w:rPr>
              <w:t>biļešu cenu kāpumu vilcienu pārvadājumos ārpus zonām (</w:t>
            </w:r>
            <w:r>
              <w:rPr>
                <w:color w:val="000000"/>
              </w:rPr>
              <w:t>15</w:t>
            </w:r>
            <w:r w:rsidRPr="00FA65FF">
              <w:rPr>
                <w:color w:val="000000"/>
              </w:rPr>
              <w:t>%).</w:t>
            </w:r>
          </w:p>
          <w:p w14:paraId="4EE2B6C7" w14:textId="77777777" w:rsidR="0064441A" w:rsidRPr="00FA65FF" w:rsidRDefault="0064441A" w:rsidP="00535B58">
            <w:pPr>
              <w:rPr>
                <w:color w:val="000000"/>
              </w:rPr>
            </w:pPr>
          </w:p>
          <w:p w14:paraId="6A8AC82E" w14:textId="77777777" w:rsidR="0064441A" w:rsidRDefault="0064441A" w:rsidP="00535B58">
            <w:pPr>
              <w:rPr>
                <w:color w:val="000000"/>
              </w:rPr>
            </w:pPr>
            <w:r w:rsidRPr="00FA65FF">
              <w:rPr>
                <w:color w:val="000000"/>
              </w:rPr>
              <w:t>Mazāk straujš biļešu cenu pieaugums reģionālās nozīmes autobusu pārvadājumos (pieaugums mainīgs atkarībā no brauciena attāluma)</w:t>
            </w:r>
            <w:r>
              <w:rPr>
                <w:color w:val="000000"/>
              </w:rPr>
              <w:t>.</w:t>
            </w:r>
          </w:p>
          <w:p w14:paraId="4BE122DD" w14:textId="1850C8E9" w:rsidR="0064441A" w:rsidRDefault="0064441A" w:rsidP="00535B58">
            <w:pPr>
              <w:rPr>
                <w:color w:val="000000"/>
              </w:rPr>
            </w:pPr>
          </w:p>
        </w:tc>
        <w:tc>
          <w:tcPr>
            <w:tcW w:w="3260"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70342EB" w14:textId="7FDC737E" w:rsidR="0064441A" w:rsidRDefault="0064441A" w:rsidP="00535B58">
            <w:pPr>
              <w:jc w:val="center"/>
              <w:rPr>
                <w:color w:val="000000"/>
              </w:rPr>
            </w:pPr>
            <w:r>
              <w:rPr>
                <w:color w:val="000000"/>
              </w:rPr>
              <w:t xml:space="preserve">tarifa izmaiņas ietekmēs tieši reģionos dzīvojošos iedzīvotājus, un pastāv </w:t>
            </w:r>
            <w:r w:rsidR="00E74AD2">
              <w:rPr>
                <w:color w:val="000000"/>
              </w:rPr>
              <w:t>risks</w:t>
            </w:r>
            <w:r>
              <w:rPr>
                <w:color w:val="000000"/>
              </w:rPr>
              <w:t xml:space="preserve">, ka atsevišķās pašvaldībās tarifu kāpums var būtiski ietekmēt pasažieru izvēli </w:t>
            </w:r>
            <w:r w:rsidR="00E74AD2">
              <w:rPr>
                <w:color w:val="000000"/>
              </w:rPr>
              <w:t>izmanto</w:t>
            </w:r>
            <w:r>
              <w:rPr>
                <w:color w:val="000000"/>
              </w:rPr>
              <w:t>t sabiedrisko transportu</w:t>
            </w:r>
          </w:p>
        </w:tc>
      </w:tr>
      <w:tr w:rsidR="00E74AD2" w14:paraId="7858CCC2" w14:textId="77777777" w:rsidTr="00E74AD2">
        <w:trPr>
          <w:cantSplit/>
          <w:trHeight w:val="2101"/>
        </w:trPr>
        <w:tc>
          <w:tcPr>
            <w:tcW w:w="560" w:type="dxa"/>
            <w:tcBorders>
              <w:top w:val="nil"/>
              <w:left w:val="single" w:sz="8" w:space="0" w:color="auto"/>
              <w:bottom w:val="single" w:sz="8" w:space="0" w:color="auto"/>
              <w:right w:val="single" w:sz="8" w:space="0" w:color="auto"/>
            </w:tcBorders>
            <w:noWrap/>
            <w:tcMar>
              <w:top w:w="0" w:type="dxa"/>
              <w:left w:w="108" w:type="dxa"/>
              <w:bottom w:w="0" w:type="dxa"/>
              <w:right w:w="108" w:type="dxa"/>
            </w:tcMar>
            <w:textDirection w:val="btLr"/>
            <w:vAlign w:val="center"/>
            <w:hideMark/>
          </w:tcPr>
          <w:p w14:paraId="4F1BB032" w14:textId="77777777" w:rsidR="0064441A" w:rsidRDefault="0064441A" w:rsidP="00E74AD2">
            <w:pPr>
              <w:ind w:left="113" w:right="113"/>
              <w:jc w:val="center"/>
              <w:rPr>
                <w:color w:val="000000"/>
              </w:rPr>
            </w:pPr>
            <w:r>
              <w:rPr>
                <w:color w:val="000000"/>
              </w:rPr>
              <w:lastRenderedPageBreak/>
              <w:t>2.variants</w:t>
            </w:r>
          </w:p>
        </w:tc>
        <w:tc>
          <w:tcPr>
            <w:tcW w:w="152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0F4428F" w14:textId="77777777" w:rsidR="0064441A" w:rsidRDefault="0064441A" w:rsidP="00E74AD2">
            <w:pPr>
              <w:jc w:val="center"/>
              <w:rPr>
                <w:color w:val="000000"/>
              </w:rPr>
            </w:pPr>
            <w:r>
              <w:rPr>
                <w:color w:val="000000"/>
              </w:rPr>
              <w:t>9 374 276</w:t>
            </w:r>
          </w:p>
        </w:tc>
        <w:tc>
          <w:tcPr>
            <w:tcW w:w="3858"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35AA0E2A" w14:textId="77777777" w:rsidR="0064441A" w:rsidRPr="00FA65FF" w:rsidRDefault="0064441A" w:rsidP="00535B58">
            <w:pPr>
              <w:rPr>
                <w:color w:val="000000"/>
              </w:rPr>
            </w:pPr>
            <w:r>
              <w:rPr>
                <w:color w:val="000000"/>
              </w:rPr>
              <w:t xml:space="preserve">Vidējs </w:t>
            </w:r>
            <w:r w:rsidRPr="00FA65FF">
              <w:rPr>
                <w:color w:val="000000"/>
              </w:rPr>
              <w:t>braukšanas maksas pieaugums starp zonu braucienos (</w:t>
            </w:r>
            <w:r>
              <w:rPr>
                <w:color w:val="000000"/>
              </w:rPr>
              <w:t>0,50 EUR)</w:t>
            </w:r>
            <w:r w:rsidRPr="00FA65FF">
              <w:rPr>
                <w:color w:val="000000"/>
              </w:rPr>
              <w:t xml:space="preserve"> ar straujāku biļešu cenu kāpumu vilcienu pārvadājumos ārpus zonām (20%).</w:t>
            </w:r>
          </w:p>
          <w:p w14:paraId="57EE2D29" w14:textId="77777777" w:rsidR="0064441A" w:rsidRPr="00FA65FF" w:rsidRDefault="0064441A" w:rsidP="00535B58">
            <w:pPr>
              <w:rPr>
                <w:color w:val="000000"/>
              </w:rPr>
            </w:pPr>
          </w:p>
          <w:p w14:paraId="67476345" w14:textId="77777777" w:rsidR="0064441A" w:rsidRDefault="0064441A" w:rsidP="00535B58">
            <w:pPr>
              <w:rPr>
                <w:color w:val="000000"/>
              </w:rPr>
            </w:pPr>
            <w:r>
              <w:rPr>
                <w:color w:val="000000"/>
              </w:rPr>
              <w:t>S</w:t>
            </w:r>
            <w:r w:rsidRPr="00FA65FF">
              <w:rPr>
                <w:color w:val="000000"/>
              </w:rPr>
              <w:t>traujš biļešu cenu pieaugums reģionālās nozīmes autobusu pārvadājumos (</w:t>
            </w:r>
            <w:r>
              <w:rPr>
                <w:color w:val="000000"/>
              </w:rPr>
              <w:t>gan tuvākiem, gan tālākiem braucieniem</w:t>
            </w:r>
            <w:r w:rsidRPr="00FA65FF">
              <w:rPr>
                <w:color w:val="000000"/>
              </w:rPr>
              <w:t>)</w:t>
            </w:r>
            <w:r>
              <w:rPr>
                <w:color w:val="000000"/>
              </w:rPr>
              <w:t>.</w:t>
            </w:r>
          </w:p>
          <w:p w14:paraId="784B69FC" w14:textId="634EA51A" w:rsidR="0064441A" w:rsidRDefault="0064441A" w:rsidP="00535B58">
            <w:pPr>
              <w:rPr>
                <w:color w:val="000000"/>
              </w:rPr>
            </w:pPr>
          </w:p>
        </w:tc>
        <w:tc>
          <w:tcPr>
            <w:tcW w:w="3260" w:type="dxa"/>
            <w:vMerge/>
            <w:tcBorders>
              <w:top w:val="nil"/>
              <w:left w:val="nil"/>
              <w:bottom w:val="single" w:sz="8" w:space="0" w:color="auto"/>
              <w:right w:val="single" w:sz="8" w:space="0" w:color="auto"/>
            </w:tcBorders>
            <w:vAlign w:val="center"/>
            <w:hideMark/>
          </w:tcPr>
          <w:p w14:paraId="002DCE87" w14:textId="77777777" w:rsidR="0064441A" w:rsidRDefault="0064441A" w:rsidP="00535B58">
            <w:pPr>
              <w:rPr>
                <w:color w:val="000000"/>
              </w:rPr>
            </w:pPr>
          </w:p>
        </w:tc>
      </w:tr>
      <w:tr w:rsidR="00E74AD2" w14:paraId="0C675446" w14:textId="77777777" w:rsidTr="00E74AD2">
        <w:trPr>
          <w:cantSplit/>
          <w:trHeight w:val="2752"/>
        </w:trPr>
        <w:tc>
          <w:tcPr>
            <w:tcW w:w="560" w:type="dxa"/>
            <w:tcBorders>
              <w:top w:val="nil"/>
              <w:left w:val="single" w:sz="8" w:space="0" w:color="auto"/>
              <w:bottom w:val="single" w:sz="8" w:space="0" w:color="auto"/>
              <w:right w:val="single" w:sz="8" w:space="0" w:color="auto"/>
            </w:tcBorders>
            <w:noWrap/>
            <w:tcMar>
              <w:top w:w="0" w:type="dxa"/>
              <w:left w:w="108" w:type="dxa"/>
              <w:bottom w:w="0" w:type="dxa"/>
              <w:right w:w="108" w:type="dxa"/>
            </w:tcMar>
            <w:textDirection w:val="btLr"/>
            <w:vAlign w:val="center"/>
            <w:hideMark/>
          </w:tcPr>
          <w:p w14:paraId="01B425C5" w14:textId="77777777" w:rsidR="0064441A" w:rsidRDefault="0064441A" w:rsidP="00E74AD2">
            <w:pPr>
              <w:ind w:left="113" w:right="113"/>
              <w:jc w:val="center"/>
              <w:rPr>
                <w:color w:val="000000"/>
              </w:rPr>
            </w:pPr>
            <w:r>
              <w:rPr>
                <w:color w:val="000000"/>
              </w:rPr>
              <w:t>3.variants</w:t>
            </w:r>
          </w:p>
        </w:tc>
        <w:tc>
          <w:tcPr>
            <w:tcW w:w="152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0EA4EF4" w14:textId="77777777" w:rsidR="0064441A" w:rsidRDefault="0064441A" w:rsidP="00E74AD2">
            <w:pPr>
              <w:jc w:val="center"/>
              <w:rPr>
                <w:color w:val="000000"/>
              </w:rPr>
            </w:pPr>
            <w:r>
              <w:rPr>
                <w:color w:val="000000"/>
              </w:rPr>
              <w:t>8 097 702</w:t>
            </w:r>
          </w:p>
        </w:tc>
        <w:tc>
          <w:tcPr>
            <w:tcW w:w="38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7E3CEF0" w14:textId="77777777" w:rsidR="0064441A" w:rsidRPr="00FA65FF" w:rsidRDefault="0064441A" w:rsidP="00E74AD2">
            <w:pPr>
              <w:rPr>
                <w:color w:val="000000"/>
              </w:rPr>
            </w:pPr>
            <w:r>
              <w:rPr>
                <w:color w:val="000000"/>
              </w:rPr>
              <w:t xml:space="preserve">Vidējs </w:t>
            </w:r>
            <w:r w:rsidRPr="00FA65FF">
              <w:rPr>
                <w:color w:val="000000"/>
              </w:rPr>
              <w:t>braukšanas maksas pieaugums starp zonu braucienos (</w:t>
            </w:r>
            <w:r>
              <w:rPr>
                <w:color w:val="000000"/>
              </w:rPr>
              <w:t>0,50 EUR)</w:t>
            </w:r>
            <w:r w:rsidRPr="00FA65FF">
              <w:rPr>
                <w:color w:val="000000"/>
              </w:rPr>
              <w:t xml:space="preserve"> ar straujāku biļešu cenu kāpumu vilcienu pārvadājumos ārpus zonām (20%).</w:t>
            </w:r>
          </w:p>
          <w:p w14:paraId="2986C766" w14:textId="77777777" w:rsidR="0064441A" w:rsidRPr="00FA65FF" w:rsidRDefault="0064441A" w:rsidP="00E74AD2">
            <w:pPr>
              <w:rPr>
                <w:color w:val="000000"/>
              </w:rPr>
            </w:pPr>
          </w:p>
          <w:p w14:paraId="329C5159" w14:textId="77777777" w:rsidR="0064441A" w:rsidRDefault="0064441A" w:rsidP="00E74AD2">
            <w:pPr>
              <w:rPr>
                <w:color w:val="000000"/>
              </w:rPr>
            </w:pPr>
            <w:r w:rsidRPr="00FA65FF">
              <w:rPr>
                <w:color w:val="000000"/>
              </w:rPr>
              <w:t>Mazāk straujš biļešu cenu pieaugums reģionālās nozīmes autobusu pārvadājumos (</w:t>
            </w:r>
            <w:r w:rsidRPr="002437A3">
              <w:rPr>
                <w:color w:val="000000"/>
              </w:rPr>
              <w:t>mērenāks tarifu pieaugums īsākiem braucieniem, bet straujāks cenu kāpums garākiem braucieniem</w:t>
            </w:r>
            <w:r w:rsidRPr="00FA65FF">
              <w:rPr>
                <w:color w:val="000000"/>
              </w:rPr>
              <w:t>)</w:t>
            </w:r>
            <w:r>
              <w:rPr>
                <w:color w:val="000000"/>
              </w:rPr>
              <w:t>.</w:t>
            </w:r>
          </w:p>
          <w:p w14:paraId="31E98D23" w14:textId="77777777" w:rsidR="0064441A" w:rsidRDefault="0064441A" w:rsidP="00E74AD2">
            <w:pPr>
              <w:rPr>
                <w:color w:val="000000"/>
              </w:rPr>
            </w:pPr>
          </w:p>
          <w:p w14:paraId="67D84E54" w14:textId="77777777" w:rsidR="0064441A" w:rsidRDefault="0064441A" w:rsidP="00E74AD2">
            <w:pPr>
              <w:rPr>
                <w:color w:val="000000"/>
              </w:rPr>
            </w:pPr>
            <w:r>
              <w:rPr>
                <w:color w:val="000000"/>
              </w:rPr>
              <w:t>Ieviesti zonu tarifi Pierīgā, kas pieskaņoti vilcienu zonām.</w:t>
            </w:r>
          </w:p>
          <w:p w14:paraId="2F564ACE" w14:textId="1846163A" w:rsidR="0064441A" w:rsidRDefault="0064441A" w:rsidP="00E74AD2">
            <w:pPr>
              <w:rPr>
                <w:color w:val="000000"/>
              </w:rPr>
            </w:pPr>
          </w:p>
        </w:tc>
        <w:tc>
          <w:tcPr>
            <w:tcW w:w="3260"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C809881" w14:textId="1E72A84C" w:rsidR="0064441A" w:rsidRDefault="0064441A" w:rsidP="00535B58">
            <w:pPr>
              <w:jc w:val="center"/>
              <w:rPr>
                <w:color w:val="000000"/>
              </w:rPr>
            </w:pPr>
            <w:r>
              <w:rPr>
                <w:color w:val="000000"/>
              </w:rPr>
              <w:t>tarifa izmaiņas ietekmēs tieši Pierīgas reģionā (Jūrmalas valstspilsēta, Mārupes novads, daļēji Jelgavas novads, Jelgavas valstspilsēta, daļēji Olaines novads, daļēji Ķekavas novads, daļēji Ogres novads, Ogres valstspilsēta, Salaspils novads, daļēji Ropažu novads, daļēji Siguldas novads, Ādažu novads, daļēji Saulkrastu novads) dzīvojošos iedzīvotājus, kur tarifa pieaugums būs straujāks. Tomēr vienlaikus minētajā variantā varētu tikt sasniegtas plašākas iespējas veidot sadarbību ar Rīgas</w:t>
            </w:r>
            <w:r w:rsidR="00E74AD2">
              <w:rPr>
                <w:color w:val="000000"/>
              </w:rPr>
              <w:t xml:space="preserve"> pilsētas</w:t>
            </w:r>
            <w:r>
              <w:rPr>
                <w:color w:val="000000"/>
              </w:rPr>
              <w:t xml:space="preserve"> sabiedrisko transportu, pārvadājumu savienojumus, nodrošinot vienotas biļešu iegādes iespējas. Attiecībā uz 4.variantu tarifu pieaugums autobusu pārvadājumos rada pastiprinātu risku attiecībā uz pasažieru skaita samazinājumu tieši lielākas distances pārvadājumos, tādējādi aizstājot pārvadājumu iespējas ar privāto transportu</w:t>
            </w:r>
          </w:p>
        </w:tc>
      </w:tr>
      <w:tr w:rsidR="00E74AD2" w14:paraId="1880E5F3" w14:textId="77777777" w:rsidTr="00E74AD2">
        <w:trPr>
          <w:cantSplit/>
          <w:trHeight w:val="2674"/>
        </w:trPr>
        <w:tc>
          <w:tcPr>
            <w:tcW w:w="560" w:type="dxa"/>
            <w:tcBorders>
              <w:top w:val="nil"/>
              <w:left w:val="single" w:sz="8" w:space="0" w:color="auto"/>
              <w:bottom w:val="single" w:sz="8" w:space="0" w:color="auto"/>
              <w:right w:val="single" w:sz="8" w:space="0" w:color="auto"/>
            </w:tcBorders>
            <w:noWrap/>
            <w:tcMar>
              <w:top w:w="0" w:type="dxa"/>
              <w:left w:w="108" w:type="dxa"/>
              <w:bottom w:w="0" w:type="dxa"/>
              <w:right w:w="108" w:type="dxa"/>
            </w:tcMar>
            <w:textDirection w:val="btLr"/>
            <w:vAlign w:val="center"/>
            <w:hideMark/>
          </w:tcPr>
          <w:p w14:paraId="7318B8E0" w14:textId="77777777" w:rsidR="0064441A" w:rsidRDefault="0064441A" w:rsidP="00E74AD2">
            <w:pPr>
              <w:ind w:left="113" w:right="113"/>
              <w:jc w:val="center"/>
              <w:rPr>
                <w:color w:val="000000"/>
              </w:rPr>
            </w:pPr>
            <w:r>
              <w:rPr>
                <w:color w:val="000000"/>
              </w:rPr>
              <w:t>4.variants</w:t>
            </w:r>
          </w:p>
        </w:tc>
        <w:tc>
          <w:tcPr>
            <w:tcW w:w="152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D057EC1" w14:textId="77777777" w:rsidR="0064441A" w:rsidRDefault="0064441A" w:rsidP="00E74AD2">
            <w:pPr>
              <w:jc w:val="center"/>
              <w:rPr>
                <w:color w:val="000000"/>
              </w:rPr>
            </w:pPr>
            <w:r>
              <w:rPr>
                <w:color w:val="000000"/>
              </w:rPr>
              <w:t>9 974 276</w:t>
            </w:r>
          </w:p>
        </w:tc>
        <w:tc>
          <w:tcPr>
            <w:tcW w:w="3858"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6E3DFA07" w14:textId="77777777" w:rsidR="0064441A" w:rsidRPr="00FA65FF" w:rsidRDefault="0064441A" w:rsidP="00535B58">
            <w:pPr>
              <w:rPr>
                <w:color w:val="000000"/>
              </w:rPr>
            </w:pPr>
            <w:r>
              <w:rPr>
                <w:color w:val="000000"/>
              </w:rPr>
              <w:t xml:space="preserve">Vidējs </w:t>
            </w:r>
            <w:r w:rsidRPr="00FA65FF">
              <w:rPr>
                <w:color w:val="000000"/>
              </w:rPr>
              <w:t>braukšanas maksas pieaugums starp zonu braucienos (</w:t>
            </w:r>
            <w:r>
              <w:rPr>
                <w:color w:val="000000"/>
              </w:rPr>
              <w:t>0,50 EUR)</w:t>
            </w:r>
            <w:r w:rsidRPr="00FA65FF">
              <w:rPr>
                <w:color w:val="000000"/>
              </w:rPr>
              <w:t xml:space="preserve"> ar straujāku biļešu cenu kāpumu vilcienu pārvadājumos ārpus zonām (20%).</w:t>
            </w:r>
          </w:p>
          <w:p w14:paraId="5AADD275" w14:textId="77777777" w:rsidR="0064441A" w:rsidRDefault="0064441A" w:rsidP="00535B58">
            <w:pPr>
              <w:rPr>
                <w:color w:val="000000"/>
              </w:rPr>
            </w:pPr>
          </w:p>
          <w:p w14:paraId="596FAC57" w14:textId="77777777" w:rsidR="0064441A" w:rsidRDefault="0064441A" w:rsidP="00535B58">
            <w:pPr>
              <w:rPr>
                <w:color w:val="000000"/>
              </w:rPr>
            </w:pPr>
            <w:r>
              <w:rPr>
                <w:color w:val="000000"/>
              </w:rPr>
              <w:t>S</w:t>
            </w:r>
            <w:r w:rsidRPr="00FA65FF">
              <w:rPr>
                <w:color w:val="000000"/>
              </w:rPr>
              <w:t>traujš biļešu cenu pieaugums reģionālās nozīmes autobusu pārvadājumos (</w:t>
            </w:r>
            <w:r>
              <w:rPr>
                <w:color w:val="000000"/>
              </w:rPr>
              <w:t>gan tuvākiem, gan tālākiem braucieniem</w:t>
            </w:r>
            <w:r w:rsidRPr="00FA65FF">
              <w:rPr>
                <w:color w:val="000000"/>
              </w:rPr>
              <w:t>)</w:t>
            </w:r>
            <w:r>
              <w:rPr>
                <w:color w:val="000000"/>
              </w:rPr>
              <w:t>.</w:t>
            </w:r>
          </w:p>
          <w:p w14:paraId="2C337DA4" w14:textId="77777777" w:rsidR="0064441A" w:rsidRDefault="0064441A" w:rsidP="00535B58">
            <w:pPr>
              <w:rPr>
                <w:color w:val="000000"/>
              </w:rPr>
            </w:pPr>
          </w:p>
          <w:p w14:paraId="4D7A6857" w14:textId="3A8499A9" w:rsidR="0064441A" w:rsidRDefault="0064441A" w:rsidP="00535B58">
            <w:pPr>
              <w:rPr>
                <w:color w:val="000000"/>
              </w:rPr>
            </w:pPr>
            <w:r>
              <w:rPr>
                <w:color w:val="000000"/>
              </w:rPr>
              <w:t>Ieviesti zonu tarifi Pierīgā, kas pieskaņoti vilcienu zonām.</w:t>
            </w:r>
          </w:p>
        </w:tc>
        <w:tc>
          <w:tcPr>
            <w:tcW w:w="3260" w:type="dxa"/>
            <w:vMerge/>
            <w:tcBorders>
              <w:top w:val="nil"/>
              <w:left w:val="nil"/>
              <w:bottom w:val="single" w:sz="8" w:space="0" w:color="auto"/>
              <w:right w:val="single" w:sz="8" w:space="0" w:color="auto"/>
            </w:tcBorders>
            <w:vAlign w:val="center"/>
            <w:hideMark/>
          </w:tcPr>
          <w:p w14:paraId="6C01B4C5" w14:textId="77777777" w:rsidR="0064441A" w:rsidRDefault="0064441A" w:rsidP="00535B58">
            <w:pPr>
              <w:rPr>
                <w:color w:val="000000"/>
              </w:rPr>
            </w:pPr>
          </w:p>
        </w:tc>
      </w:tr>
    </w:tbl>
    <w:p w14:paraId="240262D6" w14:textId="77777777" w:rsidR="0064441A" w:rsidRDefault="0064441A" w:rsidP="0064441A">
      <w:pPr>
        <w:rPr>
          <w:lang w:eastAsia="en-US"/>
        </w:rPr>
      </w:pPr>
    </w:p>
    <w:p w14:paraId="7F4EC3AD" w14:textId="4C6A84C3" w:rsidR="00E74AD2" w:rsidRPr="00CA2BB6" w:rsidRDefault="001A2E9D" w:rsidP="00CA2BB6">
      <w:pPr>
        <w:ind w:firstLine="709"/>
        <w:jc w:val="both"/>
        <w:rPr>
          <w:color w:val="000000"/>
          <w:sz w:val="26"/>
          <w:szCs w:val="26"/>
        </w:rPr>
      </w:pPr>
      <w:r w:rsidRPr="00CA2BB6">
        <w:rPr>
          <w:color w:val="000000"/>
          <w:sz w:val="26"/>
          <w:szCs w:val="26"/>
        </w:rPr>
        <w:t>Sabiedriskā transporta padomē konceptuāli atbalstīts variants ar vidēju braukšanas maksas pieaugumu starp zonu braucienos, bet ar straujāku cenu kāpumu pārvadājumos ārpus zonām vilcieniem. Savukārt autobusu pārvadājumos atbalstīts mērenāks tarifu pieaugums īsākiem braucieniem, bet straujāks cenu kāpums garākiem braucieniem, kā arī straujāka biļešu cenu celšana Pierīgā, ieviešot zonu tarifus, kas pielāgoti vilcienu tarifiem. Provizoriskā finanšu ietekme šādam variantam ir 8</w:t>
      </w:r>
      <w:r w:rsidR="007A7A4B">
        <w:rPr>
          <w:color w:val="000000"/>
          <w:sz w:val="26"/>
          <w:szCs w:val="26"/>
        </w:rPr>
        <w:t> </w:t>
      </w:r>
      <w:r w:rsidRPr="00CA2BB6">
        <w:rPr>
          <w:color w:val="000000"/>
          <w:sz w:val="26"/>
          <w:szCs w:val="26"/>
        </w:rPr>
        <w:t>097</w:t>
      </w:r>
      <w:r w:rsidR="007A7A4B">
        <w:rPr>
          <w:color w:val="000000"/>
          <w:sz w:val="26"/>
          <w:szCs w:val="26"/>
        </w:rPr>
        <w:t> </w:t>
      </w:r>
      <w:r w:rsidRPr="00CA2BB6">
        <w:rPr>
          <w:color w:val="000000"/>
          <w:sz w:val="26"/>
          <w:szCs w:val="26"/>
        </w:rPr>
        <w:t>702</w:t>
      </w:r>
      <w:r w:rsidR="007A7A4B">
        <w:rPr>
          <w:color w:val="000000"/>
          <w:sz w:val="26"/>
          <w:szCs w:val="26"/>
        </w:rPr>
        <w:t> </w:t>
      </w:r>
      <w:r w:rsidRPr="00CA2BB6">
        <w:rPr>
          <w:color w:val="000000"/>
          <w:sz w:val="26"/>
          <w:szCs w:val="26"/>
        </w:rPr>
        <w:t>EUR.</w:t>
      </w:r>
      <w:r w:rsidR="00E74AD2">
        <w:rPr>
          <w:color w:val="000000"/>
          <w:sz w:val="26"/>
          <w:szCs w:val="26"/>
        </w:rPr>
        <w:t xml:space="preserve"> Minētajā variantā arī tiek ņemtas vērā būtiskās atšķirības iedzīvotāju maksātspējai reģionu griezumā</w:t>
      </w:r>
      <w:r w:rsidR="005E495A">
        <w:rPr>
          <w:color w:val="000000"/>
          <w:sz w:val="26"/>
          <w:szCs w:val="26"/>
        </w:rPr>
        <w:t xml:space="preserve">. </w:t>
      </w:r>
    </w:p>
    <w:p w14:paraId="39DB9AE9" w14:textId="1698D1E3" w:rsidR="001A2E9D" w:rsidRPr="00CA2BB6" w:rsidRDefault="005E495A" w:rsidP="001A2E9D">
      <w:pPr>
        <w:jc w:val="both"/>
        <w:rPr>
          <w:color w:val="000000"/>
          <w:sz w:val="26"/>
          <w:szCs w:val="26"/>
        </w:rPr>
      </w:pPr>
      <w:r>
        <w:rPr>
          <w:color w:val="000000"/>
          <w:sz w:val="26"/>
          <w:szCs w:val="26"/>
        </w:rPr>
        <w:lastRenderedPageBreak/>
        <w:tab/>
      </w:r>
      <w:r w:rsidR="001A2E9D" w:rsidRPr="00CA2BB6">
        <w:rPr>
          <w:color w:val="000000"/>
          <w:sz w:val="26"/>
          <w:szCs w:val="26"/>
        </w:rPr>
        <w:t>Iespējama arī straujāka biļešu cenu celšana, tomēr šādā gadījumā tiek apdraudēts papildus finansiālais ieguvums, jo</w:t>
      </w:r>
      <w:r>
        <w:rPr>
          <w:color w:val="000000"/>
          <w:sz w:val="26"/>
          <w:szCs w:val="26"/>
        </w:rPr>
        <w:t>,</w:t>
      </w:r>
      <w:r w:rsidR="001A2E9D" w:rsidRPr="00CA2BB6">
        <w:rPr>
          <w:color w:val="000000"/>
          <w:sz w:val="26"/>
          <w:szCs w:val="26"/>
        </w:rPr>
        <w:t xml:space="preserve"> palielinoties biļešu cenai, samazinās sabiedriskā transporta pakalpojumus izmantojošo pasažieru skaits. Atbilstoši ekspertu pētījumam</w:t>
      </w:r>
      <w:r>
        <w:rPr>
          <w:rStyle w:val="FootnoteReference"/>
          <w:color w:val="000000"/>
          <w:sz w:val="26"/>
          <w:szCs w:val="26"/>
        </w:rPr>
        <w:footnoteReference w:id="21"/>
      </w:r>
      <w:r w:rsidR="001A2E9D" w:rsidRPr="00CA2BB6">
        <w:rPr>
          <w:color w:val="000000"/>
          <w:sz w:val="26"/>
          <w:szCs w:val="26"/>
        </w:rPr>
        <w:t>, pie mērenas tarifu palielināšanas (~20%), pieaugot braukšanas maksai par 1%, pasažieru skaits samazināsies par 0</w:t>
      </w:r>
      <w:r>
        <w:rPr>
          <w:color w:val="000000"/>
          <w:sz w:val="26"/>
          <w:szCs w:val="26"/>
        </w:rPr>
        <w:t>,</w:t>
      </w:r>
      <w:r w:rsidR="001A2E9D" w:rsidRPr="00CA2BB6">
        <w:rPr>
          <w:color w:val="000000"/>
          <w:sz w:val="26"/>
          <w:szCs w:val="26"/>
        </w:rPr>
        <w:t xml:space="preserve">46%. Pie straujāka tarifu pieauguma, pasažieru skaita samazinājums būs lielāks. </w:t>
      </w:r>
    </w:p>
    <w:p w14:paraId="44200496" w14:textId="607F5977" w:rsidR="00796647" w:rsidRDefault="005E495A" w:rsidP="00CA2BB6">
      <w:pPr>
        <w:jc w:val="both"/>
        <w:rPr>
          <w:sz w:val="26"/>
          <w:szCs w:val="26"/>
        </w:rPr>
      </w:pPr>
      <w:r>
        <w:rPr>
          <w:color w:val="000000"/>
          <w:sz w:val="26"/>
          <w:szCs w:val="26"/>
        </w:rPr>
        <w:tab/>
      </w:r>
      <w:r w:rsidR="00C84A81" w:rsidRPr="001A2E9D">
        <w:rPr>
          <w:sz w:val="26"/>
          <w:szCs w:val="26"/>
        </w:rPr>
        <w:t>Tarifu (braukšanas maksas) pārskatīšana 2023. gadā, nosakot visos reģionālās nozīmes pārvadājumos ar autobusiem vienotu</w:t>
      </w:r>
      <w:r w:rsidR="00C84A81" w:rsidRPr="00DE050A">
        <w:rPr>
          <w:sz w:val="26"/>
          <w:szCs w:val="26"/>
        </w:rPr>
        <w:t xml:space="preserve"> tarifu aprēķināšanas principus un komponentes, </w:t>
      </w:r>
      <w:r w:rsidR="00C84A81">
        <w:rPr>
          <w:sz w:val="26"/>
          <w:szCs w:val="26"/>
        </w:rPr>
        <w:t xml:space="preserve">palielinot </w:t>
      </w:r>
      <w:r w:rsidR="00C84A81" w:rsidRPr="00DE050A">
        <w:rPr>
          <w:sz w:val="26"/>
          <w:szCs w:val="26"/>
        </w:rPr>
        <w:t>reģionāl</w:t>
      </w:r>
      <w:r w:rsidR="00C84A81">
        <w:rPr>
          <w:sz w:val="26"/>
          <w:szCs w:val="26"/>
        </w:rPr>
        <w:t>ās nozīmes pārvadājumos ar autobusiem un vilcieniem veidojošās komponentes</w:t>
      </w:r>
      <w:r w:rsidR="00C84A81" w:rsidRPr="00DE050A">
        <w:rPr>
          <w:sz w:val="26"/>
          <w:szCs w:val="26"/>
        </w:rPr>
        <w:t>, vienlaikus saglabājot tarifu atbilstošu iedzīvotāju pirktspējai</w:t>
      </w:r>
      <w:r w:rsidR="00796647">
        <w:rPr>
          <w:sz w:val="26"/>
          <w:szCs w:val="26"/>
        </w:rPr>
        <w:t>:</w:t>
      </w:r>
    </w:p>
    <w:p w14:paraId="4AADA881" w14:textId="0CADF47C" w:rsidR="00796647" w:rsidRDefault="00C84A81" w:rsidP="000C4EDE">
      <w:pPr>
        <w:pStyle w:val="BodyText"/>
        <w:numPr>
          <w:ilvl w:val="0"/>
          <w:numId w:val="32"/>
        </w:numPr>
        <w:ind w:left="0" w:firstLine="709"/>
        <w:jc w:val="both"/>
        <w:rPr>
          <w:b w:val="0"/>
          <w:bCs w:val="0"/>
          <w:sz w:val="26"/>
          <w:szCs w:val="26"/>
        </w:rPr>
      </w:pPr>
      <w:r>
        <w:rPr>
          <w:b w:val="0"/>
          <w:bCs w:val="0"/>
          <w:sz w:val="26"/>
          <w:szCs w:val="26"/>
        </w:rPr>
        <w:t xml:space="preserve">ļaus mazināt </w:t>
      </w:r>
      <w:r w:rsidRPr="00C84A81">
        <w:rPr>
          <w:b w:val="0"/>
          <w:bCs w:val="0"/>
          <w:sz w:val="26"/>
          <w:szCs w:val="26"/>
        </w:rPr>
        <w:t>potenciālo zaudējumu apmēru sabiedriskā transporta pakalpojumu sniedzējiem un attiecīgi arī no valsts budžeta sabiedriskā transporta pakalpojumu nodrošināšanai nepieciešamo papildu finansējumu</w:t>
      </w:r>
      <w:r w:rsidR="00796647">
        <w:rPr>
          <w:b w:val="0"/>
          <w:bCs w:val="0"/>
          <w:sz w:val="26"/>
          <w:szCs w:val="26"/>
        </w:rPr>
        <w:t>.</w:t>
      </w:r>
      <w:r w:rsidR="00796647" w:rsidRPr="00796647">
        <w:rPr>
          <w:b w:val="0"/>
          <w:bCs w:val="0"/>
          <w:sz w:val="26"/>
          <w:szCs w:val="26"/>
        </w:rPr>
        <w:t xml:space="preserve"> </w:t>
      </w:r>
      <w:r w:rsidR="00796647">
        <w:rPr>
          <w:b w:val="0"/>
          <w:bCs w:val="0"/>
          <w:sz w:val="26"/>
          <w:szCs w:val="26"/>
        </w:rPr>
        <w:t>Tomēr jāatzīmē, ka tarifa (braukšanas maksas) izmaiņas – sevišķi reģionālās nozīmes pārvadājumos ar autobusiem – ir administratīvi sarežģīts process</w:t>
      </w:r>
      <w:r w:rsidR="00444751">
        <w:rPr>
          <w:b w:val="0"/>
          <w:bCs w:val="0"/>
          <w:sz w:val="26"/>
          <w:szCs w:val="26"/>
        </w:rPr>
        <w:t xml:space="preserve"> (šobrīd reģionālajos autobusu maršrutos ir 6815 reisi un attiecīgi tarifu tabulas ar 1 048 576 biļešu variantiem)</w:t>
      </w:r>
      <w:r w:rsidR="00796647">
        <w:rPr>
          <w:b w:val="0"/>
          <w:bCs w:val="0"/>
          <w:sz w:val="26"/>
          <w:szCs w:val="26"/>
        </w:rPr>
        <w:t xml:space="preserve">, līdz ar to optimālais tarifa (braukšanas maksas) ieviešanas laiks ir ne ātrāk kā </w:t>
      </w:r>
      <w:r w:rsidR="00796647" w:rsidRPr="00796647">
        <w:rPr>
          <w:sz w:val="26"/>
          <w:szCs w:val="26"/>
        </w:rPr>
        <w:t>2023.gada otrais pusgads</w:t>
      </w:r>
      <w:r w:rsidR="00796647">
        <w:rPr>
          <w:b w:val="0"/>
          <w:bCs w:val="0"/>
          <w:sz w:val="26"/>
          <w:szCs w:val="26"/>
        </w:rPr>
        <w:t>. Līdz ar to finansiālā ietekme 2023.gadā novērtējama piesardzīgi</w:t>
      </w:r>
      <w:r w:rsidR="005A3D96">
        <w:rPr>
          <w:b w:val="0"/>
          <w:bCs w:val="0"/>
          <w:sz w:val="26"/>
          <w:szCs w:val="26"/>
        </w:rPr>
        <w:t xml:space="preserve">, jo veicot tarifu (braukšanas maksas) izmaiņas 2023.gada otrajā pusē, finansiālā ietekme veidos minimālu  valsts budžeta izdevumu ekonomiju pret </w:t>
      </w:r>
      <w:r w:rsidR="00BD5311">
        <w:rPr>
          <w:b w:val="0"/>
          <w:bCs w:val="0"/>
          <w:sz w:val="26"/>
          <w:szCs w:val="26"/>
        </w:rPr>
        <w:t>papildus nepieciešamo valsts budžeta</w:t>
      </w:r>
      <w:r w:rsidR="005A3D96">
        <w:rPr>
          <w:b w:val="0"/>
          <w:bCs w:val="0"/>
          <w:sz w:val="26"/>
          <w:szCs w:val="26"/>
        </w:rPr>
        <w:t xml:space="preserve"> finansējumu. Prognozējot</w:t>
      </w:r>
      <w:r w:rsidR="00CC0569">
        <w:rPr>
          <w:b w:val="0"/>
          <w:bCs w:val="0"/>
          <w:sz w:val="26"/>
          <w:szCs w:val="26"/>
        </w:rPr>
        <w:t xml:space="preserve"> </w:t>
      </w:r>
      <w:r w:rsidR="00CC0569" w:rsidRPr="0076275E">
        <w:rPr>
          <w:sz w:val="26"/>
          <w:szCs w:val="26"/>
        </w:rPr>
        <w:t>nākamo periodu finansiālo ietekmi</w:t>
      </w:r>
      <w:r w:rsidR="00CC0569">
        <w:rPr>
          <w:b w:val="0"/>
          <w:bCs w:val="0"/>
          <w:sz w:val="26"/>
          <w:szCs w:val="26"/>
        </w:rPr>
        <w:t>, plānots</w:t>
      </w:r>
      <w:r w:rsidR="00796647">
        <w:rPr>
          <w:b w:val="0"/>
          <w:bCs w:val="0"/>
          <w:sz w:val="26"/>
          <w:szCs w:val="26"/>
        </w:rPr>
        <w:t>, ka kalendārā gadā kopēj</w:t>
      </w:r>
      <w:r w:rsidR="008552B7">
        <w:rPr>
          <w:b w:val="0"/>
          <w:bCs w:val="0"/>
          <w:sz w:val="26"/>
          <w:szCs w:val="26"/>
        </w:rPr>
        <w:t>ais</w:t>
      </w:r>
      <w:r w:rsidR="00796647">
        <w:rPr>
          <w:b w:val="0"/>
          <w:bCs w:val="0"/>
          <w:sz w:val="26"/>
          <w:szCs w:val="26"/>
        </w:rPr>
        <w:t xml:space="preserve"> biļešu ieņēmumu apmērs varētu pieaugt </w:t>
      </w:r>
      <w:r w:rsidR="0053624D">
        <w:rPr>
          <w:b w:val="0"/>
          <w:bCs w:val="0"/>
          <w:sz w:val="26"/>
          <w:szCs w:val="26"/>
        </w:rPr>
        <w:t xml:space="preserve">par </w:t>
      </w:r>
      <w:r w:rsidR="00796647">
        <w:rPr>
          <w:b w:val="0"/>
          <w:bCs w:val="0"/>
          <w:sz w:val="26"/>
          <w:szCs w:val="26"/>
        </w:rPr>
        <w:t xml:space="preserve"> </w:t>
      </w:r>
      <w:r w:rsidR="00796647" w:rsidRPr="00796647">
        <w:rPr>
          <w:sz w:val="26"/>
          <w:szCs w:val="26"/>
        </w:rPr>
        <w:t>8 milj. EUR</w:t>
      </w:r>
      <w:r w:rsidR="00E70AF9">
        <w:rPr>
          <w:b w:val="0"/>
          <w:bCs w:val="0"/>
          <w:sz w:val="26"/>
          <w:szCs w:val="26"/>
        </w:rPr>
        <w:t>;</w:t>
      </w:r>
    </w:p>
    <w:p w14:paraId="2C5130BC" w14:textId="79DDB546" w:rsidR="00A2733A" w:rsidRDefault="00A2733A" w:rsidP="000C4EDE">
      <w:pPr>
        <w:pStyle w:val="BodyText"/>
        <w:numPr>
          <w:ilvl w:val="0"/>
          <w:numId w:val="32"/>
        </w:numPr>
        <w:ind w:left="0" w:firstLine="709"/>
        <w:jc w:val="both"/>
        <w:rPr>
          <w:b w:val="0"/>
          <w:bCs w:val="0"/>
          <w:sz w:val="26"/>
          <w:szCs w:val="26"/>
        </w:rPr>
      </w:pPr>
      <w:r w:rsidRPr="00796647">
        <w:rPr>
          <w:b w:val="0"/>
          <w:bCs w:val="0"/>
          <w:sz w:val="26"/>
          <w:szCs w:val="26"/>
        </w:rPr>
        <w:t>potenciālas iespējas, ka, palielinoties reģionālās nozīmes pārvadājumu tarifiem, tie kļūs konkurētspējīgāki ar komercpārvadājumiem, līdz ar to pastāv iespēja, ka starp komersantiem radīsies interese par komercmaršrutu apkalpošanu, cita starpā mazinot dotējamo reģionālās nozīmes maršrutu tīklu ar autobusiem.</w:t>
      </w:r>
    </w:p>
    <w:p w14:paraId="1E0F37C8" w14:textId="73334F63" w:rsidR="00A2733A" w:rsidRPr="00796647" w:rsidRDefault="00A2733A" w:rsidP="000C4EDE">
      <w:pPr>
        <w:pStyle w:val="BodyText"/>
        <w:numPr>
          <w:ilvl w:val="0"/>
          <w:numId w:val="32"/>
        </w:numPr>
        <w:ind w:left="0" w:firstLine="709"/>
        <w:jc w:val="both"/>
        <w:rPr>
          <w:b w:val="0"/>
          <w:bCs w:val="0"/>
          <w:sz w:val="26"/>
          <w:szCs w:val="26"/>
        </w:rPr>
      </w:pPr>
      <w:r w:rsidRPr="00796647">
        <w:rPr>
          <w:b w:val="0"/>
          <w:bCs w:val="0"/>
          <w:sz w:val="26"/>
          <w:szCs w:val="26"/>
        </w:rPr>
        <w:t>iespējas radīt pasažieriem saprotamu tarifu politiku, kuru būtu iespējams pielāgot dažādu pārvadājumu savienojumiem, veidojot vienotas biļetes</w:t>
      </w:r>
      <w:r w:rsidR="00F45193">
        <w:rPr>
          <w:b w:val="0"/>
          <w:bCs w:val="0"/>
          <w:sz w:val="26"/>
          <w:szCs w:val="26"/>
        </w:rPr>
        <w:t xml:space="preserve"> un nodrošināt lojalitātes programmas ar būtiskākām atlaidēm</w:t>
      </w:r>
      <w:r w:rsidRPr="00796647">
        <w:rPr>
          <w:b w:val="0"/>
          <w:bCs w:val="0"/>
          <w:sz w:val="26"/>
          <w:szCs w:val="26"/>
        </w:rPr>
        <w:t xml:space="preserve">.  </w:t>
      </w:r>
    </w:p>
    <w:p w14:paraId="42A2D8E3" w14:textId="2D814036" w:rsidR="00A2733A" w:rsidRDefault="00A2733A" w:rsidP="000C4EDE">
      <w:pPr>
        <w:pStyle w:val="BodyText"/>
        <w:ind w:firstLine="709"/>
        <w:jc w:val="both"/>
        <w:rPr>
          <w:b w:val="0"/>
          <w:bCs w:val="0"/>
          <w:sz w:val="26"/>
          <w:szCs w:val="26"/>
        </w:rPr>
      </w:pPr>
      <w:r>
        <w:rPr>
          <w:b w:val="0"/>
          <w:bCs w:val="0"/>
          <w:sz w:val="26"/>
          <w:szCs w:val="26"/>
        </w:rPr>
        <w:t xml:space="preserve">Vienlaikus ar </w:t>
      </w:r>
      <w:r w:rsidR="00796647">
        <w:rPr>
          <w:b w:val="0"/>
          <w:bCs w:val="0"/>
          <w:sz w:val="26"/>
          <w:szCs w:val="26"/>
        </w:rPr>
        <w:t xml:space="preserve">tarifu (braukšanas maksas) izmaiņām un palielinājumu ir sagaidāmi </w:t>
      </w:r>
      <w:r w:rsidR="00F45193">
        <w:rPr>
          <w:b w:val="0"/>
          <w:bCs w:val="0"/>
          <w:sz w:val="26"/>
          <w:szCs w:val="26"/>
        </w:rPr>
        <w:t>atsevišķi riski, kuru starpā jāņem vērā:</w:t>
      </w:r>
    </w:p>
    <w:p w14:paraId="52891CB3" w14:textId="6D54D9AD" w:rsidR="00F45193" w:rsidRDefault="00F45193" w:rsidP="000C4EDE">
      <w:pPr>
        <w:pStyle w:val="BodyText"/>
        <w:numPr>
          <w:ilvl w:val="0"/>
          <w:numId w:val="32"/>
        </w:numPr>
        <w:ind w:left="0" w:firstLine="709"/>
        <w:jc w:val="both"/>
        <w:rPr>
          <w:b w:val="0"/>
          <w:bCs w:val="0"/>
          <w:sz w:val="26"/>
          <w:szCs w:val="26"/>
        </w:rPr>
      </w:pPr>
      <w:r>
        <w:rPr>
          <w:b w:val="0"/>
          <w:bCs w:val="0"/>
          <w:sz w:val="26"/>
          <w:szCs w:val="26"/>
        </w:rPr>
        <w:t>iespējamais pasažieru skaita samazinājums</w:t>
      </w:r>
      <w:r w:rsidR="008552B7">
        <w:rPr>
          <w:b w:val="0"/>
          <w:bCs w:val="0"/>
          <w:sz w:val="26"/>
          <w:szCs w:val="26"/>
        </w:rPr>
        <w:t xml:space="preserve"> vai pasažieru skaita palielinājuma sabremzēšanās;</w:t>
      </w:r>
    </w:p>
    <w:p w14:paraId="6A0AD307" w14:textId="39178C1D" w:rsidR="00F45193" w:rsidRPr="003A1457" w:rsidRDefault="00F45193" w:rsidP="003A1457">
      <w:pPr>
        <w:pStyle w:val="BodyText"/>
        <w:numPr>
          <w:ilvl w:val="0"/>
          <w:numId w:val="32"/>
        </w:numPr>
        <w:ind w:left="0" w:firstLine="709"/>
        <w:jc w:val="both"/>
        <w:rPr>
          <w:b w:val="0"/>
          <w:bCs w:val="0"/>
          <w:sz w:val="26"/>
          <w:szCs w:val="26"/>
        </w:rPr>
      </w:pPr>
      <w:r>
        <w:rPr>
          <w:b w:val="0"/>
          <w:bCs w:val="0"/>
          <w:sz w:val="26"/>
          <w:szCs w:val="26"/>
        </w:rPr>
        <w:t xml:space="preserve">tarifu (braukšanas maksas) izmaiņas rada ietekmi uz pašvaldību budžetiem, kas kompensē braucienu izdevumus </w:t>
      </w:r>
      <w:r w:rsidR="00E70AF9">
        <w:rPr>
          <w:b w:val="0"/>
          <w:bCs w:val="0"/>
          <w:sz w:val="26"/>
          <w:szCs w:val="26"/>
        </w:rPr>
        <w:t xml:space="preserve">pašvaldību iedzīvotājiem (piemēram, skolēniem </w:t>
      </w:r>
      <w:r w:rsidR="00E70AF9" w:rsidRPr="003A1457">
        <w:rPr>
          <w:b w:val="0"/>
          <w:bCs w:val="0"/>
          <w:sz w:val="26"/>
          <w:szCs w:val="26"/>
        </w:rPr>
        <w:t>pensionāriem u.c.)</w:t>
      </w:r>
      <w:r w:rsidRPr="003A1457">
        <w:rPr>
          <w:b w:val="0"/>
          <w:bCs w:val="0"/>
          <w:sz w:val="26"/>
          <w:szCs w:val="26"/>
        </w:rPr>
        <w:t>;</w:t>
      </w:r>
    </w:p>
    <w:p w14:paraId="01E20C94" w14:textId="77777777" w:rsidR="001671CA" w:rsidRDefault="00F45193" w:rsidP="001671CA">
      <w:pPr>
        <w:pStyle w:val="BodyText"/>
        <w:numPr>
          <w:ilvl w:val="0"/>
          <w:numId w:val="32"/>
        </w:numPr>
        <w:ind w:left="0" w:firstLine="709"/>
        <w:jc w:val="both"/>
        <w:rPr>
          <w:b w:val="0"/>
          <w:bCs w:val="0"/>
          <w:sz w:val="26"/>
          <w:szCs w:val="26"/>
        </w:rPr>
      </w:pPr>
      <w:r w:rsidRPr="003A1457">
        <w:rPr>
          <w:b w:val="0"/>
          <w:bCs w:val="0"/>
          <w:sz w:val="26"/>
          <w:szCs w:val="26"/>
        </w:rPr>
        <w:t xml:space="preserve">tarifu (braukšanas maksas) izmaiņas rada negatīvu ietekmi, palielinot </w:t>
      </w:r>
      <w:r w:rsidR="00E70AF9" w:rsidRPr="003A1457">
        <w:rPr>
          <w:b w:val="0"/>
          <w:bCs w:val="0"/>
          <w:sz w:val="26"/>
          <w:szCs w:val="26"/>
        </w:rPr>
        <w:t xml:space="preserve">valsts </w:t>
      </w:r>
      <w:r w:rsidRPr="003A1457">
        <w:rPr>
          <w:b w:val="0"/>
          <w:bCs w:val="0"/>
          <w:sz w:val="26"/>
          <w:szCs w:val="26"/>
        </w:rPr>
        <w:t>kompensējamo zaudējumu apmēru par personu ar braukšanas maksas atvieglojumiem pārvadāšanu.</w:t>
      </w:r>
    </w:p>
    <w:p w14:paraId="69025078" w14:textId="5F855406" w:rsidR="001671CA" w:rsidRPr="001671CA" w:rsidRDefault="001671CA" w:rsidP="001671CA">
      <w:pPr>
        <w:pStyle w:val="BodyText"/>
        <w:ind w:firstLine="567"/>
        <w:jc w:val="both"/>
        <w:rPr>
          <w:b w:val="0"/>
          <w:bCs w:val="0"/>
        </w:rPr>
      </w:pPr>
      <w:r w:rsidRPr="001671CA">
        <w:rPr>
          <w:b w:val="0"/>
          <w:bCs w:val="0"/>
          <w:lang w:val="en-US" w:eastAsia="en-US"/>
        </w:rPr>
        <w:t>Lai realizētu vienotu sabiedriskā transporta maršrutu tīkla plānošanu, Sabiedriskā transporta padomes sastāvā ir visu plānošanas reģionu pārstāvji. Plānošanas reģioni veic arī valsts deleģētus uzdevumus maršrutu pārskatīšanā. Lēmumus, tostarp, par tarifu pārskatīšanu, S</w:t>
      </w:r>
      <w:r>
        <w:rPr>
          <w:b w:val="0"/>
          <w:bCs w:val="0"/>
          <w:lang w:val="en-US" w:eastAsia="en-US"/>
        </w:rPr>
        <w:t xml:space="preserve">abiedriskā transporta </w:t>
      </w:r>
      <w:proofErr w:type="spellStart"/>
      <w:r>
        <w:rPr>
          <w:b w:val="0"/>
          <w:bCs w:val="0"/>
          <w:lang w:val="en-US" w:eastAsia="en-US"/>
        </w:rPr>
        <w:t>padome</w:t>
      </w:r>
      <w:proofErr w:type="spellEnd"/>
      <w:r>
        <w:rPr>
          <w:b w:val="0"/>
          <w:bCs w:val="0"/>
          <w:lang w:val="en-US" w:eastAsia="en-US"/>
        </w:rPr>
        <w:t xml:space="preserve"> </w:t>
      </w:r>
      <w:r w:rsidRPr="001671CA">
        <w:rPr>
          <w:b w:val="0"/>
          <w:bCs w:val="0"/>
          <w:lang w:val="en-US" w:eastAsia="en-US"/>
        </w:rPr>
        <w:t xml:space="preserve">pieņem koleģiāli, balsojot. </w:t>
      </w:r>
    </w:p>
    <w:p w14:paraId="38CFF53B" w14:textId="77777777" w:rsidR="001671CA" w:rsidRPr="003A1457" w:rsidRDefault="001671CA" w:rsidP="003A1457">
      <w:pPr>
        <w:pStyle w:val="BodyText"/>
        <w:numPr>
          <w:ilvl w:val="0"/>
          <w:numId w:val="32"/>
        </w:numPr>
        <w:ind w:left="0" w:firstLine="709"/>
        <w:jc w:val="both"/>
        <w:rPr>
          <w:b w:val="0"/>
          <w:bCs w:val="0"/>
          <w:sz w:val="26"/>
          <w:szCs w:val="26"/>
        </w:rPr>
      </w:pPr>
    </w:p>
    <w:p w14:paraId="74D25D01" w14:textId="77777777" w:rsidR="00914404" w:rsidRPr="003A1457" w:rsidRDefault="00914404" w:rsidP="003A1457">
      <w:pPr>
        <w:pStyle w:val="tv213"/>
        <w:spacing w:before="0" w:beforeAutospacing="0" w:after="0" w:afterAutospacing="0" w:line="293" w:lineRule="atLeast"/>
        <w:ind w:firstLine="709"/>
        <w:jc w:val="both"/>
        <w:rPr>
          <w:b/>
          <w:bCs/>
          <w:sz w:val="26"/>
          <w:szCs w:val="26"/>
        </w:rPr>
      </w:pPr>
    </w:p>
    <w:p w14:paraId="7F66DDF7" w14:textId="184BBD68" w:rsidR="00F13789" w:rsidRDefault="00F13789" w:rsidP="003A1457">
      <w:pPr>
        <w:ind w:firstLine="709"/>
        <w:jc w:val="both"/>
        <w:rPr>
          <w:b/>
          <w:bCs/>
          <w:sz w:val="26"/>
          <w:szCs w:val="26"/>
        </w:rPr>
      </w:pPr>
      <w:r w:rsidRPr="003A1457">
        <w:rPr>
          <w:b/>
          <w:bCs/>
          <w:sz w:val="26"/>
          <w:szCs w:val="26"/>
        </w:rPr>
        <w:lastRenderedPageBreak/>
        <w:t>2.3. Citi alternatīvie valsts budžeta izdevumu mazinošie pasākumi nākamajiem periodiem</w:t>
      </w:r>
    </w:p>
    <w:p w14:paraId="2CAE103B" w14:textId="77777777" w:rsidR="009B4396" w:rsidRPr="003A1457" w:rsidRDefault="009B4396" w:rsidP="003A1457">
      <w:pPr>
        <w:ind w:firstLine="709"/>
        <w:jc w:val="both"/>
        <w:rPr>
          <w:b/>
          <w:bCs/>
          <w:sz w:val="26"/>
          <w:szCs w:val="26"/>
        </w:rPr>
      </w:pPr>
    </w:p>
    <w:p w14:paraId="592E0A15" w14:textId="77777777" w:rsidR="00E9069B" w:rsidRPr="003A1457" w:rsidRDefault="00E9069B" w:rsidP="003A1457">
      <w:pPr>
        <w:ind w:firstLine="709"/>
        <w:jc w:val="both"/>
        <w:rPr>
          <w:b/>
          <w:bCs/>
          <w:sz w:val="26"/>
          <w:szCs w:val="26"/>
        </w:rPr>
      </w:pPr>
      <w:r w:rsidRPr="003A1457">
        <w:rPr>
          <w:b/>
          <w:bCs/>
          <w:sz w:val="26"/>
          <w:szCs w:val="26"/>
        </w:rPr>
        <w:t>2.3.1. Komerciālie maršruti</w:t>
      </w:r>
    </w:p>
    <w:p w14:paraId="2830531A" w14:textId="1EE6CF82" w:rsidR="00F13789" w:rsidRDefault="00F13789" w:rsidP="003A1457">
      <w:pPr>
        <w:ind w:firstLine="709"/>
        <w:jc w:val="both"/>
        <w:rPr>
          <w:bCs/>
          <w:sz w:val="26"/>
          <w:szCs w:val="26"/>
        </w:rPr>
      </w:pPr>
      <w:r w:rsidRPr="003A1457">
        <w:rPr>
          <w:sz w:val="26"/>
          <w:szCs w:val="26"/>
        </w:rPr>
        <w:t xml:space="preserve">Atbilstoši STP </w:t>
      </w:r>
      <w:r w:rsidR="00022CEA" w:rsidRPr="003A1457">
        <w:rPr>
          <w:sz w:val="26"/>
          <w:szCs w:val="26"/>
        </w:rPr>
        <w:t>L</w:t>
      </w:r>
      <w:r w:rsidRPr="003A1457">
        <w:rPr>
          <w:sz w:val="26"/>
          <w:szCs w:val="26"/>
        </w:rPr>
        <w:t>ikuma 8.</w:t>
      </w:r>
      <w:r w:rsidRPr="003A1457">
        <w:rPr>
          <w:sz w:val="26"/>
          <w:szCs w:val="26"/>
          <w:vertAlign w:val="superscript"/>
        </w:rPr>
        <w:t xml:space="preserve">1 </w:t>
      </w:r>
      <w:r w:rsidRPr="003A1457">
        <w:rPr>
          <w:sz w:val="26"/>
          <w:szCs w:val="26"/>
        </w:rPr>
        <w:t>pantam un Ministru kabineta 2021.gada 6.jūlija noteikumiem Nr.486 “Noteikumi</w:t>
      </w:r>
      <w:r w:rsidRPr="004916D4">
        <w:rPr>
          <w:sz w:val="26"/>
          <w:szCs w:val="26"/>
        </w:rPr>
        <w:t xml:space="preserve"> par iekšzemes regulārajiem pasažieru komerciālajiem pārvadājumiem ar autobusu”</w:t>
      </w:r>
      <w:r>
        <w:rPr>
          <w:sz w:val="26"/>
          <w:szCs w:val="26"/>
        </w:rPr>
        <w:t xml:space="preserve"> paralēli dotējamam reģionālās nozīmes maršrutu tīklam darbojas komerciālie maršruti, kas </w:t>
      </w:r>
      <w:r w:rsidRPr="00EE6585">
        <w:rPr>
          <w:rFonts w:eastAsia="Calibri" w:cs="Calibri"/>
          <w:sz w:val="26"/>
          <w:szCs w:val="26"/>
        </w:rPr>
        <w:t>ir izveidoti tajos virzienos, kur primāri kursē vilciens, liekot lielāku uzsvaru uz vilcienu satiksmi</w:t>
      </w:r>
      <w:r w:rsidR="004D284E">
        <w:rPr>
          <w:rFonts w:eastAsia="Calibri" w:cs="Calibri"/>
          <w:sz w:val="26"/>
          <w:szCs w:val="26"/>
        </w:rPr>
        <w:t xml:space="preserve">. </w:t>
      </w:r>
      <w:r>
        <w:rPr>
          <w:bCs/>
          <w:sz w:val="26"/>
          <w:szCs w:val="26"/>
        </w:rPr>
        <w:t xml:space="preserve">Vienlaikus komerciālo maršrutu apkalpošanai nav paredzēts valsts budžeta finansējums, un pārvadātājam jānodrošina pasažieru pārvadājumos noteiktās sabiedriskā transporta pakalpojumu kvalitātes prasības, kā arī valsts noteikto pasažieru ar braukšanas maksas atvieglojumiem pārvadāšana. </w:t>
      </w:r>
    </w:p>
    <w:p w14:paraId="741D1EEA" w14:textId="797A21DE" w:rsidR="004563A8" w:rsidRPr="006830F1" w:rsidRDefault="004563A8" w:rsidP="006830F1">
      <w:pPr>
        <w:ind w:firstLine="709"/>
        <w:jc w:val="both"/>
        <w:rPr>
          <w:sz w:val="26"/>
          <w:szCs w:val="26"/>
        </w:rPr>
      </w:pPr>
      <w:r w:rsidRPr="006830F1">
        <w:rPr>
          <w:sz w:val="26"/>
          <w:szCs w:val="26"/>
          <w:lang w:eastAsia="en-US"/>
        </w:rPr>
        <w:t>Saskaņā ar STP Likuma 8.</w:t>
      </w:r>
      <w:r w:rsidRPr="006830F1">
        <w:rPr>
          <w:sz w:val="26"/>
          <w:szCs w:val="26"/>
          <w:vertAlign w:val="superscript"/>
          <w:lang w:eastAsia="en-US"/>
        </w:rPr>
        <w:t>1</w:t>
      </w:r>
      <w:r w:rsidRPr="006830F1">
        <w:rPr>
          <w:sz w:val="26"/>
          <w:szCs w:val="26"/>
          <w:lang w:eastAsia="en-US"/>
        </w:rPr>
        <w:t xml:space="preserve"> panta pirmās un otrās daļas regulējumu –</w:t>
      </w:r>
      <w:r w:rsidRPr="006830F1">
        <w:rPr>
          <w:sz w:val="26"/>
          <w:szCs w:val="26"/>
        </w:rPr>
        <w:t xml:space="preserve"> </w:t>
      </w:r>
      <w:r w:rsidRPr="006830F1">
        <w:rPr>
          <w:i/>
          <w:iCs/>
          <w:sz w:val="26"/>
          <w:szCs w:val="26"/>
          <w:lang w:eastAsia="en-US"/>
        </w:rPr>
        <w:t xml:space="preserve">komerciālos maršrutus (reisus) Autotransporta direkcija veido, izvērtējot autobusu un dzelzceļa pārvadājumu intensitāti, pakalpojuma pieejamību un pieejamo valsts budžeta finansējumu. Informācija par izveidotiem komerciālajiem maršrutiem (reisiem) tiek publicēta Autotransporta direkcijas tīmekļvietnē. </w:t>
      </w:r>
      <w:r w:rsidRPr="006830F1">
        <w:rPr>
          <w:i/>
          <w:iCs/>
          <w:color w:val="000000"/>
          <w:sz w:val="26"/>
          <w:szCs w:val="26"/>
          <w:shd w:val="clear" w:color="auto" w:fill="FFFFFF"/>
        </w:rPr>
        <w:t>Komerciālajā maršrutā (reisā) tiesības sniegt pakalpojumu tiek piešķirtas, izsniedzot maršruta atļauju.</w:t>
      </w:r>
      <w:r w:rsidRPr="006830F1">
        <w:rPr>
          <w:sz w:val="26"/>
          <w:szCs w:val="26"/>
          <w:lang w:eastAsia="en-US"/>
        </w:rPr>
        <w:t xml:space="preserve"> Papildus minētajam, atbilstoši Ministru kabineta </w:t>
      </w:r>
      <w:r w:rsidR="00C55E7D" w:rsidRPr="007A3190">
        <w:rPr>
          <w:sz w:val="26"/>
          <w:szCs w:val="26"/>
          <w:lang w:eastAsia="en-US"/>
        </w:rPr>
        <w:t xml:space="preserve">2021.gada 6.jūlija </w:t>
      </w:r>
      <w:r w:rsidRPr="006830F1">
        <w:rPr>
          <w:sz w:val="26"/>
          <w:szCs w:val="26"/>
          <w:lang w:eastAsia="en-US"/>
        </w:rPr>
        <w:t>noteikumiem Nr.486 “Noteikumi par iekšzemes regulārajiem pasažieru komerciālajiem pārvadājumiem ar autobusu” ierosinājumu izmaiņām pastāvošajos komerciālajos maršrutos vai priekšlikumu izveidot jaunus komerciālos maršrutus var iesniegt jebkura juridiska un fiziska persona. Līdz ar to komerciālā maršruta statuss tiek noteikts (tiek piešķirs) ar Autotransporta direkcijas lēmumu</w:t>
      </w:r>
      <w:r w:rsidRPr="006830F1">
        <w:rPr>
          <w:sz w:val="26"/>
          <w:szCs w:val="26"/>
        </w:rPr>
        <w:t xml:space="preserve">. </w:t>
      </w:r>
    </w:p>
    <w:p w14:paraId="6D0DB54F" w14:textId="19C4B5B5" w:rsidR="00167D75" w:rsidRPr="000234F2" w:rsidRDefault="00167D75" w:rsidP="00167D75">
      <w:pPr>
        <w:ind w:firstLine="709"/>
        <w:jc w:val="both"/>
        <w:rPr>
          <w:sz w:val="26"/>
          <w:szCs w:val="26"/>
        </w:rPr>
      </w:pPr>
      <w:r>
        <w:rPr>
          <w:bCs/>
          <w:sz w:val="26"/>
          <w:szCs w:val="26"/>
        </w:rPr>
        <w:t>N</w:t>
      </w:r>
      <w:r w:rsidRPr="002B26FB">
        <w:rPr>
          <w:bCs/>
          <w:sz w:val="26"/>
          <w:szCs w:val="26"/>
        </w:rPr>
        <w:t>o 2021.gada 1.oktobra</w:t>
      </w:r>
      <w:r>
        <w:rPr>
          <w:bCs/>
          <w:sz w:val="26"/>
          <w:szCs w:val="26"/>
        </w:rPr>
        <w:t xml:space="preserve"> m</w:t>
      </w:r>
      <w:r>
        <w:rPr>
          <w:sz w:val="26"/>
          <w:szCs w:val="26"/>
        </w:rPr>
        <w:t xml:space="preserve">aršrutu </w:t>
      </w:r>
      <w:r w:rsidRPr="002B26FB">
        <w:rPr>
          <w:bCs/>
          <w:sz w:val="26"/>
          <w:szCs w:val="26"/>
        </w:rPr>
        <w:t>Rīga–Salaspils</w:t>
      </w:r>
      <w:r>
        <w:rPr>
          <w:bCs/>
          <w:sz w:val="26"/>
          <w:szCs w:val="26"/>
        </w:rPr>
        <w:t xml:space="preserve"> apkalpo SIA “Galss Buss”. No </w:t>
      </w:r>
      <w:r w:rsidRPr="002B26FB">
        <w:rPr>
          <w:bCs/>
          <w:sz w:val="26"/>
          <w:szCs w:val="26"/>
        </w:rPr>
        <w:t xml:space="preserve">2021.gada 1.septembra </w:t>
      </w:r>
      <w:r>
        <w:rPr>
          <w:sz w:val="26"/>
          <w:szCs w:val="26"/>
        </w:rPr>
        <w:t xml:space="preserve">reisu apkalpošanu </w:t>
      </w:r>
      <w:r w:rsidRPr="002B26FB">
        <w:rPr>
          <w:bCs/>
          <w:sz w:val="26"/>
          <w:szCs w:val="26"/>
        </w:rPr>
        <w:t>uz komerciāliem principiem maršrutā Rīga–Daugavpils</w:t>
      </w:r>
      <w:r w:rsidRPr="000234F2">
        <w:rPr>
          <w:sz w:val="26"/>
          <w:szCs w:val="26"/>
        </w:rPr>
        <w:t xml:space="preserve"> </w:t>
      </w:r>
      <w:r>
        <w:rPr>
          <w:sz w:val="26"/>
          <w:szCs w:val="26"/>
        </w:rPr>
        <w:t>veica SIA “Daugavpils autobusu parks” un AS “Lux Ekspress Estonia”. Tomēr, sākot n</w:t>
      </w:r>
      <w:r w:rsidRPr="000234F2">
        <w:rPr>
          <w:sz w:val="26"/>
          <w:szCs w:val="26"/>
        </w:rPr>
        <w:t xml:space="preserve">o 2022.gada 1.maija AS “Lux Express Estonia” pārtrauca komercreisu apkalpošanu (kopā tika apkalpoti </w:t>
      </w:r>
      <w:r>
        <w:rPr>
          <w:sz w:val="26"/>
          <w:szCs w:val="26"/>
        </w:rPr>
        <w:t>seši</w:t>
      </w:r>
      <w:r w:rsidRPr="000234F2">
        <w:rPr>
          <w:sz w:val="26"/>
          <w:szCs w:val="26"/>
        </w:rPr>
        <w:t xml:space="preserve"> reisi)</w:t>
      </w:r>
      <w:r>
        <w:rPr>
          <w:sz w:val="26"/>
          <w:szCs w:val="26"/>
        </w:rPr>
        <w:t>. Savukārt, n</w:t>
      </w:r>
      <w:r w:rsidRPr="000234F2">
        <w:rPr>
          <w:sz w:val="26"/>
          <w:szCs w:val="26"/>
        </w:rPr>
        <w:t xml:space="preserve">o 2022.gada 1.jūlija divus reisus </w:t>
      </w:r>
      <w:r>
        <w:rPr>
          <w:sz w:val="26"/>
          <w:szCs w:val="26"/>
        </w:rPr>
        <w:t>maršrutā Rīga</w:t>
      </w:r>
      <w:r w:rsidRPr="00E86211">
        <w:rPr>
          <w:bCs/>
          <w:sz w:val="26"/>
          <w:szCs w:val="26"/>
        </w:rPr>
        <w:t>–</w:t>
      </w:r>
      <w:r>
        <w:rPr>
          <w:sz w:val="26"/>
          <w:szCs w:val="26"/>
        </w:rPr>
        <w:t xml:space="preserve">Daugavpils </w:t>
      </w:r>
      <w:r w:rsidRPr="000234F2">
        <w:rPr>
          <w:sz w:val="26"/>
          <w:szCs w:val="26"/>
        </w:rPr>
        <w:t>uz komerciāliem principiem nodrošin</w:t>
      </w:r>
      <w:r w:rsidR="001D4D71">
        <w:rPr>
          <w:sz w:val="26"/>
          <w:szCs w:val="26"/>
        </w:rPr>
        <w:t>āja</w:t>
      </w:r>
      <w:r w:rsidRPr="000234F2">
        <w:rPr>
          <w:sz w:val="26"/>
          <w:szCs w:val="26"/>
        </w:rPr>
        <w:t xml:space="preserve"> SIA “DAUTRANS” (viens </w:t>
      </w:r>
      <w:r>
        <w:rPr>
          <w:sz w:val="26"/>
          <w:szCs w:val="26"/>
        </w:rPr>
        <w:t xml:space="preserve">reiss </w:t>
      </w:r>
      <w:r w:rsidRPr="000234F2">
        <w:rPr>
          <w:sz w:val="26"/>
          <w:szCs w:val="26"/>
        </w:rPr>
        <w:t>tiek izpildīts tikai ceturtdienās, otrs 1, 4, 5, 6, 7)</w:t>
      </w:r>
      <w:r>
        <w:rPr>
          <w:sz w:val="26"/>
          <w:szCs w:val="26"/>
        </w:rPr>
        <w:t xml:space="preserve">, bet </w:t>
      </w:r>
      <w:r w:rsidR="00386F0E">
        <w:rPr>
          <w:sz w:val="26"/>
          <w:szCs w:val="26"/>
        </w:rPr>
        <w:t xml:space="preserve">ar 2022.gada 29.decembri SIA “DAUTRANS” atteicās no šī maršruta apkalpošanas, kā arī ar </w:t>
      </w:r>
      <w:r>
        <w:rPr>
          <w:sz w:val="26"/>
          <w:szCs w:val="26"/>
        </w:rPr>
        <w:t>2023.gad</w:t>
      </w:r>
      <w:r w:rsidR="00E70AF9">
        <w:rPr>
          <w:sz w:val="26"/>
          <w:szCs w:val="26"/>
        </w:rPr>
        <w:t xml:space="preserve">a </w:t>
      </w:r>
      <w:r w:rsidR="00386F0E">
        <w:rPr>
          <w:sz w:val="26"/>
          <w:szCs w:val="26"/>
        </w:rPr>
        <w:t xml:space="preserve">16.martu arī </w:t>
      </w:r>
      <w:r w:rsidR="001D4D71">
        <w:rPr>
          <w:sz w:val="26"/>
          <w:szCs w:val="26"/>
        </w:rPr>
        <w:t xml:space="preserve">SIA “Daugavpils autobusu parks” </w:t>
      </w:r>
      <w:r w:rsidR="007A1CDA">
        <w:rPr>
          <w:sz w:val="26"/>
          <w:szCs w:val="26"/>
        </w:rPr>
        <w:t xml:space="preserve">ir </w:t>
      </w:r>
      <w:r w:rsidR="00386F0E">
        <w:rPr>
          <w:sz w:val="26"/>
          <w:szCs w:val="26"/>
        </w:rPr>
        <w:t xml:space="preserve">atteikusies </w:t>
      </w:r>
      <w:r>
        <w:rPr>
          <w:sz w:val="26"/>
          <w:szCs w:val="26"/>
        </w:rPr>
        <w:t>no šī maršruta apkalpošanas</w:t>
      </w:r>
      <w:r w:rsidR="00386F0E">
        <w:rPr>
          <w:sz w:val="26"/>
          <w:szCs w:val="26"/>
        </w:rPr>
        <w:t xml:space="preserve"> uz komerciāliem principiem</w:t>
      </w:r>
      <w:r w:rsidRPr="000234F2">
        <w:rPr>
          <w:sz w:val="26"/>
          <w:szCs w:val="26"/>
        </w:rPr>
        <w:t>.</w:t>
      </w:r>
      <w:r>
        <w:rPr>
          <w:sz w:val="26"/>
          <w:szCs w:val="26"/>
        </w:rPr>
        <w:t xml:space="preserve"> </w:t>
      </w:r>
    </w:p>
    <w:p w14:paraId="112C26F0" w14:textId="643712FB" w:rsidR="00F13789" w:rsidRPr="005F24FD" w:rsidRDefault="00F13789" w:rsidP="00F13789">
      <w:pPr>
        <w:ind w:firstLine="709"/>
        <w:jc w:val="both"/>
        <w:rPr>
          <w:sz w:val="26"/>
          <w:szCs w:val="26"/>
        </w:rPr>
      </w:pPr>
      <w:r w:rsidRPr="000234F2">
        <w:rPr>
          <w:rFonts w:eastAsia="Calibri" w:cs="Calibri"/>
          <w:sz w:val="26"/>
          <w:szCs w:val="26"/>
        </w:rPr>
        <w:t xml:space="preserve">Tieši </w:t>
      </w:r>
      <w:r w:rsidR="004D284E">
        <w:rPr>
          <w:rFonts w:eastAsia="Calibri" w:cs="Calibri"/>
          <w:sz w:val="26"/>
          <w:szCs w:val="26"/>
        </w:rPr>
        <w:t xml:space="preserve">Covid-19 </w:t>
      </w:r>
      <w:r w:rsidRPr="000234F2">
        <w:rPr>
          <w:rFonts w:eastAsia="Calibri" w:cs="Calibri"/>
          <w:sz w:val="26"/>
          <w:szCs w:val="26"/>
        </w:rPr>
        <w:t>pandēmijas ierobežošanai noteiktie pasākumi un ar to saistītās pasažieru skaita izmaiņas</w:t>
      </w:r>
      <w:r w:rsidRPr="000D096A">
        <w:rPr>
          <w:rFonts w:eastAsia="Calibri" w:cs="Calibri"/>
          <w:sz w:val="26"/>
          <w:szCs w:val="26"/>
        </w:rPr>
        <w:t xml:space="preserve"> kavē</w:t>
      </w:r>
      <w:r>
        <w:rPr>
          <w:rFonts w:eastAsia="Calibri" w:cs="Calibri"/>
          <w:sz w:val="26"/>
          <w:szCs w:val="26"/>
        </w:rPr>
        <w:t>ja</w:t>
      </w:r>
      <w:r w:rsidRPr="000D096A">
        <w:rPr>
          <w:rFonts w:eastAsia="Calibri" w:cs="Calibri"/>
          <w:sz w:val="26"/>
          <w:szCs w:val="26"/>
        </w:rPr>
        <w:t xml:space="preserve"> potenciālo pārvadātāju pieteikšanos uz komercmaršrutu apkalpošanu. Turklāt</w:t>
      </w:r>
      <w:r>
        <w:rPr>
          <w:rFonts w:eastAsia="Calibri" w:cs="Calibri"/>
          <w:sz w:val="26"/>
          <w:szCs w:val="26"/>
        </w:rPr>
        <w:t>,</w:t>
      </w:r>
      <w:r w:rsidRPr="000D096A">
        <w:rPr>
          <w:rFonts w:eastAsia="Calibri" w:cs="Calibri"/>
          <w:sz w:val="26"/>
          <w:szCs w:val="26"/>
        </w:rPr>
        <w:t xml:space="preserve"> kā </w:t>
      </w:r>
      <w:r w:rsidRPr="000D096A">
        <w:rPr>
          <w:sz w:val="26"/>
          <w:szCs w:val="26"/>
        </w:rPr>
        <w:t>norādījuši pārvadātāji, vēl viens iemesls ir relatīvi lielais pasažieru skaits, kuriem pienākas valsts noteiktie braukšanas maksas atvieglojumi, par kuru pārvadāšanu komercpārvadā</w:t>
      </w:r>
      <w:r>
        <w:rPr>
          <w:sz w:val="26"/>
          <w:szCs w:val="26"/>
        </w:rPr>
        <w:t xml:space="preserve">jumos </w:t>
      </w:r>
      <w:r w:rsidRPr="000D096A">
        <w:rPr>
          <w:sz w:val="26"/>
          <w:szCs w:val="26"/>
        </w:rPr>
        <w:t>ne</w:t>
      </w:r>
      <w:r>
        <w:rPr>
          <w:sz w:val="26"/>
          <w:szCs w:val="26"/>
        </w:rPr>
        <w:t xml:space="preserve">tiek </w:t>
      </w:r>
      <w:r w:rsidRPr="000D096A">
        <w:rPr>
          <w:sz w:val="26"/>
          <w:szCs w:val="26"/>
        </w:rPr>
        <w:t>saņem</w:t>
      </w:r>
      <w:r>
        <w:rPr>
          <w:sz w:val="26"/>
          <w:szCs w:val="26"/>
        </w:rPr>
        <w:t>ti</w:t>
      </w:r>
      <w:r w:rsidRPr="000D096A">
        <w:rPr>
          <w:sz w:val="26"/>
          <w:szCs w:val="26"/>
        </w:rPr>
        <w:t xml:space="preserve"> biļešu ieņēmum</w:t>
      </w:r>
      <w:r>
        <w:rPr>
          <w:sz w:val="26"/>
          <w:szCs w:val="26"/>
        </w:rPr>
        <w:t>i</w:t>
      </w:r>
      <w:r w:rsidRPr="000D096A">
        <w:rPr>
          <w:sz w:val="26"/>
          <w:szCs w:val="26"/>
        </w:rPr>
        <w:t xml:space="preserve">. </w:t>
      </w:r>
      <w:r w:rsidR="00022CEA">
        <w:rPr>
          <w:sz w:val="26"/>
          <w:szCs w:val="26"/>
        </w:rPr>
        <w:t xml:space="preserve">Atsevišķos gadījumos pasažieru skaits </w:t>
      </w:r>
      <w:r w:rsidR="00E70AF9">
        <w:rPr>
          <w:sz w:val="26"/>
          <w:szCs w:val="26"/>
        </w:rPr>
        <w:t xml:space="preserve">ar braukšanas maksas atvieglojumiem </w:t>
      </w:r>
      <w:r w:rsidRPr="000D096A">
        <w:rPr>
          <w:sz w:val="26"/>
          <w:szCs w:val="26"/>
        </w:rPr>
        <w:t xml:space="preserve">var sasniegt </w:t>
      </w:r>
      <w:r>
        <w:rPr>
          <w:sz w:val="26"/>
          <w:szCs w:val="26"/>
        </w:rPr>
        <w:t xml:space="preserve">apmēram </w:t>
      </w:r>
      <w:r w:rsidR="004D284E">
        <w:rPr>
          <w:sz w:val="26"/>
          <w:szCs w:val="26"/>
        </w:rPr>
        <w:t>17%-</w:t>
      </w:r>
      <w:r w:rsidRPr="000D096A">
        <w:rPr>
          <w:sz w:val="26"/>
          <w:szCs w:val="26"/>
        </w:rPr>
        <w:t xml:space="preserve">20% no pasažieru skaita </w:t>
      </w:r>
      <w:r w:rsidR="004D284E">
        <w:rPr>
          <w:sz w:val="26"/>
          <w:szCs w:val="26"/>
        </w:rPr>
        <w:t>autobusā</w:t>
      </w:r>
      <w:r>
        <w:rPr>
          <w:sz w:val="26"/>
          <w:szCs w:val="26"/>
        </w:rPr>
        <w:t>, kas būtiski sadārdzin</w:t>
      </w:r>
      <w:r w:rsidR="004D284E">
        <w:rPr>
          <w:sz w:val="26"/>
          <w:szCs w:val="26"/>
        </w:rPr>
        <w:t>a</w:t>
      </w:r>
      <w:r>
        <w:rPr>
          <w:sz w:val="26"/>
          <w:szCs w:val="26"/>
        </w:rPr>
        <w:t xml:space="preserve"> sniedzamā sabiedriskā transporta pakalpojum</w:t>
      </w:r>
      <w:r w:rsidR="00E70AF9">
        <w:rPr>
          <w:sz w:val="26"/>
          <w:szCs w:val="26"/>
        </w:rPr>
        <w:t>a</w:t>
      </w:r>
      <w:r>
        <w:rPr>
          <w:sz w:val="26"/>
          <w:szCs w:val="26"/>
        </w:rPr>
        <w:t xml:space="preserve"> cenu</w:t>
      </w:r>
      <w:r w:rsidRPr="000D096A">
        <w:rPr>
          <w:sz w:val="26"/>
          <w:szCs w:val="26"/>
        </w:rPr>
        <w:t>.</w:t>
      </w:r>
      <w:r>
        <w:rPr>
          <w:sz w:val="26"/>
          <w:szCs w:val="26"/>
        </w:rPr>
        <w:t xml:space="preserve"> Vienlaikus 2022.gada būtiskais cenu pieaugums degvielai, patēriņa precēm un pakalpojumiem neveicina pārvadātājus apņemties apkalpot augstākminētos maršrutus</w:t>
      </w:r>
      <w:r w:rsidR="004D284E">
        <w:rPr>
          <w:sz w:val="26"/>
          <w:szCs w:val="26"/>
        </w:rPr>
        <w:t xml:space="preserve"> vai veidot jaunus komerciālus maršrutus</w:t>
      </w:r>
      <w:r>
        <w:rPr>
          <w:sz w:val="26"/>
          <w:szCs w:val="26"/>
        </w:rPr>
        <w:t>, jo biļešu cenas</w:t>
      </w:r>
      <w:r w:rsidR="004D284E">
        <w:rPr>
          <w:sz w:val="26"/>
          <w:szCs w:val="26"/>
        </w:rPr>
        <w:t>,</w:t>
      </w:r>
      <w:r>
        <w:rPr>
          <w:sz w:val="26"/>
          <w:szCs w:val="26"/>
        </w:rPr>
        <w:t xml:space="preserve"> </w:t>
      </w:r>
      <w:r w:rsidRPr="005F24FD">
        <w:rPr>
          <w:sz w:val="26"/>
          <w:szCs w:val="26"/>
        </w:rPr>
        <w:t>salīdzinājumā ar dotētā sabiedriskā transporta pakalpojumiem</w:t>
      </w:r>
      <w:r w:rsidR="004D284E">
        <w:rPr>
          <w:sz w:val="26"/>
          <w:szCs w:val="26"/>
        </w:rPr>
        <w:t>,</w:t>
      </w:r>
      <w:r w:rsidRPr="005F24FD">
        <w:rPr>
          <w:sz w:val="26"/>
          <w:szCs w:val="26"/>
        </w:rPr>
        <w:t xml:space="preserve"> </w:t>
      </w:r>
      <w:r>
        <w:rPr>
          <w:sz w:val="26"/>
          <w:szCs w:val="26"/>
        </w:rPr>
        <w:t>ne</w:t>
      </w:r>
      <w:r w:rsidRPr="005F24FD">
        <w:rPr>
          <w:sz w:val="26"/>
          <w:szCs w:val="26"/>
        </w:rPr>
        <w:t>būtu konkurētspējīgas.</w:t>
      </w:r>
    </w:p>
    <w:p w14:paraId="4863273D" w14:textId="7FFC807A" w:rsidR="004563A8" w:rsidRPr="000F43B5" w:rsidRDefault="004563A8" w:rsidP="004563A8">
      <w:pPr>
        <w:ind w:firstLine="709"/>
        <w:jc w:val="both"/>
        <w:rPr>
          <w:i/>
          <w:iCs/>
          <w:sz w:val="26"/>
          <w:szCs w:val="26"/>
        </w:rPr>
      </w:pPr>
      <w:bookmarkStart w:id="6" w:name="_Hlk131499128"/>
      <w:r>
        <w:rPr>
          <w:sz w:val="26"/>
          <w:szCs w:val="26"/>
        </w:rPr>
        <w:lastRenderedPageBreak/>
        <w:t>J</w:t>
      </w:r>
      <w:r w:rsidRPr="000F43B5">
        <w:rPr>
          <w:sz w:val="26"/>
          <w:szCs w:val="26"/>
        </w:rPr>
        <w:t xml:space="preserve">a valsts uzliks pienākumu pārvadāt pasažierus ar valsts noteiktajiem braukšanas maksas atvieglojumiem, tādā gadījumā, atbilstoši </w:t>
      </w:r>
      <w:r w:rsidR="00C55E7D" w:rsidRPr="00C55E7D">
        <w:rPr>
          <w:sz w:val="26"/>
          <w:szCs w:val="26"/>
        </w:rPr>
        <w:t>Eiropas Savienības Tiesa</w:t>
      </w:r>
      <w:r w:rsidR="00C55E7D">
        <w:rPr>
          <w:sz w:val="26"/>
          <w:szCs w:val="26"/>
        </w:rPr>
        <w:t>s</w:t>
      </w:r>
      <w:r w:rsidRPr="000F43B5">
        <w:rPr>
          <w:sz w:val="26"/>
          <w:szCs w:val="26"/>
        </w:rPr>
        <w:t xml:space="preserve"> spriedumam Lietā C-614/20</w:t>
      </w:r>
      <w:r w:rsidR="001948DB">
        <w:rPr>
          <w:rStyle w:val="FootnoteReference"/>
          <w:sz w:val="26"/>
          <w:szCs w:val="26"/>
        </w:rPr>
        <w:footnoteReference w:id="22"/>
      </w:r>
      <w:r w:rsidR="001948DB">
        <w:rPr>
          <w:sz w:val="26"/>
          <w:szCs w:val="26"/>
        </w:rPr>
        <w:t xml:space="preserve"> </w:t>
      </w:r>
      <w:r w:rsidRPr="000F43B5">
        <w:rPr>
          <w:i/>
          <w:iCs/>
          <w:sz w:val="26"/>
          <w:szCs w:val="26"/>
        </w:rPr>
        <w:t xml:space="preserve">Lux Express Estonia AS/Majandus- ja Kommunikatsiooniministeerium, </w:t>
      </w:r>
      <w:r w:rsidRPr="000F43B5">
        <w:rPr>
          <w:i/>
          <w:iCs/>
          <w:color w:val="000000"/>
          <w:sz w:val="26"/>
          <w:szCs w:val="26"/>
        </w:rPr>
        <w:t>kompetentajām iestādēm ir pienākums piešķirt uzņēmumiem, kuri attiecīgās dalībvalsts teritorijā nodrošina sabiedriskā transporta pakalpojumu, izmantojot autoceļus un dzelzceļu, kompensāciju saistībā ar neto labvēlīgo vai nelabvēlīgo finanšu ietekmi uz izmaksām un ieņēmumiem, kas radušies, ievērojot vispārējos noteikumos paredzētu pienākumu bez maksas pārvadāt atsevišķas pasažieru kategorijas.</w:t>
      </w:r>
    </w:p>
    <w:p w14:paraId="1EE51ED0" w14:textId="3E730B42" w:rsidR="004563A8" w:rsidRPr="000F43B5" w:rsidRDefault="004563A8" w:rsidP="006830F1">
      <w:pPr>
        <w:ind w:firstLine="709"/>
        <w:jc w:val="both"/>
        <w:rPr>
          <w:rFonts w:ascii="Calibri" w:hAnsi="Calibri" w:cs="Calibri"/>
          <w:sz w:val="26"/>
          <w:szCs w:val="26"/>
          <w:lang w:eastAsia="en-US"/>
        </w:rPr>
      </w:pPr>
      <w:r w:rsidRPr="000F43B5">
        <w:rPr>
          <w:sz w:val="26"/>
          <w:szCs w:val="26"/>
        </w:rPr>
        <w:t xml:space="preserve">Ņemot vērā minēto, ja valsts uzliks pienākumu komerciālajos maršrutos pārvadāt pasažierus ar valsts noteiktajiem braukšanas maksas atvieglojumiem, attiecīgi piešķirot par to kompensāciju, </w:t>
      </w:r>
      <w:r w:rsidRPr="006830F1">
        <w:rPr>
          <w:sz w:val="26"/>
          <w:szCs w:val="26"/>
        </w:rPr>
        <w:t>komerciālā maršruta statuss tiek saglabāts</w:t>
      </w:r>
      <w:r w:rsidRPr="000F43B5">
        <w:rPr>
          <w:sz w:val="26"/>
          <w:szCs w:val="26"/>
        </w:rPr>
        <w:t>, jo komerciālo maršrutu Autotransporta direkcija veido atbilstoši STP Likumā ietvertajiem principiem, bet šādi maršruti, būdami komerciālie maršruti,  faktiski neatbildīs STP Likuma 1.panta 2.</w:t>
      </w:r>
      <w:r w:rsidRPr="000F43B5">
        <w:rPr>
          <w:sz w:val="26"/>
          <w:szCs w:val="26"/>
          <w:vertAlign w:val="superscript"/>
        </w:rPr>
        <w:t xml:space="preserve">1 </w:t>
      </w:r>
      <w:r w:rsidRPr="000F43B5">
        <w:rPr>
          <w:sz w:val="26"/>
          <w:szCs w:val="26"/>
        </w:rPr>
        <w:t xml:space="preserve">punktā esošai komerciālo maršrutu definīcijai un būs nepieciešams veikt grozījumus arī STP Likumā ietvertajā definīcijā. </w:t>
      </w:r>
    </w:p>
    <w:p w14:paraId="15C2B38D" w14:textId="101C9F5D" w:rsidR="00E3479C" w:rsidRPr="003A1457" w:rsidRDefault="00167D75" w:rsidP="001E79A8">
      <w:pPr>
        <w:ind w:firstLine="709"/>
        <w:jc w:val="both"/>
        <w:rPr>
          <w:sz w:val="26"/>
          <w:szCs w:val="26"/>
        </w:rPr>
      </w:pPr>
      <w:r w:rsidRPr="003A1457">
        <w:rPr>
          <w:sz w:val="26"/>
          <w:szCs w:val="26"/>
        </w:rPr>
        <w:t>K</w:t>
      </w:r>
      <w:r w:rsidR="00AE314E" w:rsidRPr="003A1457">
        <w:rPr>
          <w:sz w:val="26"/>
          <w:szCs w:val="26"/>
        </w:rPr>
        <w:t xml:space="preserve">omercpārvadājumu veicināšanai un vienlaikus dotējamā maršrutu tīkla samazināšanai </w:t>
      </w:r>
      <w:r w:rsidR="001012E1" w:rsidRPr="003A1457">
        <w:rPr>
          <w:sz w:val="26"/>
          <w:szCs w:val="26"/>
        </w:rPr>
        <w:t xml:space="preserve">vērtējami </w:t>
      </w:r>
      <w:r w:rsidR="0053624D">
        <w:rPr>
          <w:sz w:val="26"/>
          <w:szCs w:val="26"/>
        </w:rPr>
        <w:t xml:space="preserve">šādi </w:t>
      </w:r>
      <w:r w:rsidR="001012E1" w:rsidRPr="003A1457">
        <w:rPr>
          <w:sz w:val="26"/>
          <w:szCs w:val="26"/>
        </w:rPr>
        <w:t>valsts budžeta izdevumu</w:t>
      </w:r>
      <w:r w:rsidR="0053624D">
        <w:rPr>
          <w:sz w:val="26"/>
          <w:szCs w:val="26"/>
        </w:rPr>
        <w:t>s</w:t>
      </w:r>
      <w:r w:rsidR="001012E1" w:rsidRPr="003A1457">
        <w:rPr>
          <w:sz w:val="26"/>
          <w:szCs w:val="26"/>
        </w:rPr>
        <w:t xml:space="preserve"> mazinošie pasākumi, kur, paredzot noteiktus pasākumus</w:t>
      </w:r>
      <w:r w:rsidR="00875A13" w:rsidRPr="003A1457">
        <w:rPr>
          <w:sz w:val="26"/>
          <w:szCs w:val="26"/>
        </w:rPr>
        <w:t>,</w:t>
      </w:r>
      <w:r w:rsidR="001012E1" w:rsidRPr="003A1457">
        <w:rPr>
          <w:sz w:val="26"/>
          <w:szCs w:val="26"/>
        </w:rPr>
        <w:t xml:space="preserve"> ir iespējams rast ekonomiju pilna kalendāra </w:t>
      </w:r>
      <w:r w:rsidR="00875A13" w:rsidRPr="003A1457">
        <w:rPr>
          <w:sz w:val="26"/>
          <w:szCs w:val="26"/>
        </w:rPr>
        <w:t xml:space="preserve">gada </w:t>
      </w:r>
      <w:r w:rsidR="001012E1" w:rsidRPr="003A1457">
        <w:rPr>
          <w:sz w:val="26"/>
          <w:szCs w:val="26"/>
        </w:rPr>
        <w:t>ietvarā vismaz 1,33 milj. EUR apmērā, ja:</w:t>
      </w:r>
    </w:p>
    <w:p w14:paraId="34A433BF" w14:textId="51A518B1" w:rsidR="001012E1" w:rsidRPr="003A1457" w:rsidRDefault="001012E1" w:rsidP="001012E1">
      <w:pPr>
        <w:pStyle w:val="ListParagraph"/>
        <w:numPr>
          <w:ilvl w:val="0"/>
          <w:numId w:val="36"/>
        </w:numPr>
        <w:jc w:val="both"/>
        <w:rPr>
          <w:sz w:val="26"/>
          <w:szCs w:val="26"/>
        </w:rPr>
      </w:pPr>
      <w:r w:rsidRPr="003A1457">
        <w:rPr>
          <w:sz w:val="26"/>
          <w:szCs w:val="26"/>
        </w:rPr>
        <w:t>nosak</w:t>
      </w:r>
      <w:r w:rsidR="00E70AF9" w:rsidRPr="003A1457">
        <w:rPr>
          <w:sz w:val="26"/>
          <w:szCs w:val="26"/>
        </w:rPr>
        <w:t>a</w:t>
      </w:r>
      <w:r w:rsidRPr="003A1457">
        <w:rPr>
          <w:sz w:val="26"/>
          <w:szCs w:val="26"/>
        </w:rPr>
        <w:t xml:space="preserve"> izmaiņas </w:t>
      </w:r>
      <w:r w:rsidR="00167D75" w:rsidRPr="003A1457">
        <w:rPr>
          <w:sz w:val="26"/>
          <w:szCs w:val="26"/>
        </w:rPr>
        <w:t xml:space="preserve">komerciālo </w:t>
      </w:r>
      <w:r w:rsidR="00E9069B" w:rsidRPr="003A1457">
        <w:rPr>
          <w:sz w:val="26"/>
          <w:szCs w:val="26"/>
        </w:rPr>
        <w:t xml:space="preserve">maršrutu apkalpošanā, paredzot </w:t>
      </w:r>
      <w:r w:rsidR="00167D75" w:rsidRPr="003A1457">
        <w:rPr>
          <w:sz w:val="26"/>
          <w:szCs w:val="26"/>
        </w:rPr>
        <w:t>personu ar braukšanas maksas atvieglojumiem pārvadājumu kompensēšanas iespēju</w:t>
      </w:r>
      <w:r w:rsidRPr="003A1457">
        <w:rPr>
          <w:sz w:val="26"/>
          <w:szCs w:val="26"/>
        </w:rPr>
        <w:t xml:space="preserve"> un </w:t>
      </w:r>
      <w:r w:rsidR="00E9069B" w:rsidRPr="003A1457">
        <w:rPr>
          <w:sz w:val="26"/>
          <w:szCs w:val="26"/>
        </w:rPr>
        <w:t>nosakot</w:t>
      </w:r>
      <w:r w:rsidRPr="003A1457">
        <w:rPr>
          <w:sz w:val="26"/>
          <w:szCs w:val="26"/>
        </w:rPr>
        <w:t xml:space="preserve"> kompensācijas apmēru par </w:t>
      </w:r>
      <w:r w:rsidR="00875A13" w:rsidRPr="003A1457">
        <w:rPr>
          <w:sz w:val="26"/>
          <w:szCs w:val="26"/>
        </w:rPr>
        <w:t xml:space="preserve">visiem </w:t>
      </w:r>
      <w:r w:rsidRPr="003A1457">
        <w:rPr>
          <w:sz w:val="26"/>
          <w:szCs w:val="26"/>
        </w:rPr>
        <w:t>valsts noteiktajiem braukšanas maksas atvieglojumiem</w:t>
      </w:r>
      <w:r w:rsidR="00E9069B" w:rsidRPr="003A1457">
        <w:rPr>
          <w:sz w:val="26"/>
          <w:szCs w:val="26"/>
        </w:rPr>
        <w:t>. Minētajā gadījumā no valsts budžeta potenciālā</w:t>
      </w:r>
      <w:r w:rsidRPr="003A1457">
        <w:rPr>
          <w:sz w:val="26"/>
          <w:szCs w:val="26"/>
        </w:rPr>
        <w:t>, iespējamā kompensācija pieaugtu par vismaz 0,</w:t>
      </w:r>
      <w:r w:rsidR="00754FE7">
        <w:rPr>
          <w:sz w:val="26"/>
          <w:szCs w:val="26"/>
        </w:rPr>
        <w:t>38</w:t>
      </w:r>
      <w:r w:rsidR="00754FE7" w:rsidRPr="003A1457">
        <w:rPr>
          <w:sz w:val="26"/>
          <w:szCs w:val="26"/>
        </w:rPr>
        <w:t xml:space="preserve"> </w:t>
      </w:r>
      <w:r w:rsidRPr="003A1457">
        <w:rPr>
          <w:sz w:val="26"/>
          <w:szCs w:val="26"/>
        </w:rPr>
        <w:t>milj. EUR</w:t>
      </w:r>
      <w:r w:rsidR="00754FE7">
        <w:rPr>
          <w:sz w:val="26"/>
          <w:szCs w:val="26"/>
        </w:rPr>
        <w:t>. Paredzot šādu regulējumu</w:t>
      </w:r>
      <w:r w:rsidR="00C66CA3">
        <w:rPr>
          <w:sz w:val="26"/>
          <w:szCs w:val="26"/>
        </w:rPr>
        <w:t>,</w:t>
      </w:r>
      <w:r w:rsidR="00754FE7">
        <w:rPr>
          <w:sz w:val="26"/>
          <w:szCs w:val="26"/>
        </w:rPr>
        <w:t xml:space="preserve"> ar normatīvo aktu izmaiņām būtu vērtējami nosacījumi, pie kādiem ir </w:t>
      </w:r>
      <w:r w:rsidR="004D284E">
        <w:rPr>
          <w:sz w:val="26"/>
          <w:szCs w:val="26"/>
        </w:rPr>
        <w:t xml:space="preserve">izmantojami un </w:t>
      </w:r>
      <w:r w:rsidR="00754FE7">
        <w:rPr>
          <w:sz w:val="26"/>
          <w:szCs w:val="26"/>
        </w:rPr>
        <w:t>kompensējami valsts noteiktie braukšanas maksas atvieglojumi, piemēram, ierobežots p</w:t>
      </w:r>
      <w:r w:rsidR="00C66CA3">
        <w:rPr>
          <w:sz w:val="26"/>
          <w:szCs w:val="26"/>
        </w:rPr>
        <w:t xml:space="preserve">asažieru </w:t>
      </w:r>
      <w:r w:rsidR="00754FE7">
        <w:rPr>
          <w:sz w:val="26"/>
          <w:szCs w:val="26"/>
        </w:rPr>
        <w:t>kategoriju skaits</w:t>
      </w:r>
      <w:r w:rsidR="004D284E">
        <w:rPr>
          <w:sz w:val="26"/>
          <w:szCs w:val="26"/>
        </w:rPr>
        <w:t xml:space="preserve">, kas var izmantot komerciālus maršrutus ar braukšanas maksas atvieglojumiem, </w:t>
      </w:r>
      <w:r w:rsidR="00754FE7">
        <w:rPr>
          <w:sz w:val="26"/>
          <w:szCs w:val="26"/>
        </w:rPr>
        <w:t xml:space="preserve"> </w:t>
      </w:r>
      <w:r w:rsidR="004D284E">
        <w:rPr>
          <w:sz w:val="26"/>
          <w:szCs w:val="26"/>
        </w:rPr>
        <w:t>un/</w:t>
      </w:r>
      <w:r w:rsidR="00754FE7">
        <w:rPr>
          <w:sz w:val="26"/>
          <w:szCs w:val="26"/>
        </w:rPr>
        <w:t xml:space="preserve">vai arī </w:t>
      </w:r>
      <w:r w:rsidR="004D284E">
        <w:rPr>
          <w:sz w:val="26"/>
          <w:szCs w:val="26"/>
        </w:rPr>
        <w:t xml:space="preserve">paredzēt izmaksājamās kompensācijas maksimālo robežu, piemēram nosakot, ka </w:t>
      </w:r>
      <w:r w:rsidR="00754FE7">
        <w:rPr>
          <w:sz w:val="26"/>
          <w:szCs w:val="26"/>
        </w:rPr>
        <w:t>kompensācija t</w:t>
      </w:r>
      <w:r w:rsidR="004D284E">
        <w:rPr>
          <w:sz w:val="26"/>
          <w:szCs w:val="26"/>
        </w:rPr>
        <w:t>iek</w:t>
      </w:r>
      <w:r w:rsidR="00754FE7">
        <w:rPr>
          <w:sz w:val="26"/>
          <w:szCs w:val="26"/>
        </w:rPr>
        <w:t xml:space="preserve"> noteikta atbilstoši reģionālās nozīmes pārvadājumos noteiktaja</w:t>
      </w:r>
      <w:r w:rsidR="00C66CA3">
        <w:rPr>
          <w:sz w:val="26"/>
          <w:szCs w:val="26"/>
        </w:rPr>
        <w:t>i</w:t>
      </w:r>
      <w:r w:rsidR="00754FE7">
        <w:rPr>
          <w:sz w:val="26"/>
          <w:szCs w:val="26"/>
        </w:rPr>
        <w:t xml:space="preserve"> vidējai braukšanas maksai (tarifam)</w:t>
      </w:r>
      <w:r w:rsidRPr="003A1457">
        <w:rPr>
          <w:sz w:val="26"/>
          <w:szCs w:val="26"/>
        </w:rPr>
        <w:t>;</w:t>
      </w:r>
    </w:p>
    <w:bookmarkEnd w:id="6"/>
    <w:p w14:paraId="13EECFCD" w14:textId="45B11584" w:rsidR="001012E1" w:rsidRPr="003A1457" w:rsidRDefault="001012E1" w:rsidP="001012E1">
      <w:pPr>
        <w:pStyle w:val="ListParagraph"/>
        <w:numPr>
          <w:ilvl w:val="0"/>
          <w:numId w:val="36"/>
        </w:numPr>
        <w:jc w:val="both"/>
        <w:rPr>
          <w:sz w:val="26"/>
          <w:szCs w:val="26"/>
        </w:rPr>
      </w:pPr>
      <w:r w:rsidRPr="003A1457">
        <w:rPr>
          <w:sz w:val="26"/>
          <w:szCs w:val="26"/>
        </w:rPr>
        <w:t>vienlaikus komercpārvadājumos nododamais nobraukuma apjoms sasniegtu vismaz 2,4 milj. kilometru</w:t>
      </w:r>
      <w:r w:rsidR="00C57BE4">
        <w:rPr>
          <w:rStyle w:val="FootnoteReference"/>
          <w:sz w:val="26"/>
          <w:szCs w:val="26"/>
        </w:rPr>
        <w:footnoteReference w:id="23"/>
      </w:r>
      <w:r w:rsidR="00970842" w:rsidRPr="003A1457">
        <w:rPr>
          <w:sz w:val="26"/>
          <w:szCs w:val="26"/>
        </w:rPr>
        <w:t xml:space="preserve"> gadā</w:t>
      </w:r>
      <w:r w:rsidRPr="003A1457">
        <w:rPr>
          <w:sz w:val="26"/>
          <w:szCs w:val="26"/>
        </w:rPr>
        <w:t>,</w:t>
      </w:r>
      <w:r w:rsidR="00E9069B" w:rsidRPr="003A1457">
        <w:rPr>
          <w:sz w:val="26"/>
          <w:szCs w:val="26"/>
        </w:rPr>
        <w:t xml:space="preserve"> par </w:t>
      </w:r>
      <w:r w:rsidR="00875A13" w:rsidRPr="003A1457">
        <w:rPr>
          <w:sz w:val="26"/>
          <w:szCs w:val="26"/>
        </w:rPr>
        <w:t xml:space="preserve">kura </w:t>
      </w:r>
      <w:r w:rsidR="00E9069B" w:rsidRPr="003A1457">
        <w:rPr>
          <w:sz w:val="26"/>
          <w:szCs w:val="26"/>
        </w:rPr>
        <w:t>daļu tiktu samazināts valsts dotētais reģionālās nozīmes maršrutu tīkls,</w:t>
      </w:r>
      <w:r w:rsidRPr="003A1457">
        <w:rPr>
          <w:sz w:val="26"/>
          <w:szCs w:val="26"/>
        </w:rPr>
        <w:t xml:space="preserve"> kas </w:t>
      </w:r>
      <w:r w:rsidR="00875A13" w:rsidRPr="003A1457">
        <w:rPr>
          <w:sz w:val="26"/>
          <w:szCs w:val="26"/>
        </w:rPr>
        <w:t xml:space="preserve">samazinātu </w:t>
      </w:r>
      <w:r w:rsidR="006108CA" w:rsidRPr="003A1457">
        <w:rPr>
          <w:sz w:val="26"/>
          <w:szCs w:val="26"/>
        </w:rPr>
        <w:t xml:space="preserve">no valsts budžeta </w:t>
      </w:r>
      <w:r w:rsidRPr="003A1457">
        <w:rPr>
          <w:sz w:val="26"/>
          <w:szCs w:val="26"/>
        </w:rPr>
        <w:t xml:space="preserve">kompensējamo zaudējumu apmēru </w:t>
      </w:r>
      <w:r w:rsidR="006108CA" w:rsidRPr="003A1457">
        <w:rPr>
          <w:sz w:val="26"/>
          <w:szCs w:val="26"/>
        </w:rPr>
        <w:t>līdz pat 1,</w:t>
      </w:r>
      <w:r w:rsidR="00754FE7">
        <w:rPr>
          <w:sz w:val="26"/>
          <w:szCs w:val="26"/>
        </w:rPr>
        <w:t>713</w:t>
      </w:r>
      <w:r w:rsidR="00754FE7" w:rsidRPr="003A1457">
        <w:rPr>
          <w:sz w:val="26"/>
          <w:szCs w:val="26"/>
        </w:rPr>
        <w:t xml:space="preserve"> </w:t>
      </w:r>
      <w:r w:rsidR="006108CA" w:rsidRPr="003A1457">
        <w:rPr>
          <w:sz w:val="26"/>
          <w:szCs w:val="26"/>
        </w:rPr>
        <w:t xml:space="preserve">milj. EUR. </w:t>
      </w:r>
    </w:p>
    <w:p w14:paraId="03CE60C5" w14:textId="2CB16BEB" w:rsidR="006108CA" w:rsidRDefault="006108CA" w:rsidP="006108CA">
      <w:pPr>
        <w:jc w:val="both"/>
        <w:rPr>
          <w:sz w:val="26"/>
          <w:szCs w:val="26"/>
        </w:rPr>
      </w:pPr>
    </w:p>
    <w:p w14:paraId="2D85F0F6" w14:textId="77777777" w:rsidR="009B4396" w:rsidRPr="003A1457" w:rsidRDefault="009B4396" w:rsidP="006108CA">
      <w:pPr>
        <w:jc w:val="both"/>
        <w:rPr>
          <w:sz w:val="26"/>
          <w:szCs w:val="26"/>
        </w:rPr>
      </w:pPr>
    </w:p>
    <w:p w14:paraId="1E950445" w14:textId="5911FB94" w:rsidR="006108CA" w:rsidRPr="003A1457" w:rsidRDefault="00E9069B" w:rsidP="00E9069B">
      <w:pPr>
        <w:ind w:firstLine="709"/>
        <w:jc w:val="both"/>
        <w:rPr>
          <w:b/>
          <w:bCs/>
          <w:sz w:val="26"/>
          <w:szCs w:val="26"/>
        </w:rPr>
      </w:pPr>
      <w:r w:rsidRPr="003A1457">
        <w:rPr>
          <w:b/>
          <w:bCs/>
          <w:sz w:val="26"/>
          <w:szCs w:val="26"/>
        </w:rPr>
        <w:t xml:space="preserve">2.3.2. </w:t>
      </w:r>
      <w:r w:rsidR="006108CA" w:rsidRPr="003A1457">
        <w:rPr>
          <w:b/>
          <w:bCs/>
          <w:sz w:val="26"/>
          <w:szCs w:val="26"/>
        </w:rPr>
        <w:t>Autoostas.</w:t>
      </w:r>
    </w:p>
    <w:p w14:paraId="396282ED" w14:textId="5C34EA1E" w:rsidR="006108CA" w:rsidRPr="003A1457" w:rsidRDefault="006108CA" w:rsidP="00F13789">
      <w:pPr>
        <w:ind w:firstLine="720"/>
        <w:jc w:val="both"/>
        <w:rPr>
          <w:sz w:val="26"/>
          <w:szCs w:val="26"/>
        </w:rPr>
      </w:pPr>
      <w:r w:rsidRPr="003A1457">
        <w:rPr>
          <w:sz w:val="26"/>
          <w:szCs w:val="26"/>
        </w:rPr>
        <w:t>Maršrutu apkalpošanas vietu, t</w:t>
      </w:r>
      <w:r w:rsidR="00E70AF9" w:rsidRPr="003A1457">
        <w:rPr>
          <w:sz w:val="26"/>
          <w:szCs w:val="26"/>
        </w:rPr>
        <w:t xml:space="preserve">as ir, </w:t>
      </w:r>
      <w:r w:rsidRPr="003A1457">
        <w:rPr>
          <w:sz w:val="26"/>
          <w:szCs w:val="26"/>
        </w:rPr>
        <w:t>autoostu</w:t>
      </w:r>
      <w:r w:rsidR="00E70AF9" w:rsidRPr="003A1457">
        <w:rPr>
          <w:sz w:val="26"/>
          <w:szCs w:val="26"/>
        </w:rPr>
        <w:t>,</w:t>
      </w:r>
      <w:r w:rsidRPr="003A1457">
        <w:rPr>
          <w:sz w:val="26"/>
          <w:szCs w:val="26"/>
        </w:rPr>
        <w:t xml:space="preserve"> izmantošanas un </w:t>
      </w:r>
      <w:r w:rsidR="00E9069B" w:rsidRPr="003A1457">
        <w:rPr>
          <w:sz w:val="26"/>
          <w:szCs w:val="26"/>
        </w:rPr>
        <w:t xml:space="preserve">par </w:t>
      </w:r>
      <w:r w:rsidRPr="003A1457">
        <w:rPr>
          <w:sz w:val="26"/>
          <w:szCs w:val="26"/>
        </w:rPr>
        <w:t>to sniegt</w:t>
      </w:r>
      <w:r w:rsidR="00E9069B" w:rsidRPr="003A1457">
        <w:rPr>
          <w:sz w:val="26"/>
          <w:szCs w:val="26"/>
        </w:rPr>
        <w:t>ajiem</w:t>
      </w:r>
      <w:r w:rsidRPr="003A1457">
        <w:rPr>
          <w:sz w:val="26"/>
          <w:szCs w:val="26"/>
        </w:rPr>
        <w:t xml:space="preserve"> pakalpojumi</w:t>
      </w:r>
      <w:r w:rsidR="00E9069B" w:rsidRPr="003A1457">
        <w:rPr>
          <w:sz w:val="26"/>
          <w:szCs w:val="26"/>
        </w:rPr>
        <w:t>em</w:t>
      </w:r>
      <w:r w:rsidRPr="003A1457">
        <w:rPr>
          <w:sz w:val="26"/>
          <w:szCs w:val="26"/>
        </w:rPr>
        <w:t xml:space="preserve"> </w:t>
      </w:r>
      <w:r w:rsidR="00E9069B" w:rsidRPr="003A1457">
        <w:rPr>
          <w:sz w:val="26"/>
          <w:szCs w:val="26"/>
        </w:rPr>
        <w:t>kopējie izdevumi</w:t>
      </w:r>
      <w:r w:rsidRPr="003A1457">
        <w:rPr>
          <w:sz w:val="26"/>
          <w:szCs w:val="26"/>
        </w:rPr>
        <w:t xml:space="preserve"> 2023.gadā veido vismaz 6,4 milj. EUR. Esošais autoostu dalījums kategorijās </w:t>
      </w:r>
      <w:r w:rsidR="00E9069B" w:rsidRPr="003A1457">
        <w:rPr>
          <w:sz w:val="26"/>
          <w:szCs w:val="26"/>
        </w:rPr>
        <w:t xml:space="preserve">un tajās obligāti sniedzamo pakalpojumu klāsts </w:t>
      </w:r>
      <w:r w:rsidR="00B87419" w:rsidRPr="003A1457">
        <w:rPr>
          <w:sz w:val="26"/>
          <w:szCs w:val="26"/>
        </w:rPr>
        <w:t xml:space="preserve">atbilstoši Ministru kabineta 2019.gada 29.oktobra noteikumiem Nr.502 “Autoostu noteikumi” </w:t>
      </w:r>
      <w:r w:rsidRPr="003A1457">
        <w:rPr>
          <w:sz w:val="26"/>
          <w:szCs w:val="26"/>
        </w:rPr>
        <w:t xml:space="preserve">ir </w:t>
      </w:r>
      <w:r w:rsidR="00B87419" w:rsidRPr="003A1457">
        <w:rPr>
          <w:sz w:val="26"/>
          <w:szCs w:val="26"/>
        </w:rPr>
        <w:t xml:space="preserve">radījis priekšstatu par autoostas izmantošanas nepieciešamību un sniegto pakalpojumu </w:t>
      </w:r>
      <w:r w:rsidR="00875A13" w:rsidRPr="003A1457">
        <w:rPr>
          <w:sz w:val="26"/>
          <w:szCs w:val="26"/>
        </w:rPr>
        <w:lastRenderedPageBreak/>
        <w:t xml:space="preserve">nodrošināšanas nepieciešamību </w:t>
      </w:r>
      <w:r w:rsidR="00B87419" w:rsidRPr="003A1457">
        <w:rPr>
          <w:sz w:val="26"/>
          <w:szCs w:val="26"/>
        </w:rPr>
        <w:t>sabiedriskā transporta pakalpojumu sniedzējiem un pasažieriem.</w:t>
      </w:r>
    </w:p>
    <w:p w14:paraId="3884E6AF" w14:textId="7E80DC9E" w:rsidR="00B87419" w:rsidRPr="003A1457" w:rsidRDefault="00B87419" w:rsidP="006108CA">
      <w:pPr>
        <w:jc w:val="both"/>
        <w:rPr>
          <w:sz w:val="26"/>
          <w:szCs w:val="26"/>
        </w:rPr>
      </w:pPr>
    </w:p>
    <w:p w14:paraId="309CA152" w14:textId="49FEDB41" w:rsidR="00E9069B" w:rsidRPr="003A1457" w:rsidRDefault="00E9069B" w:rsidP="00E9069B">
      <w:pPr>
        <w:jc w:val="right"/>
      </w:pPr>
      <w:r w:rsidRPr="003A1457">
        <w:t>Tabula</w:t>
      </w:r>
      <w:r w:rsidR="003A1457" w:rsidRPr="003A1457">
        <w:t xml:space="preserve"> Nr.1</w:t>
      </w:r>
      <w:r w:rsidR="005E495A">
        <w:t>1</w:t>
      </w:r>
    </w:p>
    <w:p w14:paraId="60CD4C4C" w14:textId="77777777" w:rsidR="00E9069B" w:rsidRPr="003A1457" w:rsidRDefault="00E9069B" w:rsidP="00E9069B">
      <w:pPr>
        <w:jc w:val="right"/>
      </w:pPr>
      <w:r w:rsidRPr="003A1457">
        <w:t xml:space="preserve">Autoostu skaits un izdevumi atbilstoši </w:t>
      </w:r>
    </w:p>
    <w:p w14:paraId="416E5309" w14:textId="5520A7AC" w:rsidR="00E9069B" w:rsidRPr="003A1457" w:rsidRDefault="00E9069B" w:rsidP="00E9069B">
      <w:pPr>
        <w:jc w:val="right"/>
      </w:pPr>
      <w:r w:rsidRPr="003A1457">
        <w:t>kategorijai un pakalpojumu klāstam</w:t>
      </w:r>
    </w:p>
    <w:p w14:paraId="18703345" w14:textId="77777777" w:rsidR="00E9069B" w:rsidRPr="003A1457" w:rsidRDefault="00E9069B" w:rsidP="006108CA">
      <w:pPr>
        <w:jc w:val="both"/>
        <w:rPr>
          <w:sz w:val="26"/>
          <w:szCs w:val="26"/>
        </w:rPr>
      </w:pPr>
    </w:p>
    <w:tbl>
      <w:tblPr>
        <w:tblW w:w="8926" w:type="dxa"/>
        <w:tblLook w:val="04A0" w:firstRow="1" w:lastRow="0" w:firstColumn="1" w:lastColumn="0" w:noHBand="0" w:noVBand="1"/>
      </w:tblPr>
      <w:tblGrid>
        <w:gridCol w:w="704"/>
        <w:gridCol w:w="1985"/>
        <w:gridCol w:w="4110"/>
        <w:gridCol w:w="1023"/>
        <w:gridCol w:w="1134"/>
      </w:tblGrid>
      <w:tr w:rsidR="003A1457" w:rsidRPr="003A1457" w14:paraId="718A0AC0" w14:textId="77777777" w:rsidTr="00B87419">
        <w:trPr>
          <w:cantSplit/>
          <w:trHeight w:val="1134"/>
        </w:trPr>
        <w:tc>
          <w:tcPr>
            <w:tcW w:w="704"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98A5EF8" w14:textId="4932DC76" w:rsidR="00B87419" w:rsidRPr="003A1457" w:rsidRDefault="00B87419" w:rsidP="00B87419">
            <w:pPr>
              <w:ind w:left="113" w:right="113"/>
              <w:jc w:val="center"/>
              <w:rPr>
                <w:sz w:val="22"/>
                <w:szCs w:val="22"/>
              </w:rPr>
            </w:pP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7C6A43EE" w14:textId="77777777" w:rsidR="00B87419" w:rsidRPr="003A1457" w:rsidRDefault="00B87419" w:rsidP="00B87419">
            <w:pPr>
              <w:jc w:val="center"/>
              <w:rPr>
                <w:sz w:val="22"/>
                <w:szCs w:val="22"/>
              </w:rPr>
            </w:pPr>
            <w:r w:rsidRPr="003A1457">
              <w:rPr>
                <w:sz w:val="22"/>
                <w:szCs w:val="22"/>
              </w:rPr>
              <w:t>Kritērijs</w:t>
            </w:r>
          </w:p>
        </w:tc>
        <w:tc>
          <w:tcPr>
            <w:tcW w:w="4110" w:type="dxa"/>
            <w:tcBorders>
              <w:top w:val="single" w:sz="4" w:space="0" w:color="auto"/>
              <w:left w:val="nil"/>
              <w:bottom w:val="single" w:sz="4" w:space="0" w:color="auto"/>
              <w:right w:val="single" w:sz="4" w:space="0" w:color="auto"/>
            </w:tcBorders>
            <w:shd w:val="clear" w:color="auto" w:fill="auto"/>
            <w:noWrap/>
            <w:vAlign w:val="center"/>
            <w:hideMark/>
          </w:tcPr>
          <w:p w14:paraId="13BCFA9F" w14:textId="77777777" w:rsidR="00B87419" w:rsidRPr="003A1457" w:rsidRDefault="00B87419" w:rsidP="00B87419">
            <w:pPr>
              <w:jc w:val="center"/>
              <w:rPr>
                <w:sz w:val="22"/>
                <w:szCs w:val="22"/>
              </w:rPr>
            </w:pPr>
            <w:r w:rsidRPr="003A1457">
              <w:rPr>
                <w:sz w:val="22"/>
                <w:szCs w:val="22"/>
              </w:rPr>
              <w:t>Obligāti sniedzamie pakalpojumi</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53E774A9" w14:textId="77777777" w:rsidR="00B87419" w:rsidRPr="003A1457" w:rsidRDefault="00B87419" w:rsidP="00B87419">
            <w:pPr>
              <w:jc w:val="center"/>
              <w:rPr>
                <w:sz w:val="22"/>
                <w:szCs w:val="22"/>
              </w:rPr>
            </w:pPr>
            <w:r w:rsidRPr="003A1457">
              <w:rPr>
                <w:sz w:val="22"/>
                <w:szCs w:val="22"/>
              </w:rPr>
              <w:t>Autoostu skaits</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71735B7F" w14:textId="066A489D" w:rsidR="00B87419" w:rsidRPr="003A1457" w:rsidRDefault="00B87419" w:rsidP="00B87419">
            <w:pPr>
              <w:jc w:val="center"/>
              <w:rPr>
                <w:sz w:val="22"/>
                <w:szCs w:val="22"/>
              </w:rPr>
            </w:pPr>
            <w:r w:rsidRPr="003A1457">
              <w:rPr>
                <w:sz w:val="22"/>
                <w:szCs w:val="22"/>
              </w:rPr>
              <w:t>2023.gada izmaksas gadā</w:t>
            </w:r>
          </w:p>
        </w:tc>
      </w:tr>
      <w:tr w:rsidR="003A1457" w:rsidRPr="003A1457" w14:paraId="72E20011" w14:textId="77777777" w:rsidTr="00B87419">
        <w:trPr>
          <w:trHeight w:val="300"/>
        </w:trPr>
        <w:tc>
          <w:tcPr>
            <w:tcW w:w="704"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14:paraId="57CB4C14" w14:textId="77777777" w:rsidR="00B87419" w:rsidRPr="003A1457" w:rsidRDefault="00B87419" w:rsidP="00B87419">
            <w:pPr>
              <w:ind w:left="113" w:right="113"/>
              <w:jc w:val="center"/>
              <w:rPr>
                <w:sz w:val="22"/>
                <w:szCs w:val="22"/>
              </w:rPr>
            </w:pPr>
            <w:r w:rsidRPr="003A1457">
              <w:rPr>
                <w:sz w:val="22"/>
                <w:szCs w:val="22"/>
              </w:rPr>
              <w:t>I kategorija</w:t>
            </w:r>
          </w:p>
        </w:tc>
        <w:tc>
          <w:tcPr>
            <w:tcW w:w="1985" w:type="dxa"/>
            <w:vMerge w:val="restart"/>
            <w:tcBorders>
              <w:top w:val="nil"/>
              <w:left w:val="single" w:sz="4" w:space="0" w:color="auto"/>
              <w:bottom w:val="single" w:sz="4" w:space="0" w:color="000000"/>
              <w:right w:val="single" w:sz="4" w:space="0" w:color="auto"/>
            </w:tcBorders>
            <w:shd w:val="clear" w:color="auto" w:fill="auto"/>
            <w:vAlign w:val="center"/>
            <w:hideMark/>
          </w:tcPr>
          <w:p w14:paraId="2D327D80" w14:textId="77777777" w:rsidR="00B87419" w:rsidRPr="003A1457" w:rsidRDefault="00B87419" w:rsidP="00B87419">
            <w:pPr>
              <w:jc w:val="center"/>
              <w:rPr>
                <w:sz w:val="22"/>
                <w:szCs w:val="22"/>
              </w:rPr>
            </w:pPr>
            <w:r w:rsidRPr="003A1457">
              <w:rPr>
                <w:sz w:val="22"/>
                <w:szCs w:val="22"/>
              </w:rPr>
              <w:t>autoosta, kas atrodas valsts galvaspilsētā, un citas autoostas, kas apkalpo vairāk nekā 50 000 reisu un vairāk nekā 90 000 pasažieru</w:t>
            </w:r>
          </w:p>
        </w:tc>
        <w:tc>
          <w:tcPr>
            <w:tcW w:w="4110" w:type="dxa"/>
            <w:tcBorders>
              <w:top w:val="nil"/>
              <w:left w:val="nil"/>
              <w:bottom w:val="single" w:sz="4" w:space="0" w:color="auto"/>
              <w:right w:val="single" w:sz="4" w:space="0" w:color="auto"/>
            </w:tcBorders>
            <w:shd w:val="clear" w:color="auto" w:fill="auto"/>
            <w:noWrap/>
            <w:vAlign w:val="center"/>
            <w:hideMark/>
          </w:tcPr>
          <w:p w14:paraId="05055000" w14:textId="77777777" w:rsidR="00B87419" w:rsidRPr="003A1457" w:rsidRDefault="00B87419" w:rsidP="00B87419">
            <w:pPr>
              <w:jc w:val="center"/>
              <w:rPr>
                <w:sz w:val="22"/>
                <w:szCs w:val="22"/>
              </w:rPr>
            </w:pPr>
            <w:r w:rsidRPr="003A1457">
              <w:rPr>
                <w:sz w:val="22"/>
                <w:szCs w:val="22"/>
              </w:rPr>
              <w:t>Platformu izmantošana un informācijas sniegšana</w:t>
            </w:r>
          </w:p>
        </w:tc>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7DAC1D4" w14:textId="77777777" w:rsidR="00B87419" w:rsidRPr="003A1457" w:rsidRDefault="00B87419" w:rsidP="00B87419">
            <w:pPr>
              <w:jc w:val="center"/>
              <w:rPr>
                <w:sz w:val="22"/>
                <w:szCs w:val="22"/>
              </w:rPr>
            </w:pPr>
            <w:r w:rsidRPr="003A1457">
              <w:rPr>
                <w:sz w:val="22"/>
                <w:szCs w:val="22"/>
              </w:rPr>
              <w:t>3</w:t>
            </w:r>
          </w:p>
        </w:tc>
        <w:tc>
          <w:tcPr>
            <w:tcW w:w="11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E4AB3D6" w14:textId="5F7E9BA1" w:rsidR="00B87419" w:rsidRPr="003A1457" w:rsidRDefault="00B87419" w:rsidP="00B87419">
            <w:pPr>
              <w:jc w:val="center"/>
              <w:rPr>
                <w:sz w:val="22"/>
                <w:szCs w:val="22"/>
              </w:rPr>
            </w:pPr>
            <w:r w:rsidRPr="003A1457">
              <w:rPr>
                <w:sz w:val="22"/>
                <w:szCs w:val="22"/>
              </w:rPr>
              <w:t>2 912 733</w:t>
            </w:r>
          </w:p>
        </w:tc>
      </w:tr>
      <w:tr w:rsidR="003A1457" w:rsidRPr="003A1457" w14:paraId="543E9356" w14:textId="77777777" w:rsidTr="00B87419">
        <w:trPr>
          <w:trHeight w:val="300"/>
        </w:trPr>
        <w:tc>
          <w:tcPr>
            <w:tcW w:w="704" w:type="dxa"/>
            <w:vMerge/>
            <w:tcBorders>
              <w:top w:val="nil"/>
              <w:left w:val="single" w:sz="4" w:space="0" w:color="auto"/>
              <w:bottom w:val="single" w:sz="4" w:space="0" w:color="auto"/>
              <w:right w:val="single" w:sz="4" w:space="0" w:color="auto"/>
            </w:tcBorders>
            <w:textDirection w:val="btLr"/>
            <w:vAlign w:val="center"/>
            <w:hideMark/>
          </w:tcPr>
          <w:p w14:paraId="63297885" w14:textId="77777777" w:rsidR="00B87419" w:rsidRPr="003A1457" w:rsidRDefault="00B87419" w:rsidP="00B87419">
            <w:pPr>
              <w:ind w:left="113" w:right="113"/>
              <w:jc w:val="center"/>
              <w:rPr>
                <w:sz w:val="22"/>
                <w:szCs w:val="22"/>
              </w:rPr>
            </w:pPr>
          </w:p>
        </w:tc>
        <w:tc>
          <w:tcPr>
            <w:tcW w:w="1985" w:type="dxa"/>
            <w:vMerge/>
            <w:tcBorders>
              <w:top w:val="nil"/>
              <w:left w:val="single" w:sz="4" w:space="0" w:color="auto"/>
              <w:bottom w:val="single" w:sz="4" w:space="0" w:color="000000"/>
              <w:right w:val="single" w:sz="4" w:space="0" w:color="auto"/>
            </w:tcBorders>
            <w:vAlign w:val="center"/>
            <w:hideMark/>
          </w:tcPr>
          <w:p w14:paraId="49017955" w14:textId="77777777" w:rsidR="00B87419" w:rsidRPr="003A1457" w:rsidRDefault="00B87419" w:rsidP="00B87419">
            <w:pPr>
              <w:jc w:val="center"/>
              <w:rPr>
                <w:sz w:val="22"/>
                <w:szCs w:val="22"/>
              </w:rPr>
            </w:pPr>
          </w:p>
        </w:tc>
        <w:tc>
          <w:tcPr>
            <w:tcW w:w="4110" w:type="dxa"/>
            <w:tcBorders>
              <w:top w:val="nil"/>
              <w:left w:val="nil"/>
              <w:bottom w:val="single" w:sz="4" w:space="0" w:color="auto"/>
              <w:right w:val="single" w:sz="4" w:space="0" w:color="auto"/>
            </w:tcBorders>
            <w:shd w:val="clear" w:color="auto" w:fill="auto"/>
            <w:noWrap/>
            <w:vAlign w:val="center"/>
            <w:hideMark/>
          </w:tcPr>
          <w:p w14:paraId="589884C0" w14:textId="77777777" w:rsidR="00B87419" w:rsidRPr="003A1457" w:rsidRDefault="00B87419" w:rsidP="00B87419">
            <w:pPr>
              <w:jc w:val="center"/>
              <w:rPr>
                <w:sz w:val="22"/>
                <w:szCs w:val="22"/>
              </w:rPr>
            </w:pPr>
            <w:r w:rsidRPr="003A1457">
              <w:rPr>
                <w:sz w:val="22"/>
                <w:szCs w:val="22"/>
              </w:rPr>
              <w:t>Autobusu kustības organizēšana</w:t>
            </w:r>
          </w:p>
        </w:tc>
        <w:tc>
          <w:tcPr>
            <w:tcW w:w="993" w:type="dxa"/>
            <w:vMerge/>
            <w:tcBorders>
              <w:top w:val="nil"/>
              <w:left w:val="single" w:sz="4" w:space="0" w:color="auto"/>
              <w:bottom w:val="single" w:sz="4" w:space="0" w:color="auto"/>
              <w:right w:val="single" w:sz="4" w:space="0" w:color="auto"/>
            </w:tcBorders>
            <w:vAlign w:val="center"/>
            <w:hideMark/>
          </w:tcPr>
          <w:p w14:paraId="6E298F8A" w14:textId="77777777" w:rsidR="00B87419" w:rsidRPr="003A1457" w:rsidRDefault="00B87419" w:rsidP="00B87419">
            <w:pPr>
              <w:jc w:val="center"/>
              <w:rPr>
                <w:sz w:val="22"/>
                <w:szCs w:val="22"/>
              </w:rPr>
            </w:pPr>
          </w:p>
        </w:tc>
        <w:tc>
          <w:tcPr>
            <w:tcW w:w="1134" w:type="dxa"/>
            <w:vMerge/>
            <w:tcBorders>
              <w:top w:val="nil"/>
              <w:left w:val="single" w:sz="4" w:space="0" w:color="auto"/>
              <w:bottom w:val="single" w:sz="4" w:space="0" w:color="000000"/>
              <w:right w:val="single" w:sz="4" w:space="0" w:color="auto"/>
            </w:tcBorders>
            <w:vAlign w:val="center"/>
            <w:hideMark/>
          </w:tcPr>
          <w:p w14:paraId="4B74A083" w14:textId="77777777" w:rsidR="00B87419" w:rsidRPr="003A1457" w:rsidRDefault="00B87419" w:rsidP="00B87419">
            <w:pPr>
              <w:jc w:val="center"/>
              <w:rPr>
                <w:sz w:val="22"/>
                <w:szCs w:val="22"/>
              </w:rPr>
            </w:pPr>
          </w:p>
        </w:tc>
      </w:tr>
      <w:tr w:rsidR="003A1457" w:rsidRPr="003A1457" w14:paraId="42EAD582" w14:textId="77777777" w:rsidTr="00B87419">
        <w:trPr>
          <w:trHeight w:val="300"/>
        </w:trPr>
        <w:tc>
          <w:tcPr>
            <w:tcW w:w="704" w:type="dxa"/>
            <w:vMerge/>
            <w:tcBorders>
              <w:top w:val="nil"/>
              <w:left w:val="single" w:sz="4" w:space="0" w:color="auto"/>
              <w:bottom w:val="single" w:sz="4" w:space="0" w:color="auto"/>
              <w:right w:val="single" w:sz="4" w:space="0" w:color="auto"/>
            </w:tcBorders>
            <w:textDirection w:val="btLr"/>
            <w:vAlign w:val="center"/>
            <w:hideMark/>
          </w:tcPr>
          <w:p w14:paraId="7FA72A99" w14:textId="77777777" w:rsidR="00B87419" w:rsidRPr="003A1457" w:rsidRDefault="00B87419" w:rsidP="00B87419">
            <w:pPr>
              <w:ind w:left="113" w:right="113"/>
              <w:jc w:val="center"/>
              <w:rPr>
                <w:sz w:val="22"/>
                <w:szCs w:val="22"/>
              </w:rPr>
            </w:pPr>
          </w:p>
        </w:tc>
        <w:tc>
          <w:tcPr>
            <w:tcW w:w="1985" w:type="dxa"/>
            <w:vMerge/>
            <w:tcBorders>
              <w:top w:val="nil"/>
              <w:left w:val="single" w:sz="4" w:space="0" w:color="auto"/>
              <w:bottom w:val="single" w:sz="4" w:space="0" w:color="000000"/>
              <w:right w:val="single" w:sz="4" w:space="0" w:color="auto"/>
            </w:tcBorders>
            <w:vAlign w:val="center"/>
            <w:hideMark/>
          </w:tcPr>
          <w:p w14:paraId="4B1A200D" w14:textId="77777777" w:rsidR="00B87419" w:rsidRPr="003A1457" w:rsidRDefault="00B87419" w:rsidP="00B87419">
            <w:pPr>
              <w:jc w:val="center"/>
              <w:rPr>
                <w:sz w:val="22"/>
                <w:szCs w:val="22"/>
              </w:rPr>
            </w:pPr>
          </w:p>
        </w:tc>
        <w:tc>
          <w:tcPr>
            <w:tcW w:w="4110" w:type="dxa"/>
            <w:tcBorders>
              <w:top w:val="nil"/>
              <w:left w:val="nil"/>
              <w:bottom w:val="single" w:sz="4" w:space="0" w:color="auto"/>
              <w:right w:val="single" w:sz="4" w:space="0" w:color="auto"/>
            </w:tcBorders>
            <w:shd w:val="clear" w:color="auto" w:fill="auto"/>
            <w:noWrap/>
            <w:vAlign w:val="center"/>
            <w:hideMark/>
          </w:tcPr>
          <w:p w14:paraId="444C5EED" w14:textId="2050904F" w:rsidR="00B87419" w:rsidRPr="003A1457" w:rsidRDefault="00B87419" w:rsidP="00B87419">
            <w:pPr>
              <w:jc w:val="center"/>
              <w:rPr>
                <w:sz w:val="22"/>
                <w:szCs w:val="22"/>
              </w:rPr>
            </w:pPr>
            <w:r w:rsidRPr="003A1457">
              <w:rPr>
                <w:sz w:val="22"/>
                <w:szCs w:val="22"/>
              </w:rPr>
              <w:t>Iespēja iegādāties braukšanas biļeti</w:t>
            </w:r>
          </w:p>
        </w:tc>
        <w:tc>
          <w:tcPr>
            <w:tcW w:w="993" w:type="dxa"/>
            <w:vMerge/>
            <w:tcBorders>
              <w:top w:val="nil"/>
              <w:left w:val="single" w:sz="4" w:space="0" w:color="auto"/>
              <w:bottom w:val="single" w:sz="4" w:space="0" w:color="auto"/>
              <w:right w:val="single" w:sz="4" w:space="0" w:color="auto"/>
            </w:tcBorders>
            <w:vAlign w:val="center"/>
            <w:hideMark/>
          </w:tcPr>
          <w:p w14:paraId="40E27986" w14:textId="77777777" w:rsidR="00B87419" w:rsidRPr="003A1457" w:rsidRDefault="00B87419" w:rsidP="00B87419">
            <w:pPr>
              <w:jc w:val="center"/>
              <w:rPr>
                <w:sz w:val="22"/>
                <w:szCs w:val="22"/>
              </w:rPr>
            </w:pPr>
          </w:p>
        </w:tc>
        <w:tc>
          <w:tcPr>
            <w:tcW w:w="1134" w:type="dxa"/>
            <w:vMerge/>
            <w:tcBorders>
              <w:top w:val="nil"/>
              <w:left w:val="single" w:sz="4" w:space="0" w:color="auto"/>
              <w:bottom w:val="single" w:sz="4" w:space="0" w:color="000000"/>
              <w:right w:val="single" w:sz="4" w:space="0" w:color="auto"/>
            </w:tcBorders>
            <w:vAlign w:val="center"/>
            <w:hideMark/>
          </w:tcPr>
          <w:p w14:paraId="4B5CD1D6" w14:textId="77777777" w:rsidR="00B87419" w:rsidRPr="003A1457" w:rsidRDefault="00B87419" w:rsidP="00B87419">
            <w:pPr>
              <w:jc w:val="center"/>
              <w:rPr>
                <w:sz w:val="22"/>
                <w:szCs w:val="22"/>
              </w:rPr>
            </w:pPr>
          </w:p>
        </w:tc>
      </w:tr>
      <w:tr w:rsidR="003A1457" w:rsidRPr="003A1457" w14:paraId="0FD17878" w14:textId="77777777" w:rsidTr="00B87419">
        <w:trPr>
          <w:trHeight w:val="300"/>
        </w:trPr>
        <w:tc>
          <w:tcPr>
            <w:tcW w:w="704" w:type="dxa"/>
            <w:vMerge/>
            <w:tcBorders>
              <w:top w:val="nil"/>
              <w:left w:val="single" w:sz="4" w:space="0" w:color="auto"/>
              <w:bottom w:val="single" w:sz="4" w:space="0" w:color="auto"/>
              <w:right w:val="single" w:sz="4" w:space="0" w:color="auto"/>
            </w:tcBorders>
            <w:textDirection w:val="btLr"/>
            <w:vAlign w:val="center"/>
            <w:hideMark/>
          </w:tcPr>
          <w:p w14:paraId="460DC31A" w14:textId="77777777" w:rsidR="00B87419" w:rsidRPr="003A1457" w:rsidRDefault="00B87419" w:rsidP="00B87419">
            <w:pPr>
              <w:ind w:left="113" w:right="113"/>
              <w:jc w:val="center"/>
              <w:rPr>
                <w:sz w:val="22"/>
                <w:szCs w:val="22"/>
              </w:rPr>
            </w:pPr>
          </w:p>
        </w:tc>
        <w:tc>
          <w:tcPr>
            <w:tcW w:w="1985" w:type="dxa"/>
            <w:vMerge/>
            <w:tcBorders>
              <w:top w:val="nil"/>
              <w:left w:val="single" w:sz="4" w:space="0" w:color="auto"/>
              <w:bottom w:val="single" w:sz="4" w:space="0" w:color="000000"/>
              <w:right w:val="single" w:sz="4" w:space="0" w:color="auto"/>
            </w:tcBorders>
            <w:vAlign w:val="center"/>
            <w:hideMark/>
          </w:tcPr>
          <w:p w14:paraId="1902A559" w14:textId="77777777" w:rsidR="00B87419" w:rsidRPr="003A1457" w:rsidRDefault="00B87419" w:rsidP="00B87419">
            <w:pPr>
              <w:jc w:val="center"/>
              <w:rPr>
                <w:sz w:val="22"/>
                <w:szCs w:val="22"/>
              </w:rPr>
            </w:pPr>
          </w:p>
        </w:tc>
        <w:tc>
          <w:tcPr>
            <w:tcW w:w="4110" w:type="dxa"/>
            <w:tcBorders>
              <w:top w:val="nil"/>
              <w:left w:val="nil"/>
              <w:bottom w:val="single" w:sz="4" w:space="0" w:color="auto"/>
              <w:right w:val="single" w:sz="4" w:space="0" w:color="auto"/>
            </w:tcBorders>
            <w:shd w:val="clear" w:color="auto" w:fill="auto"/>
            <w:noWrap/>
            <w:vAlign w:val="center"/>
            <w:hideMark/>
          </w:tcPr>
          <w:p w14:paraId="158E0633" w14:textId="77777777" w:rsidR="00B87419" w:rsidRPr="003A1457" w:rsidRDefault="00B87419" w:rsidP="00B87419">
            <w:pPr>
              <w:jc w:val="center"/>
              <w:rPr>
                <w:sz w:val="22"/>
                <w:szCs w:val="22"/>
              </w:rPr>
            </w:pPr>
            <w:r w:rsidRPr="003A1457">
              <w:rPr>
                <w:sz w:val="22"/>
                <w:szCs w:val="22"/>
              </w:rPr>
              <w:t>Iespēja apmeklēt labiekārtotu tualeti un vietu bērna aprūpei</w:t>
            </w:r>
          </w:p>
        </w:tc>
        <w:tc>
          <w:tcPr>
            <w:tcW w:w="993" w:type="dxa"/>
            <w:vMerge/>
            <w:tcBorders>
              <w:top w:val="nil"/>
              <w:left w:val="single" w:sz="4" w:space="0" w:color="auto"/>
              <w:bottom w:val="single" w:sz="4" w:space="0" w:color="auto"/>
              <w:right w:val="single" w:sz="4" w:space="0" w:color="auto"/>
            </w:tcBorders>
            <w:vAlign w:val="center"/>
            <w:hideMark/>
          </w:tcPr>
          <w:p w14:paraId="04909538" w14:textId="77777777" w:rsidR="00B87419" w:rsidRPr="003A1457" w:rsidRDefault="00B87419" w:rsidP="00B87419">
            <w:pPr>
              <w:jc w:val="center"/>
              <w:rPr>
                <w:sz w:val="22"/>
                <w:szCs w:val="22"/>
              </w:rPr>
            </w:pPr>
          </w:p>
        </w:tc>
        <w:tc>
          <w:tcPr>
            <w:tcW w:w="1134" w:type="dxa"/>
            <w:vMerge/>
            <w:tcBorders>
              <w:top w:val="nil"/>
              <w:left w:val="single" w:sz="4" w:space="0" w:color="auto"/>
              <w:bottom w:val="single" w:sz="4" w:space="0" w:color="000000"/>
              <w:right w:val="single" w:sz="4" w:space="0" w:color="auto"/>
            </w:tcBorders>
            <w:vAlign w:val="center"/>
            <w:hideMark/>
          </w:tcPr>
          <w:p w14:paraId="39B92BC8" w14:textId="77777777" w:rsidR="00B87419" w:rsidRPr="003A1457" w:rsidRDefault="00B87419" w:rsidP="00B87419">
            <w:pPr>
              <w:jc w:val="center"/>
              <w:rPr>
                <w:sz w:val="22"/>
                <w:szCs w:val="22"/>
              </w:rPr>
            </w:pPr>
          </w:p>
        </w:tc>
      </w:tr>
      <w:tr w:rsidR="003A1457" w:rsidRPr="003A1457" w14:paraId="4BA17C29" w14:textId="77777777" w:rsidTr="00B87419">
        <w:trPr>
          <w:trHeight w:val="300"/>
        </w:trPr>
        <w:tc>
          <w:tcPr>
            <w:tcW w:w="704" w:type="dxa"/>
            <w:vMerge/>
            <w:tcBorders>
              <w:top w:val="nil"/>
              <w:left w:val="single" w:sz="4" w:space="0" w:color="auto"/>
              <w:bottom w:val="single" w:sz="4" w:space="0" w:color="auto"/>
              <w:right w:val="single" w:sz="4" w:space="0" w:color="auto"/>
            </w:tcBorders>
            <w:textDirection w:val="btLr"/>
            <w:vAlign w:val="center"/>
            <w:hideMark/>
          </w:tcPr>
          <w:p w14:paraId="72073AC7" w14:textId="77777777" w:rsidR="00B87419" w:rsidRPr="003A1457" w:rsidRDefault="00B87419" w:rsidP="00B87419">
            <w:pPr>
              <w:ind w:left="113" w:right="113"/>
              <w:jc w:val="center"/>
              <w:rPr>
                <w:sz w:val="22"/>
                <w:szCs w:val="22"/>
              </w:rPr>
            </w:pPr>
          </w:p>
        </w:tc>
        <w:tc>
          <w:tcPr>
            <w:tcW w:w="1985" w:type="dxa"/>
            <w:vMerge/>
            <w:tcBorders>
              <w:top w:val="nil"/>
              <w:left w:val="single" w:sz="4" w:space="0" w:color="auto"/>
              <w:bottom w:val="single" w:sz="4" w:space="0" w:color="000000"/>
              <w:right w:val="single" w:sz="4" w:space="0" w:color="auto"/>
            </w:tcBorders>
            <w:vAlign w:val="center"/>
            <w:hideMark/>
          </w:tcPr>
          <w:p w14:paraId="1A66E46C" w14:textId="77777777" w:rsidR="00B87419" w:rsidRPr="003A1457" w:rsidRDefault="00B87419" w:rsidP="00B87419">
            <w:pPr>
              <w:jc w:val="center"/>
              <w:rPr>
                <w:sz w:val="22"/>
                <w:szCs w:val="22"/>
              </w:rPr>
            </w:pPr>
          </w:p>
        </w:tc>
        <w:tc>
          <w:tcPr>
            <w:tcW w:w="4110" w:type="dxa"/>
            <w:tcBorders>
              <w:top w:val="nil"/>
              <w:left w:val="nil"/>
              <w:bottom w:val="single" w:sz="4" w:space="0" w:color="auto"/>
              <w:right w:val="single" w:sz="4" w:space="0" w:color="auto"/>
            </w:tcBorders>
            <w:shd w:val="clear" w:color="auto" w:fill="auto"/>
            <w:noWrap/>
            <w:vAlign w:val="center"/>
            <w:hideMark/>
          </w:tcPr>
          <w:p w14:paraId="7855CE16" w14:textId="77777777" w:rsidR="00B87419" w:rsidRPr="003A1457" w:rsidRDefault="00B87419" w:rsidP="00B87419">
            <w:pPr>
              <w:jc w:val="center"/>
              <w:rPr>
                <w:sz w:val="22"/>
                <w:szCs w:val="22"/>
              </w:rPr>
            </w:pPr>
            <w:r w:rsidRPr="003A1457">
              <w:rPr>
                <w:sz w:val="22"/>
                <w:szCs w:val="22"/>
              </w:rPr>
              <w:t>Uzgaidāmās telpas</w:t>
            </w:r>
          </w:p>
        </w:tc>
        <w:tc>
          <w:tcPr>
            <w:tcW w:w="993" w:type="dxa"/>
            <w:vMerge/>
            <w:tcBorders>
              <w:top w:val="nil"/>
              <w:left w:val="single" w:sz="4" w:space="0" w:color="auto"/>
              <w:bottom w:val="single" w:sz="4" w:space="0" w:color="auto"/>
              <w:right w:val="single" w:sz="4" w:space="0" w:color="auto"/>
            </w:tcBorders>
            <w:vAlign w:val="center"/>
            <w:hideMark/>
          </w:tcPr>
          <w:p w14:paraId="0ED00D71" w14:textId="77777777" w:rsidR="00B87419" w:rsidRPr="003A1457" w:rsidRDefault="00B87419" w:rsidP="00B87419">
            <w:pPr>
              <w:jc w:val="center"/>
              <w:rPr>
                <w:sz w:val="22"/>
                <w:szCs w:val="22"/>
              </w:rPr>
            </w:pPr>
          </w:p>
        </w:tc>
        <w:tc>
          <w:tcPr>
            <w:tcW w:w="1134" w:type="dxa"/>
            <w:vMerge/>
            <w:tcBorders>
              <w:top w:val="nil"/>
              <w:left w:val="single" w:sz="4" w:space="0" w:color="auto"/>
              <w:bottom w:val="single" w:sz="4" w:space="0" w:color="000000"/>
              <w:right w:val="single" w:sz="4" w:space="0" w:color="auto"/>
            </w:tcBorders>
            <w:vAlign w:val="center"/>
            <w:hideMark/>
          </w:tcPr>
          <w:p w14:paraId="5EA06DCF" w14:textId="77777777" w:rsidR="00B87419" w:rsidRPr="003A1457" w:rsidRDefault="00B87419" w:rsidP="00B87419">
            <w:pPr>
              <w:jc w:val="center"/>
              <w:rPr>
                <w:sz w:val="22"/>
                <w:szCs w:val="22"/>
              </w:rPr>
            </w:pPr>
          </w:p>
        </w:tc>
      </w:tr>
      <w:tr w:rsidR="003A1457" w:rsidRPr="003A1457" w14:paraId="06C729B9" w14:textId="77777777" w:rsidTr="00B87419">
        <w:trPr>
          <w:trHeight w:val="300"/>
        </w:trPr>
        <w:tc>
          <w:tcPr>
            <w:tcW w:w="704" w:type="dxa"/>
            <w:vMerge/>
            <w:tcBorders>
              <w:top w:val="nil"/>
              <w:left w:val="single" w:sz="4" w:space="0" w:color="auto"/>
              <w:bottom w:val="single" w:sz="4" w:space="0" w:color="auto"/>
              <w:right w:val="single" w:sz="4" w:space="0" w:color="auto"/>
            </w:tcBorders>
            <w:textDirection w:val="btLr"/>
            <w:vAlign w:val="center"/>
            <w:hideMark/>
          </w:tcPr>
          <w:p w14:paraId="0D250232" w14:textId="77777777" w:rsidR="00B87419" w:rsidRPr="003A1457" w:rsidRDefault="00B87419" w:rsidP="00B87419">
            <w:pPr>
              <w:ind w:left="113" w:right="113"/>
              <w:jc w:val="center"/>
              <w:rPr>
                <w:sz w:val="22"/>
                <w:szCs w:val="22"/>
              </w:rPr>
            </w:pPr>
          </w:p>
        </w:tc>
        <w:tc>
          <w:tcPr>
            <w:tcW w:w="1985" w:type="dxa"/>
            <w:vMerge/>
            <w:tcBorders>
              <w:top w:val="nil"/>
              <w:left w:val="single" w:sz="4" w:space="0" w:color="auto"/>
              <w:bottom w:val="single" w:sz="4" w:space="0" w:color="000000"/>
              <w:right w:val="single" w:sz="4" w:space="0" w:color="auto"/>
            </w:tcBorders>
            <w:vAlign w:val="center"/>
            <w:hideMark/>
          </w:tcPr>
          <w:p w14:paraId="5FD1EEB6" w14:textId="77777777" w:rsidR="00B87419" w:rsidRPr="003A1457" w:rsidRDefault="00B87419" w:rsidP="00B87419">
            <w:pPr>
              <w:jc w:val="center"/>
              <w:rPr>
                <w:sz w:val="22"/>
                <w:szCs w:val="22"/>
              </w:rPr>
            </w:pPr>
          </w:p>
        </w:tc>
        <w:tc>
          <w:tcPr>
            <w:tcW w:w="4110" w:type="dxa"/>
            <w:tcBorders>
              <w:top w:val="nil"/>
              <w:left w:val="nil"/>
              <w:bottom w:val="single" w:sz="4" w:space="0" w:color="auto"/>
              <w:right w:val="single" w:sz="4" w:space="0" w:color="auto"/>
            </w:tcBorders>
            <w:shd w:val="clear" w:color="auto" w:fill="auto"/>
            <w:noWrap/>
            <w:vAlign w:val="center"/>
            <w:hideMark/>
          </w:tcPr>
          <w:p w14:paraId="13BF9EF3" w14:textId="77777777" w:rsidR="00B87419" w:rsidRPr="003A1457" w:rsidRDefault="00B87419" w:rsidP="00B87419">
            <w:pPr>
              <w:jc w:val="center"/>
              <w:rPr>
                <w:sz w:val="22"/>
                <w:szCs w:val="22"/>
              </w:rPr>
            </w:pPr>
            <w:r w:rsidRPr="003A1457">
              <w:rPr>
                <w:sz w:val="22"/>
                <w:szCs w:val="22"/>
              </w:rPr>
              <w:t>Bagāžas glabāšanas organizēšana</w:t>
            </w:r>
          </w:p>
        </w:tc>
        <w:tc>
          <w:tcPr>
            <w:tcW w:w="993" w:type="dxa"/>
            <w:vMerge/>
            <w:tcBorders>
              <w:top w:val="nil"/>
              <w:left w:val="single" w:sz="4" w:space="0" w:color="auto"/>
              <w:bottom w:val="single" w:sz="4" w:space="0" w:color="auto"/>
              <w:right w:val="single" w:sz="4" w:space="0" w:color="auto"/>
            </w:tcBorders>
            <w:vAlign w:val="center"/>
            <w:hideMark/>
          </w:tcPr>
          <w:p w14:paraId="39419A28" w14:textId="77777777" w:rsidR="00B87419" w:rsidRPr="003A1457" w:rsidRDefault="00B87419" w:rsidP="00B87419">
            <w:pPr>
              <w:jc w:val="center"/>
              <w:rPr>
                <w:sz w:val="22"/>
                <w:szCs w:val="22"/>
              </w:rPr>
            </w:pPr>
          </w:p>
        </w:tc>
        <w:tc>
          <w:tcPr>
            <w:tcW w:w="1134" w:type="dxa"/>
            <w:vMerge/>
            <w:tcBorders>
              <w:top w:val="nil"/>
              <w:left w:val="single" w:sz="4" w:space="0" w:color="auto"/>
              <w:bottom w:val="single" w:sz="4" w:space="0" w:color="000000"/>
              <w:right w:val="single" w:sz="4" w:space="0" w:color="auto"/>
            </w:tcBorders>
            <w:vAlign w:val="center"/>
            <w:hideMark/>
          </w:tcPr>
          <w:p w14:paraId="24C3CE1E" w14:textId="77777777" w:rsidR="00B87419" w:rsidRPr="003A1457" w:rsidRDefault="00B87419" w:rsidP="00B87419">
            <w:pPr>
              <w:jc w:val="center"/>
              <w:rPr>
                <w:sz w:val="22"/>
                <w:szCs w:val="22"/>
              </w:rPr>
            </w:pPr>
          </w:p>
        </w:tc>
      </w:tr>
      <w:tr w:rsidR="003A1457" w:rsidRPr="003A1457" w14:paraId="5902DE6D" w14:textId="77777777" w:rsidTr="00B87419">
        <w:trPr>
          <w:trHeight w:val="300"/>
        </w:trPr>
        <w:tc>
          <w:tcPr>
            <w:tcW w:w="704"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14:paraId="21984300" w14:textId="77777777" w:rsidR="00B87419" w:rsidRPr="003A1457" w:rsidRDefault="00B87419" w:rsidP="00B87419">
            <w:pPr>
              <w:ind w:left="113" w:right="113"/>
              <w:jc w:val="center"/>
              <w:rPr>
                <w:sz w:val="22"/>
                <w:szCs w:val="22"/>
              </w:rPr>
            </w:pPr>
            <w:r w:rsidRPr="003A1457">
              <w:rPr>
                <w:sz w:val="22"/>
                <w:szCs w:val="22"/>
              </w:rPr>
              <w:t>II kategorija</w:t>
            </w:r>
          </w:p>
        </w:tc>
        <w:tc>
          <w:tcPr>
            <w:tcW w:w="1985" w:type="dxa"/>
            <w:vMerge w:val="restart"/>
            <w:tcBorders>
              <w:top w:val="nil"/>
              <w:left w:val="single" w:sz="4" w:space="0" w:color="auto"/>
              <w:bottom w:val="single" w:sz="4" w:space="0" w:color="000000"/>
              <w:right w:val="single" w:sz="4" w:space="0" w:color="auto"/>
            </w:tcBorders>
            <w:shd w:val="clear" w:color="auto" w:fill="auto"/>
            <w:vAlign w:val="center"/>
            <w:hideMark/>
          </w:tcPr>
          <w:p w14:paraId="694F1197" w14:textId="77777777" w:rsidR="00B87419" w:rsidRPr="003A1457" w:rsidRDefault="00B87419" w:rsidP="00B87419">
            <w:pPr>
              <w:jc w:val="center"/>
              <w:rPr>
                <w:sz w:val="22"/>
                <w:szCs w:val="22"/>
              </w:rPr>
            </w:pPr>
            <w:r w:rsidRPr="003A1457">
              <w:rPr>
                <w:sz w:val="22"/>
                <w:szCs w:val="22"/>
              </w:rPr>
              <w:t>autoosta, kas atrodas valstspilsētā, un citas autoostas, kas apkalpo vairāk nekā 30 000 reisu un vairāk nekā 50 000 pasažieru</w:t>
            </w:r>
          </w:p>
        </w:tc>
        <w:tc>
          <w:tcPr>
            <w:tcW w:w="4110" w:type="dxa"/>
            <w:tcBorders>
              <w:top w:val="nil"/>
              <w:left w:val="nil"/>
              <w:bottom w:val="single" w:sz="4" w:space="0" w:color="auto"/>
              <w:right w:val="single" w:sz="4" w:space="0" w:color="auto"/>
            </w:tcBorders>
            <w:shd w:val="clear" w:color="auto" w:fill="auto"/>
            <w:noWrap/>
            <w:vAlign w:val="center"/>
            <w:hideMark/>
          </w:tcPr>
          <w:p w14:paraId="1962CFB5" w14:textId="77777777" w:rsidR="00B87419" w:rsidRPr="003A1457" w:rsidRDefault="00B87419" w:rsidP="00B87419">
            <w:pPr>
              <w:jc w:val="center"/>
              <w:rPr>
                <w:sz w:val="22"/>
                <w:szCs w:val="22"/>
              </w:rPr>
            </w:pPr>
            <w:r w:rsidRPr="003A1457">
              <w:rPr>
                <w:sz w:val="22"/>
                <w:szCs w:val="22"/>
              </w:rPr>
              <w:t>Platformu izmantošana un informācijas sniegšana</w:t>
            </w:r>
          </w:p>
        </w:tc>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EC72446" w14:textId="77777777" w:rsidR="00B87419" w:rsidRPr="003A1457" w:rsidRDefault="00B87419" w:rsidP="00B87419">
            <w:pPr>
              <w:jc w:val="center"/>
              <w:rPr>
                <w:sz w:val="22"/>
                <w:szCs w:val="22"/>
              </w:rPr>
            </w:pPr>
            <w:r w:rsidRPr="003A1457">
              <w:rPr>
                <w:sz w:val="22"/>
                <w:szCs w:val="22"/>
              </w:rPr>
              <w:t>10</w:t>
            </w:r>
          </w:p>
        </w:tc>
        <w:tc>
          <w:tcPr>
            <w:tcW w:w="11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8C7833F" w14:textId="4937A624" w:rsidR="00B87419" w:rsidRPr="003A1457" w:rsidRDefault="00B87419" w:rsidP="00B87419">
            <w:pPr>
              <w:jc w:val="center"/>
              <w:rPr>
                <w:sz w:val="22"/>
                <w:szCs w:val="22"/>
              </w:rPr>
            </w:pPr>
            <w:r w:rsidRPr="003A1457">
              <w:rPr>
                <w:sz w:val="22"/>
                <w:szCs w:val="22"/>
              </w:rPr>
              <w:t>1 802 223</w:t>
            </w:r>
          </w:p>
        </w:tc>
      </w:tr>
      <w:tr w:rsidR="003A1457" w:rsidRPr="003A1457" w14:paraId="0A932C9E" w14:textId="77777777" w:rsidTr="00B87419">
        <w:trPr>
          <w:trHeight w:val="300"/>
        </w:trPr>
        <w:tc>
          <w:tcPr>
            <w:tcW w:w="704" w:type="dxa"/>
            <w:vMerge/>
            <w:tcBorders>
              <w:top w:val="nil"/>
              <w:left w:val="single" w:sz="4" w:space="0" w:color="auto"/>
              <w:bottom w:val="single" w:sz="4" w:space="0" w:color="auto"/>
              <w:right w:val="single" w:sz="4" w:space="0" w:color="auto"/>
            </w:tcBorders>
            <w:textDirection w:val="btLr"/>
            <w:vAlign w:val="center"/>
            <w:hideMark/>
          </w:tcPr>
          <w:p w14:paraId="5E1BF3EE" w14:textId="77777777" w:rsidR="00B87419" w:rsidRPr="003A1457" w:rsidRDefault="00B87419" w:rsidP="00B87419">
            <w:pPr>
              <w:ind w:left="113" w:right="113"/>
              <w:jc w:val="center"/>
              <w:rPr>
                <w:sz w:val="22"/>
                <w:szCs w:val="22"/>
              </w:rPr>
            </w:pPr>
          </w:p>
        </w:tc>
        <w:tc>
          <w:tcPr>
            <w:tcW w:w="1985" w:type="dxa"/>
            <w:vMerge/>
            <w:tcBorders>
              <w:top w:val="nil"/>
              <w:left w:val="single" w:sz="4" w:space="0" w:color="auto"/>
              <w:bottom w:val="single" w:sz="4" w:space="0" w:color="000000"/>
              <w:right w:val="single" w:sz="4" w:space="0" w:color="auto"/>
            </w:tcBorders>
            <w:vAlign w:val="center"/>
            <w:hideMark/>
          </w:tcPr>
          <w:p w14:paraId="7169E6B9" w14:textId="77777777" w:rsidR="00B87419" w:rsidRPr="003A1457" w:rsidRDefault="00B87419" w:rsidP="00B87419">
            <w:pPr>
              <w:jc w:val="center"/>
              <w:rPr>
                <w:sz w:val="22"/>
                <w:szCs w:val="22"/>
              </w:rPr>
            </w:pPr>
          </w:p>
        </w:tc>
        <w:tc>
          <w:tcPr>
            <w:tcW w:w="4110" w:type="dxa"/>
            <w:tcBorders>
              <w:top w:val="nil"/>
              <w:left w:val="nil"/>
              <w:bottom w:val="single" w:sz="4" w:space="0" w:color="auto"/>
              <w:right w:val="single" w:sz="4" w:space="0" w:color="auto"/>
            </w:tcBorders>
            <w:shd w:val="clear" w:color="auto" w:fill="auto"/>
            <w:noWrap/>
            <w:vAlign w:val="center"/>
            <w:hideMark/>
          </w:tcPr>
          <w:p w14:paraId="06C52B51" w14:textId="77777777" w:rsidR="00B87419" w:rsidRPr="003A1457" w:rsidRDefault="00B87419" w:rsidP="00B87419">
            <w:pPr>
              <w:jc w:val="center"/>
              <w:rPr>
                <w:sz w:val="22"/>
                <w:szCs w:val="22"/>
              </w:rPr>
            </w:pPr>
            <w:r w:rsidRPr="003A1457">
              <w:rPr>
                <w:sz w:val="22"/>
                <w:szCs w:val="22"/>
              </w:rPr>
              <w:t>Autobusu kustības organizēšana</w:t>
            </w:r>
          </w:p>
        </w:tc>
        <w:tc>
          <w:tcPr>
            <w:tcW w:w="993" w:type="dxa"/>
            <w:vMerge/>
            <w:tcBorders>
              <w:top w:val="nil"/>
              <w:left w:val="single" w:sz="4" w:space="0" w:color="auto"/>
              <w:bottom w:val="single" w:sz="4" w:space="0" w:color="auto"/>
              <w:right w:val="single" w:sz="4" w:space="0" w:color="auto"/>
            </w:tcBorders>
            <w:vAlign w:val="center"/>
            <w:hideMark/>
          </w:tcPr>
          <w:p w14:paraId="551B6950" w14:textId="77777777" w:rsidR="00B87419" w:rsidRPr="003A1457" w:rsidRDefault="00B87419" w:rsidP="00B87419">
            <w:pPr>
              <w:jc w:val="center"/>
              <w:rPr>
                <w:sz w:val="22"/>
                <w:szCs w:val="22"/>
              </w:rPr>
            </w:pPr>
          </w:p>
        </w:tc>
        <w:tc>
          <w:tcPr>
            <w:tcW w:w="1134" w:type="dxa"/>
            <w:vMerge/>
            <w:tcBorders>
              <w:top w:val="nil"/>
              <w:left w:val="single" w:sz="4" w:space="0" w:color="auto"/>
              <w:bottom w:val="single" w:sz="4" w:space="0" w:color="000000"/>
              <w:right w:val="single" w:sz="4" w:space="0" w:color="auto"/>
            </w:tcBorders>
            <w:vAlign w:val="center"/>
            <w:hideMark/>
          </w:tcPr>
          <w:p w14:paraId="17A40652" w14:textId="77777777" w:rsidR="00B87419" w:rsidRPr="003A1457" w:rsidRDefault="00B87419" w:rsidP="00B87419">
            <w:pPr>
              <w:jc w:val="center"/>
              <w:rPr>
                <w:sz w:val="22"/>
                <w:szCs w:val="22"/>
              </w:rPr>
            </w:pPr>
          </w:p>
        </w:tc>
      </w:tr>
      <w:tr w:rsidR="003A1457" w:rsidRPr="003A1457" w14:paraId="192304AB" w14:textId="77777777" w:rsidTr="00B87419">
        <w:trPr>
          <w:trHeight w:val="300"/>
        </w:trPr>
        <w:tc>
          <w:tcPr>
            <w:tcW w:w="704" w:type="dxa"/>
            <w:vMerge/>
            <w:tcBorders>
              <w:top w:val="nil"/>
              <w:left w:val="single" w:sz="4" w:space="0" w:color="auto"/>
              <w:bottom w:val="single" w:sz="4" w:space="0" w:color="auto"/>
              <w:right w:val="single" w:sz="4" w:space="0" w:color="auto"/>
            </w:tcBorders>
            <w:textDirection w:val="btLr"/>
            <w:vAlign w:val="center"/>
            <w:hideMark/>
          </w:tcPr>
          <w:p w14:paraId="4B235F0C" w14:textId="77777777" w:rsidR="00B87419" w:rsidRPr="003A1457" w:rsidRDefault="00B87419" w:rsidP="00B87419">
            <w:pPr>
              <w:ind w:left="113" w:right="113"/>
              <w:jc w:val="center"/>
              <w:rPr>
                <w:sz w:val="22"/>
                <w:szCs w:val="22"/>
              </w:rPr>
            </w:pPr>
          </w:p>
        </w:tc>
        <w:tc>
          <w:tcPr>
            <w:tcW w:w="1985" w:type="dxa"/>
            <w:vMerge/>
            <w:tcBorders>
              <w:top w:val="nil"/>
              <w:left w:val="single" w:sz="4" w:space="0" w:color="auto"/>
              <w:bottom w:val="single" w:sz="4" w:space="0" w:color="000000"/>
              <w:right w:val="single" w:sz="4" w:space="0" w:color="auto"/>
            </w:tcBorders>
            <w:vAlign w:val="center"/>
            <w:hideMark/>
          </w:tcPr>
          <w:p w14:paraId="27022B4C" w14:textId="77777777" w:rsidR="00B87419" w:rsidRPr="003A1457" w:rsidRDefault="00B87419" w:rsidP="00B87419">
            <w:pPr>
              <w:jc w:val="center"/>
              <w:rPr>
                <w:sz w:val="22"/>
                <w:szCs w:val="22"/>
              </w:rPr>
            </w:pPr>
          </w:p>
        </w:tc>
        <w:tc>
          <w:tcPr>
            <w:tcW w:w="4110" w:type="dxa"/>
            <w:tcBorders>
              <w:top w:val="nil"/>
              <w:left w:val="nil"/>
              <w:bottom w:val="single" w:sz="4" w:space="0" w:color="auto"/>
              <w:right w:val="single" w:sz="4" w:space="0" w:color="auto"/>
            </w:tcBorders>
            <w:shd w:val="clear" w:color="auto" w:fill="auto"/>
            <w:noWrap/>
            <w:vAlign w:val="center"/>
            <w:hideMark/>
          </w:tcPr>
          <w:p w14:paraId="1943D795" w14:textId="4DBCF0F4" w:rsidR="00B87419" w:rsidRPr="003A1457" w:rsidRDefault="00B87419" w:rsidP="00B87419">
            <w:pPr>
              <w:jc w:val="center"/>
              <w:rPr>
                <w:sz w:val="22"/>
                <w:szCs w:val="22"/>
              </w:rPr>
            </w:pPr>
            <w:r w:rsidRPr="003A1457">
              <w:rPr>
                <w:sz w:val="22"/>
                <w:szCs w:val="22"/>
              </w:rPr>
              <w:t>Iespēja iegādāties braukšanas biļeti</w:t>
            </w:r>
          </w:p>
        </w:tc>
        <w:tc>
          <w:tcPr>
            <w:tcW w:w="993" w:type="dxa"/>
            <w:vMerge/>
            <w:tcBorders>
              <w:top w:val="nil"/>
              <w:left w:val="single" w:sz="4" w:space="0" w:color="auto"/>
              <w:bottom w:val="single" w:sz="4" w:space="0" w:color="auto"/>
              <w:right w:val="single" w:sz="4" w:space="0" w:color="auto"/>
            </w:tcBorders>
            <w:vAlign w:val="center"/>
            <w:hideMark/>
          </w:tcPr>
          <w:p w14:paraId="5AB221DB" w14:textId="77777777" w:rsidR="00B87419" w:rsidRPr="003A1457" w:rsidRDefault="00B87419" w:rsidP="00B87419">
            <w:pPr>
              <w:jc w:val="center"/>
              <w:rPr>
                <w:sz w:val="22"/>
                <w:szCs w:val="22"/>
              </w:rPr>
            </w:pPr>
          </w:p>
        </w:tc>
        <w:tc>
          <w:tcPr>
            <w:tcW w:w="1134" w:type="dxa"/>
            <w:vMerge/>
            <w:tcBorders>
              <w:top w:val="nil"/>
              <w:left w:val="single" w:sz="4" w:space="0" w:color="auto"/>
              <w:bottom w:val="single" w:sz="4" w:space="0" w:color="000000"/>
              <w:right w:val="single" w:sz="4" w:space="0" w:color="auto"/>
            </w:tcBorders>
            <w:vAlign w:val="center"/>
            <w:hideMark/>
          </w:tcPr>
          <w:p w14:paraId="7EC9A745" w14:textId="77777777" w:rsidR="00B87419" w:rsidRPr="003A1457" w:rsidRDefault="00B87419" w:rsidP="00B87419">
            <w:pPr>
              <w:jc w:val="center"/>
              <w:rPr>
                <w:sz w:val="22"/>
                <w:szCs w:val="22"/>
              </w:rPr>
            </w:pPr>
          </w:p>
        </w:tc>
      </w:tr>
      <w:tr w:rsidR="003A1457" w:rsidRPr="003A1457" w14:paraId="6D863950" w14:textId="77777777" w:rsidTr="00B87419">
        <w:trPr>
          <w:trHeight w:val="300"/>
        </w:trPr>
        <w:tc>
          <w:tcPr>
            <w:tcW w:w="704" w:type="dxa"/>
            <w:vMerge/>
            <w:tcBorders>
              <w:top w:val="nil"/>
              <w:left w:val="single" w:sz="4" w:space="0" w:color="auto"/>
              <w:bottom w:val="single" w:sz="4" w:space="0" w:color="auto"/>
              <w:right w:val="single" w:sz="4" w:space="0" w:color="auto"/>
            </w:tcBorders>
            <w:textDirection w:val="btLr"/>
            <w:vAlign w:val="center"/>
            <w:hideMark/>
          </w:tcPr>
          <w:p w14:paraId="6F76DEAC" w14:textId="77777777" w:rsidR="00B87419" w:rsidRPr="003A1457" w:rsidRDefault="00B87419" w:rsidP="00B87419">
            <w:pPr>
              <w:ind w:left="113" w:right="113"/>
              <w:jc w:val="center"/>
              <w:rPr>
                <w:sz w:val="22"/>
                <w:szCs w:val="22"/>
              </w:rPr>
            </w:pPr>
          </w:p>
        </w:tc>
        <w:tc>
          <w:tcPr>
            <w:tcW w:w="1985" w:type="dxa"/>
            <w:vMerge/>
            <w:tcBorders>
              <w:top w:val="nil"/>
              <w:left w:val="single" w:sz="4" w:space="0" w:color="auto"/>
              <w:bottom w:val="single" w:sz="4" w:space="0" w:color="000000"/>
              <w:right w:val="single" w:sz="4" w:space="0" w:color="auto"/>
            </w:tcBorders>
            <w:vAlign w:val="center"/>
            <w:hideMark/>
          </w:tcPr>
          <w:p w14:paraId="3E49626C" w14:textId="77777777" w:rsidR="00B87419" w:rsidRPr="003A1457" w:rsidRDefault="00B87419" w:rsidP="00B87419">
            <w:pPr>
              <w:jc w:val="center"/>
              <w:rPr>
                <w:sz w:val="22"/>
                <w:szCs w:val="22"/>
              </w:rPr>
            </w:pPr>
          </w:p>
        </w:tc>
        <w:tc>
          <w:tcPr>
            <w:tcW w:w="4110" w:type="dxa"/>
            <w:tcBorders>
              <w:top w:val="nil"/>
              <w:left w:val="nil"/>
              <w:bottom w:val="single" w:sz="4" w:space="0" w:color="auto"/>
              <w:right w:val="single" w:sz="4" w:space="0" w:color="auto"/>
            </w:tcBorders>
            <w:shd w:val="clear" w:color="auto" w:fill="auto"/>
            <w:noWrap/>
            <w:vAlign w:val="center"/>
            <w:hideMark/>
          </w:tcPr>
          <w:p w14:paraId="20519F7B" w14:textId="77777777" w:rsidR="00B87419" w:rsidRPr="003A1457" w:rsidRDefault="00B87419" w:rsidP="00B87419">
            <w:pPr>
              <w:jc w:val="center"/>
              <w:rPr>
                <w:sz w:val="22"/>
                <w:szCs w:val="22"/>
              </w:rPr>
            </w:pPr>
            <w:r w:rsidRPr="003A1457">
              <w:rPr>
                <w:sz w:val="22"/>
                <w:szCs w:val="22"/>
              </w:rPr>
              <w:t>Iespēja apmeklēt labiekārtotu tualeti un vietu bērna aprūpei</w:t>
            </w:r>
          </w:p>
        </w:tc>
        <w:tc>
          <w:tcPr>
            <w:tcW w:w="993" w:type="dxa"/>
            <w:vMerge/>
            <w:tcBorders>
              <w:top w:val="nil"/>
              <w:left w:val="single" w:sz="4" w:space="0" w:color="auto"/>
              <w:bottom w:val="single" w:sz="4" w:space="0" w:color="auto"/>
              <w:right w:val="single" w:sz="4" w:space="0" w:color="auto"/>
            </w:tcBorders>
            <w:vAlign w:val="center"/>
            <w:hideMark/>
          </w:tcPr>
          <w:p w14:paraId="765FE7C7" w14:textId="77777777" w:rsidR="00B87419" w:rsidRPr="003A1457" w:rsidRDefault="00B87419" w:rsidP="00B87419">
            <w:pPr>
              <w:jc w:val="center"/>
              <w:rPr>
                <w:sz w:val="22"/>
                <w:szCs w:val="22"/>
              </w:rPr>
            </w:pPr>
          </w:p>
        </w:tc>
        <w:tc>
          <w:tcPr>
            <w:tcW w:w="1134" w:type="dxa"/>
            <w:vMerge/>
            <w:tcBorders>
              <w:top w:val="nil"/>
              <w:left w:val="single" w:sz="4" w:space="0" w:color="auto"/>
              <w:bottom w:val="single" w:sz="4" w:space="0" w:color="000000"/>
              <w:right w:val="single" w:sz="4" w:space="0" w:color="auto"/>
            </w:tcBorders>
            <w:vAlign w:val="center"/>
            <w:hideMark/>
          </w:tcPr>
          <w:p w14:paraId="584BC30A" w14:textId="77777777" w:rsidR="00B87419" w:rsidRPr="003A1457" w:rsidRDefault="00B87419" w:rsidP="00B87419">
            <w:pPr>
              <w:jc w:val="center"/>
              <w:rPr>
                <w:sz w:val="22"/>
                <w:szCs w:val="22"/>
              </w:rPr>
            </w:pPr>
          </w:p>
        </w:tc>
      </w:tr>
      <w:tr w:rsidR="003A1457" w:rsidRPr="003A1457" w14:paraId="3BC08629" w14:textId="77777777" w:rsidTr="00B87419">
        <w:trPr>
          <w:trHeight w:val="300"/>
        </w:trPr>
        <w:tc>
          <w:tcPr>
            <w:tcW w:w="704" w:type="dxa"/>
            <w:vMerge/>
            <w:tcBorders>
              <w:top w:val="nil"/>
              <w:left w:val="single" w:sz="4" w:space="0" w:color="auto"/>
              <w:bottom w:val="single" w:sz="4" w:space="0" w:color="auto"/>
              <w:right w:val="single" w:sz="4" w:space="0" w:color="auto"/>
            </w:tcBorders>
            <w:textDirection w:val="btLr"/>
            <w:vAlign w:val="center"/>
            <w:hideMark/>
          </w:tcPr>
          <w:p w14:paraId="5151945E" w14:textId="77777777" w:rsidR="00B87419" w:rsidRPr="003A1457" w:rsidRDefault="00B87419" w:rsidP="00B87419">
            <w:pPr>
              <w:ind w:left="113" w:right="113"/>
              <w:jc w:val="center"/>
              <w:rPr>
                <w:sz w:val="22"/>
                <w:szCs w:val="22"/>
              </w:rPr>
            </w:pPr>
          </w:p>
        </w:tc>
        <w:tc>
          <w:tcPr>
            <w:tcW w:w="1985" w:type="dxa"/>
            <w:vMerge/>
            <w:tcBorders>
              <w:top w:val="nil"/>
              <w:left w:val="single" w:sz="4" w:space="0" w:color="auto"/>
              <w:bottom w:val="single" w:sz="4" w:space="0" w:color="000000"/>
              <w:right w:val="single" w:sz="4" w:space="0" w:color="auto"/>
            </w:tcBorders>
            <w:vAlign w:val="center"/>
            <w:hideMark/>
          </w:tcPr>
          <w:p w14:paraId="41B5BFFA" w14:textId="77777777" w:rsidR="00B87419" w:rsidRPr="003A1457" w:rsidRDefault="00B87419" w:rsidP="00B87419">
            <w:pPr>
              <w:jc w:val="center"/>
              <w:rPr>
                <w:sz w:val="22"/>
                <w:szCs w:val="22"/>
              </w:rPr>
            </w:pPr>
          </w:p>
        </w:tc>
        <w:tc>
          <w:tcPr>
            <w:tcW w:w="4110" w:type="dxa"/>
            <w:tcBorders>
              <w:top w:val="nil"/>
              <w:left w:val="nil"/>
              <w:bottom w:val="single" w:sz="4" w:space="0" w:color="auto"/>
              <w:right w:val="single" w:sz="4" w:space="0" w:color="auto"/>
            </w:tcBorders>
            <w:shd w:val="clear" w:color="auto" w:fill="auto"/>
            <w:noWrap/>
            <w:vAlign w:val="center"/>
            <w:hideMark/>
          </w:tcPr>
          <w:p w14:paraId="7492ADE3" w14:textId="77777777" w:rsidR="00B87419" w:rsidRPr="003A1457" w:rsidRDefault="00B87419" w:rsidP="00B87419">
            <w:pPr>
              <w:jc w:val="center"/>
              <w:rPr>
                <w:sz w:val="22"/>
                <w:szCs w:val="22"/>
              </w:rPr>
            </w:pPr>
            <w:r w:rsidRPr="003A1457">
              <w:rPr>
                <w:sz w:val="22"/>
                <w:szCs w:val="22"/>
              </w:rPr>
              <w:t>Uzgaidāmās telpas</w:t>
            </w:r>
          </w:p>
        </w:tc>
        <w:tc>
          <w:tcPr>
            <w:tcW w:w="993" w:type="dxa"/>
            <w:vMerge/>
            <w:tcBorders>
              <w:top w:val="nil"/>
              <w:left w:val="single" w:sz="4" w:space="0" w:color="auto"/>
              <w:bottom w:val="single" w:sz="4" w:space="0" w:color="auto"/>
              <w:right w:val="single" w:sz="4" w:space="0" w:color="auto"/>
            </w:tcBorders>
            <w:vAlign w:val="center"/>
            <w:hideMark/>
          </w:tcPr>
          <w:p w14:paraId="3A25D606" w14:textId="77777777" w:rsidR="00B87419" w:rsidRPr="003A1457" w:rsidRDefault="00B87419" w:rsidP="00B87419">
            <w:pPr>
              <w:jc w:val="center"/>
              <w:rPr>
                <w:sz w:val="22"/>
                <w:szCs w:val="22"/>
              </w:rPr>
            </w:pPr>
          </w:p>
        </w:tc>
        <w:tc>
          <w:tcPr>
            <w:tcW w:w="1134" w:type="dxa"/>
            <w:vMerge/>
            <w:tcBorders>
              <w:top w:val="nil"/>
              <w:left w:val="single" w:sz="4" w:space="0" w:color="auto"/>
              <w:bottom w:val="single" w:sz="4" w:space="0" w:color="000000"/>
              <w:right w:val="single" w:sz="4" w:space="0" w:color="auto"/>
            </w:tcBorders>
            <w:vAlign w:val="center"/>
            <w:hideMark/>
          </w:tcPr>
          <w:p w14:paraId="5890880F" w14:textId="77777777" w:rsidR="00B87419" w:rsidRPr="003A1457" w:rsidRDefault="00B87419" w:rsidP="00B87419">
            <w:pPr>
              <w:jc w:val="center"/>
              <w:rPr>
                <w:sz w:val="22"/>
                <w:szCs w:val="22"/>
              </w:rPr>
            </w:pPr>
          </w:p>
        </w:tc>
      </w:tr>
      <w:tr w:rsidR="003A1457" w:rsidRPr="003A1457" w14:paraId="4E629283" w14:textId="77777777" w:rsidTr="00B87419">
        <w:trPr>
          <w:trHeight w:val="300"/>
        </w:trPr>
        <w:tc>
          <w:tcPr>
            <w:tcW w:w="704" w:type="dxa"/>
            <w:vMerge/>
            <w:tcBorders>
              <w:top w:val="nil"/>
              <w:left w:val="single" w:sz="4" w:space="0" w:color="auto"/>
              <w:bottom w:val="single" w:sz="4" w:space="0" w:color="auto"/>
              <w:right w:val="single" w:sz="4" w:space="0" w:color="auto"/>
            </w:tcBorders>
            <w:textDirection w:val="btLr"/>
            <w:vAlign w:val="center"/>
            <w:hideMark/>
          </w:tcPr>
          <w:p w14:paraId="63E79D26" w14:textId="77777777" w:rsidR="00B87419" w:rsidRPr="003A1457" w:rsidRDefault="00B87419" w:rsidP="00B87419">
            <w:pPr>
              <w:ind w:left="113" w:right="113"/>
              <w:jc w:val="center"/>
              <w:rPr>
                <w:sz w:val="22"/>
                <w:szCs w:val="22"/>
              </w:rPr>
            </w:pPr>
          </w:p>
        </w:tc>
        <w:tc>
          <w:tcPr>
            <w:tcW w:w="1985" w:type="dxa"/>
            <w:vMerge/>
            <w:tcBorders>
              <w:top w:val="nil"/>
              <w:left w:val="single" w:sz="4" w:space="0" w:color="auto"/>
              <w:bottom w:val="single" w:sz="4" w:space="0" w:color="000000"/>
              <w:right w:val="single" w:sz="4" w:space="0" w:color="auto"/>
            </w:tcBorders>
            <w:vAlign w:val="center"/>
            <w:hideMark/>
          </w:tcPr>
          <w:p w14:paraId="478494DE" w14:textId="77777777" w:rsidR="00B87419" w:rsidRPr="003A1457" w:rsidRDefault="00B87419" w:rsidP="00B87419">
            <w:pPr>
              <w:jc w:val="center"/>
              <w:rPr>
                <w:sz w:val="22"/>
                <w:szCs w:val="22"/>
              </w:rPr>
            </w:pPr>
          </w:p>
        </w:tc>
        <w:tc>
          <w:tcPr>
            <w:tcW w:w="4110" w:type="dxa"/>
            <w:tcBorders>
              <w:top w:val="nil"/>
              <w:left w:val="nil"/>
              <w:bottom w:val="single" w:sz="4" w:space="0" w:color="auto"/>
              <w:right w:val="single" w:sz="4" w:space="0" w:color="auto"/>
            </w:tcBorders>
            <w:shd w:val="clear" w:color="auto" w:fill="auto"/>
            <w:noWrap/>
            <w:vAlign w:val="center"/>
            <w:hideMark/>
          </w:tcPr>
          <w:p w14:paraId="444FEF3A" w14:textId="77777777" w:rsidR="00B87419" w:rsidRPr="003A1457" w:rsidRDefault="00B87419" w:rsidP="00B87419">
            <w:pPr>
              <w:jc w:val="center"/>
              <w:rPr>
                <w:sz w:val="22"/>
                <w:szCs w:val="22"/>
              </w:rPr>
            </w:pPr>
            <w:r w:rsidRPr="003A1457">
              <w:rPr>
                <w:sz w:val="22"/>
                <w:szCs w:val="22"/>
              </w:rPr>
              <w:t>Bagāžas glabāšanas organizēšana</w:t>
            </w:r>
          </w:p>
        </w:tc>
        <w:tc>
          <w:tcPr>
            <w:tcW w:w="993" w:type="dxa"/>
            <w:vMerge/>
            <w:tcBorders>
              <w:top w:val="nil"/>
              <w:left w:val="single" w:sz="4" w:space="0" w:color="auto"/>
              <w:bottom w:val="single" w:sz="4" w:space="0" w:color="auto"/>
              <w:right w:val="single" w:sz="4" w:space="0" w:color="auto"/>
            </w:tcBorders>
            <w:vAlign w:val="center"/>
            <w:hideMark/>
          </w:tcPr>
          <w:p w14:paraId="49995119" w14:textId="77777777" w:rsidR="00B87419" w:rsidRPr="003A1457" w:rsidRDefault="00B87419" w:rsidP="00B87419">
            <w:pPr>
              <w:jc w:val="center"/>
              <w:rPr>
                <w:sz w:val="22"/>
                <w:szCs w:val="22"/>
              </w:rPr>
            </w:pPr>
          </w:p>
        </w:tc>
        <w:tc>
          <w:tcPr>
            <w:tcW w:w="1134" w:type="dxa"/>
            <w:vMerge/>
            <w:tcBorders>
              <w:top w:val="nil"/>
              <w:left w:val="single" w:sz="4" w:space="0" w:color="auto"/>
              <w:bottom w:val="single" w:sz="4" w:space="0" w:color="000000"/>
              <w:right w:val="single" w:sz="4" w:space="0" w:color="auto"/>
            </w:tcBorders>
            <w:vAlign w:val="center"/>
            <w:hideMark/>
          </w:tcPr>
          <w:p w14:paraId="19C8FB6F" w14:textId="77777777" w:rsidR="00B87419" w:rsidRPr="003A1457" w:rsidRDefault="00B87419" w:rsidP="00B87419">
            <w:pPr>
              <w:jc w:val="center"/>
              <w:rPr>
                <w:sz w:val="22"/>
                <w:szCs w:val="22"/>
              </w:rPr>
            </w:pPr>
          </w:p>
        </w:tc>
      </w:tr>
      <w:tr w:rsidR="003A1457" w:rsidRPr="003A1457" w14:paraId="35AEEC88" w14:textId="77777777" w:rsidTr="00B87419">
        <w:trPr>
          <w:trHeight w:val="300"/>
        </w:trPr>
        <w:tc>
          <w:tcPr>
            <w:tcW w:w="704"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14:paraId="369B867B" w14:textId="77777777" w:rsidR="00B87419" w:rsidRPr="003A1457" w:rsidRDefault="00B87419" w:rsidP="00B87419">
            <w:pPr>
              <w:ind w:left="113" w:right="113"/>
              <w:jc w:val="center"/>
              <w:rPr>
                <w:sz w:val="22"/>
                <w:szCs w:val="22"/>
              </w:rPr>
            </w:pPr>
            <w:r w:rsidRPr="003A1457">
              <w:rPr>
                <w:sz w:val="22"/>
                <w:szCs w:val="22"/>
              </w:rPr>
              <w:t>III kategorija</w:t>
            </w:r>
          </w:p>
        </w:tc>
        <w:tc>
          <w:tcPr>
            <w:tcW w:w="1985" w:type="dxa"/>
            <w:vMerge w:val="restart"/>
            <w:tcBorders>
              <w:top w:val="nil"/>
              <w:left w:val="single" w:sz="4" w:space="0" w:color="auto"/>
              <w:bottom w:val="single" w:sz="4" w:space="0" w:color="000000"/>
              <w:right w:val="single" w:sz="4" w:space="0" w:color="auto"/>
            </w:tcBorders>
            <w:shd w:val="clear" w:color="auto" w:fill="auto"/>
            <w:vAlign w:val="center"/>
            <w:hideMark/>
          </w:tcPr>
          <w:p w14:paraId="0782DCD3" w14:textId="77777777" w:rsidR="00B87419" w:rsidRPr="003A1457" w:rsidRDefault="00B87419" w:rsidP="00B87419">
            <w:pPr>
              <w:jc w:val="center"/>
              <w:rPr>
                <w:sz w:val="22"/>
                <w:szCs w:val="22"/>
              </w:rPr>
            </w:pPr>
            <w:r w:rsidRPr="003A1457">
              <w:rPr>
                <w:sz w:val="22"/>
                <w:szCs w:val="22"/>
              </w:rPr>
              <w:t>autoosta, kas atrodas reģionālās nozīmes attīstības centrā, un citas autoostas, kas apkalpo vairāk nekā 10 000 reisu un vairāk nekā 10 000 pasažieru</w:t>
            </w:r>
          </w:p>
        </w:tc>
        <w:tc>
          <w:tcPr>
            <w:tcW w:w="4110" w:type="dxa"/>
            <w:tcBorders>
              <w:top w:val="nil"/>
              <w:left w:val="nil"/>
              <w:bottom w:val="single" w:sz="4" w:space="0" w:color="auto"/>
              <w:right w:val="single" w:sz="4" w:space="0" w:color="auto"/>
            </w:tcBorders>
            <w:shd w:val="clear" w:color="auto" w:fill="auto"/>
            <w:noWrap/>
            <w:vAlign w:val="center"/>
            <w:hideMark/>
          </w:tcPr>
          <w:p w14:paraId="425E50B6" w14:textId="77777777" w:rsidR="00B87419" w:rsidRPr="003A1457" w:rsidRDefault="00B87419" w:rsidP="00B87419">
            <w:pPr>
              <w:jc w:val="center"/>
              <w:rPr>
                <w:sz w:val="22"/>
                <w:szCs w:val="22"/>
              </w:rPr>
            </w:pPr>
            <w:r w:rsidRPr="003A1457">
              <w:rPr>
                <w:sz w:val="22"/>
                <w:szCs w:val="22"/>
              </w:rPr>
              <w:t>Platformu izmantošana un informācijas sniegšana</w:t>
            </w:r>
          </w:p>
        </w:tc>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74B2997" w14:textId="77777777" w:rsidR="00B87419" w:rsidRPr="003A1457" w:rsidRDefault="00B87419" w:rsidP="00B87419">
            <w:pPr>
              <w:jc w:val="center"/>
              <w:rPr>
                <w:sz w:val="22"/>
                <w:szCs w:val="22"/>
              </w:rPr>
            </w:pPr>
            <w:r w:rsidRPr="003A1457">
              <w:rPr>
                <w:sz w:val="22"/>
                <w:szCs w:val="22"/>
              </w:rPr>
              <w:t>17</w:t>
            </w:r>
          </w:p>
        </w:tc>
        <w:tc>
          <w:tcPr>
            <w:tcW w:w="11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98746AB" w14:textId="0C981EFC" w:rsidR="00B87419" w:rsidRPr="003A1457" w:rsidRDefault="00B87419" w:rsidP="00B87419">
            <w:pPr>
              <w:jc w:val="center"/>
              <w:rPr>
                <w:sz w:val="22"/>
                <w:szCs w:val="22"/>
              </w:rPr>
            </w:pPr>
            <w:r w:rsidRPr="003A1457">
              <w:rPr>
                <w:sz w:val="22"/>
                <w:szCs w:val="22"/>
              </w:rPr>
              <w:t>1 598 453</w:t>
            </w:r>
          </w:p>
        </w:tc>
      </w:tr>
      <w:tr w:rsidR="003A1457" w:rsidRPr="003A1457" w14:paraId="651F58C4" w14:textId="77777777" w:rsidTr="00B87419">
        <w:trPr>
          <w:trHeight w:val="300"/>
        </w:trPr>
        <w:tc>
          <w:tcPr>
            <w:tcW w:w="704" w:type="dxa"/>
            <w:vMerge/>
            <w:tcBorders>
              <w:top w:val="nil"/>
              <w:left w:val="single" w:sz="4" w:space="0" w:color="auto"/>
              <w:bottom w:val="single" w:sz="4" w:space="0" w:color="auto"/>
              <w:right w:val="single" w:sz="4" w:space="0" w:color="auto"/>
            </w:tcBorders>
            <w:textDirection w:val="btLr"/>
            <w:vAlign w:val="center"/>
            <w:hideMark/>
          </w:tcPr>
          <w:p w14:paraId="12B4F227" w14:textId="77777777" w:rsidR="00B87419" w:rsidRPr="003A1457" w:rsidRDefault="00B87419" w:rsidP="00B87419">
            <w:pPr>
              <w:ind w:left="113" w:right="113"/>
              <w:jc w:val="center"/>
              <w:rPr>
                <w:sz w:val="22"/>
                <w:szCs w:val="22"/>
              </w:rPr>
            </w:pPr>
          </w:p>
        </w:tc>
        <w:tc>
          <w:tcPr>
            <w:tcW w:w="1985" w:type="dxa"/>
            <w:vMerge/>
            <w:tcBorders>
              <w:top w:val="nil"/>
              <w:left w:val="single" w:sz="4" w:space="0" w:color="auto"/>
              <w:bottom w:val="single" w:sz="4" w:space="0" w:color="000000"/>
              <w:right w:val="single" w:sz="4" w:space="0" w:color="auto"/>
            </w:tcBorders>
            <w:vAlign w:val="center"/>
            <w:hideMark/>
          </w:tcPr>
          <w:p w14:paraId="42BA865A" w14:textId="77777777" w:rsidR="00B87419" w:rsidRPr="003A1457" w:rsidRDefault="00B87419" w:rsidP="00B87419">
            <w:pPr>
              <w:jc w:val="center"/>
              <w:rPr>
                <w:sz w:val="22"/>
                <w:szCs w:val="22"/>
              </w:rPr>
            </w:pPr>
          </w:p>
        </w:tc>
        <w:tc>
          <w:tcPr>
            <w:tcW w:w="4110" w:type="dxa"/>
            <w:tcBorders>
              <w:top w:val="nil"/>
              <w:left w:val="nil"/>
              <w:bottom w:val="single" w:sz="4" w:space="0" w:color="auto"/>
              <w:right w:val="single" w:sz="4" w:space="0" w:color="auto"/>
            </w:tcBorders>
            <w:shd w:val="clear" w:color="auto" w:fill="auto"/>
            <w:noWrap/>
            <w:vAlign w:val="center"/>
            <w:hideMark/>
          </w:tcPr>
          <w:p w14:paraId="08C10FC7" w14:textId="64749AB4" w:rsidR="00B87419" w:rsidRPr="003A1457" w:rsidRDefault="00B87419" w:rsidP="00B87419">
            <w:pPr>
              <w:jc w:val="center"/>
              <w:rPr>
                <w:sz w:val="22"/>
                <w:szCs w:val="22"/>
              </w:rPr>
            </w:pPr>
            <w:r w:rsidRPr="003A1457">
              <w:rPr>
                <w:sz w:val="22"/>
                <w:szCs w:val="22"/>
              </w:rPr>
              <w:t>Iespēja iegādāties braukšanas biļeti</w:t>
            </w:r>
          </w:p>
        </w:tc>
        <w:tc>
          <w:tcPr>
            <w:tcW w:w="993" w:type="dxa"/>
            <w:vMerge/>
            <w:tcBorders>
              <w:top w:val="nil"/>
              <w:left w:val="single" w:sz="4" w:space="0" w:color="auto"/>
              <w:bottom w:val="single" w:sz="4" w:space="0" w:color="auto"/>
              <w:right w:val="single" w:sz="4" w:space="0" w:color="auto"/>
            </w:tcBorders>
            <w:vAlign w:val="center"/>
            <w:hideMark/>
          </w:tcPr>
          <w:p w14:paraId="7186FA0A" w14:textId="77777777" w:rsidR="00B87419" w:rsidRPr="003A1457" w:rsidRDefault="00B87419" w:rsidP="00B87419">
            <w:pPr>
              <w:jc w:val="center"/>
              <w:rPr>
                <w:sz w:val="22"/>
                <w:szCs w:val="22"/>
              </w:rPr>
            </w:pPr>
          </w:p>
        </w:tc>
        <w:tc>
          <w:tcPr>
            <w:tcW w:w="1134" w:type="dxa"/>
            <w:vMerge/>
            <w:tcBorders>
              <w:top w:val="nil"/>
              <w:left w:val="single" w:sz="4" w:space="0" w:color="auto"/>
              <w:bottom w:val="single" w:sz="4" w:space="0" w:color="000000"/>
              <w:right w:val="single" w:sz="4" w:space="0" w:color="auto"/>
            </w:tcBorders>
            <w:vAlign w:val="center"/>
            <w:hideMark/>
          </w:tcPr>
          <w:p w14:paraId="62334D0A" w14:textId="77777777" w:rsidR="00B87419" w:rsidRPr="003A1457" w:rsidRDefault="00B87419" w:rsidP="00B87419">
            <w:pPr>
              <w:jc w:val="center"/>
              <w:rPr>
                <w:sz w:val="22"/>
                <w:szCs w:val="22"/>
              </w:rPr>
            </w:pPr>
          </w:p>
        </w:tc>
      </w:tr>
      <w:tr w:rsidR="003A1457" w:rsidRPr="003A1457" w14:paraId="18234423" w14:textId="77777777" w:rsidTr="00B87419">
        <w:trPr>
          <w:trHeight w:val="330"/>
        </w:trPr>
        <w:tc>
          <w:tcPr>
            <w:tcW w:w="704" w:type="dxa"/>
            <w:vMerge/>
            <w:tcBorders>
              <w:top w:val="nil"/>
              <w:left w:val="single" w:sz="4" w:space="0" w:color="auto"/>
              <w:bottom w:val="single" w:sz="4" w:space="0" w:color="auto"/>
              <w:right w:val="single" w:sz="4" w:space="0" w:color="auto"/>
            </w:tcBorders>
            <w:textDirection w:val="btLr"/>
            <w:vAlign w:val="center"/>
            <w:hideMark/>
          </w:tcPr>
          <w:p w14:paraId="7E9D32C3" w14:textId="77777777" w:rsidR="00B87419" w:rsidRPr="003A1457" w:rsidRDefault="00B87419" w:rsidP="00B87419">
            <w:pPr>
              <w:ind w:left="113" w:right="113"/>
              <w:jc w:val="center"/>
              <w:rPr>
                <w:sz w:val="22"/>
                <w:szCs w:val="22"/>
              </w:rPr>
            </w:pPr>
          </w:p>
        </w:tc>
        <w:tc>
          <w:tcPr>
            <w:tcW w:w="1985" w:type="dxa"/>
            <w:vMerge/>
            <w:tcBorders>
              <w:top w:val="nil"/>
              <w:left w:val="single" w:sz="4" w:space="0" w:color="auto"/>
              <w:bottom w:val="single" w:sz="4" w:space="0" w:color="000000"/>
              <w:right w:val="single" w:sz="4" w:space="0" w:color="auto"/>
            </w:tcBorders>
            <w:vAlign w:val="center"/>
            <w:hideMark/>
          </w:tcPr>
          <w:p w14:paraId="6FB161B1" w14:textId="77777777" w:rsidR="00B87419" w:rsidRPr="003A1457" w:rsidRDefault="00B87419" w:rsidP="00B87419">
            <w:pPr>
              <w:jc w:val="center"/>
              <w:rPr>
                <w:sz w:val="22"/>
                <w:szCs w:val="22"/>
              </w:rPr>
            </w:pPr>
          </w:p>
        </w:tc>
        <w:tc>
          <w:tcPr>
            <w:tcW w:w="4110" w:type="dxa"/>
            <w:tcBorders>
              <w:top w:val="nil"/>
              <w:left w:val="nil"/>
              <w:bottom w:val="single" w:sz="4" w:space="0" w:color="auto"/>
              <w:right w:val="single" w:sz="4" w:space="0" w:color="auto"/>
            </w:tcBorders>
            <w:shd w:val="clear" w:color="auto" w:fill="auto"/>
            <w:noWrap/>
            <w:vAlign w:val="center"/>
            <w:hideMark/>
          </w:tcPr>
          <w:p w14:paraId="02FDB113" w14:textId="77777777" w:rsidR="00B87419" w:rsidRPr="003A1457" w:rsidRDefault="00B87419" w:rsidP="00B87419">
            <w:pPr>
              <w:jc w:val="center"/>
              <w:rPr>
                <w:sz w:val="22"/>
                <w:szCs w:val="22"/>
              </w:rPr>
            </w:pPr>
            <w:r w:rsidRPr="003A1457">
              <w:rPr>
                <w:sz w:val="22"/>
                <w:szCs w:val="22"/>
              </w:rPr>
              <w:t>Iespēja apmeklēt labiekārtotu tualeti un vietu bērna aprūpei</w:t>
            </w:r>
          </w:p>
        </w:tc>
        <w:tc>
          <w:tcPr>
            <w:tcW w:w="993" w:type="dxa"/>
            <w:vMerge/>
            <w:tcBorders>
              <w:top w:val="nil"/>
              <w:left w:val="single" w:sz="4" w:space="0" w:color="auto"/>
              <w:bottom w:val="single" w:sz="4" w:space="0" w:color="auto"/>
              <w:right w:val="single" w:sz="4" w:space="0" w:color="auto"/>
            </w:tcBorders>
            <w:vAlign w:val="center"/>
            <w:hideMark/>
          </w:tcPr>
          <w:p w14:paraId="597EDD6C" w14:textId="77777777" w:rsidR="00B87419" w:rsidRPr="003A1457" w:rsidRDefault="00B87419" w:rsidP="00B87419">
            <w:pPr>
              <w:jc w:val="center"/>
              <w:rPr>
                <w:sz w:val="22"/>
                <w:szCs w:val="22"/>
              </w:rPr>
            </w:pPr>
          </w:p>
        </w:tc>
        <w:tc>
          <w:tcPr>
            <w:tcW w:w="1134" w:type="dxa"/>
            <w:vMerge/>
            <w:tcBorders>
              <w:top w:val="nil"/>
              <w:left w:val="single" w:sz="4" w:space="0" w:color="auto"/>
              <w:bottom w:val="single" w:sz="4" w:space="0" w:color="000000"/>
              <w:right w:val="single" w:sz="4" w:space="0" w:color="auto"/>
            </w:tcBorders>
            <w:vAlign w:val="center"/>
            <w:hideMark/>
          </w:tcPr>
          <w:p w14:paraId="730168ED" w14:textId="77777777" w:rsidR="00B87419" w:rsidRPr="003A1457" w:rsidRDefault="00B87419" w:rsidP="00B87419">
            <w:pPr>
              <w:jc w:val="center"/>
              <w:rPr>
                <w:sz w:val="22"/>
                <w:szCs w:val="22"/>
              </w:rPr>
            </w:pPr>
          </w:p>
        </w:tc>
      </w:tr>
      <w:tr w:rsidR="003A1457" w:rsidRPr="003A1457" w14:paraId="5E3BC0BE" w14:textId="77777777" w:rsidTr="00B87419">
        <w:trPr>
          <w:trHeight w:val="285"/>
        </w:trPr>
        <w:tc>
          <w:tcPr>
            <w:tcW w:w="704" w:type="dxa"/>
            <w:vMerge/>
            <w:tcBorders>
              <w:top w:val="nil"/>
              <w:left w:val="single" w:sz="4" w:space="0" w:color="auto"/>
              <w:bottom w:val="single" w:sz="4" w:space="0" w:color="auto"/>
              <w:right w:val="single" w:sz="4" w:space="0" w:color="auto"/>
            </w:tcBorders>
            <w:textDirection w:val="btLr"/>
            <w:vAlign w:val="center"/>
            <w:hideMark/>
          </w:tcPr>
          <w:p w14:paraId="1BF9A5E5" w14:textId="77777777" w:rsidR="00B87419" w:rsidRPr="003A1457" w:rsidRDefault="00B87419" w:rsidP="00B87419">
            <w:pPr>
              <w:ind w:left="113" w:right="113"/>
              <w:jc w:val="center"/>
              <w:rPr>
                <w:sz w:val="22"/>
                <w:szCs w:val="22"/>
              </w:rPr>
            </w:pPr>
          </w:p>
        </w:tc>
        <w:tc>
          <w:tcPr>
            <w:tcW w:w="1985" w:type="dxa"/>
            <w:vMerge/>
            <w:tcBorders>
              <w:top w:val="nil"/>
              <w:left w:val="single" w:sz="4" w:space="0" w:color="auto"/>
              <w:bottom w:val="single" w:sz="4" w:space="0" w:color="000000"/>
              <w:right w:val="single" w:sz="4" w:space="0" w:color="auto"/>
            </w:tcBorders>
            <w:vAlign w:val="center"/>
            <w:hideMark/>
          </w:tcPr>
          <w:p w14:paraId="535DF7FD" w14:textId="77777777" w:rsidR="00B87419" w:rsidRPr="003A1457" w:rsidRDefault="00B87419" w:rsidP="00B87419">
            <w:pPr>
              <w:jc w:val="center"/>
              <w:rPr>
                <w:sz w:val="22"/>
                <w:szCs w:val="22"/>
              </w:rPr>
            </w:pPr>
          </w:p>
        </w:tc>
        <w:tc>
          <w:tcPr>
            <w:tcW w:w="4110" w:type="dxa"/>
            <w:tcBorders>
              <w:top w:val="nil"/>
              <w:left w:val="nil"/>
              <w:bottom w:val="single" w:sz="4" w:space="0" w:color="auto"/>
              <w:right w:val="single" w:sz="4" w:space="0" w:color="auto"/>
            </w:tcBorders>
            <w:shd w:val="clear" w:color="auto" w:fill="auto"/>
            <w:noWrap/>
            <w:vAlign w:val="center"/>
            <w:hideMark/>
          </w:tcPr>
          <w:p w14:paraId="56FF8EC8" w14:textId="77777777" w:rsidR="00B87419" w:rsidRPr="003A1457" w:rsidRDefault="00B87419" w:rsidP="00B87419">
            <w:pPr>
              <w:jc w:val="center"/>
              <w:rPr>
                <w:sz w:val="22"/>
                <w:szCs w:val="22"/>
              </w:rPr>
            </w:pPr>
            <w:r w:rsidRPr="003A1457">
              <w:rPr>
                <w:sz w:val="22"/>
                <w:szCs w:val="22"/>
              </w:rPr>
              <w:t>Uzgaidāmās telpas</w:t>
            </w:r>
          </w:p>
        </w:tc>
        <w:tc>
          <w:tcPr>
            <w:tcW w:w="993" w:type="dxa"/>
            <w:vMerge/>
            <w:tcBorders>
              <w:top w:val="nil"/>
              <w:left w:val="single" w:sz="4" w:space="0" w:color="auto"/>
              <w:bottom w:val="single" w:sz="4" w:space="0" w:color="auto"/>
              <w:right w:val="single" w:sz="4" w:space="0" w:color="auto"/>
            </w:tcBorders>
            <w:vAlign w:val="center"/>
            <w:hideMark/>
          </w:tcPr>
          <w:p w14:paraId="251581C0" w14:textId="77777777" w:rsidR="00B87419" w:rsidRPr="003A1457" w:rsidRDefault="00B87419" w:rsidP="00B87419">
            <w:pPr>
              <w:jc w:val="center"/>
              <w:rPr>
                <w:sz w:val="22"/>
                <w:szCs w:val="22"/>
              </w:rPr>
            </w:pPr>
          </w:p>
        </w:tc>
        <w:tc>
          <w:tcPr>
            <w:tcW w:w="1134" w:type="dxa"/>
            <w:vMerge/>
            <w:tcBorders>
              <w:top w:val="nil"/>
              <w:left w:val="single" w:sz="4" w:space="0" w:color="auto"/>
              <w:bottom w:val="single" w:sz="4" w:space="0" w:color="000000"/>
              <w:right w:val="single" w:sz="4" w:space="0" w:color="auto"/>
            </w:tcBorders>
            <w:vAlign w:val="center"/>
            <w:hideMark/>
          </w:tcPr>
          <w:p w14:paraId="451F563A" w14:textId="77777777" w:rsidR="00B87419" w:rsidRPr="003A1457" w:rsidRDefault="00B87419" w:rsidP="00B87419">
            <w:pPr>
              <w:jc w:val="center"/>
              <w:rPr>
                <w:sz w:val="22"/>
                <w:szCs w:val="22"/>
              </w:rPr>
            </w:pPr>
          </w:p>
        </w:tc>
      </w:tr>
      <w:tr w:rsidR="00B87419" w:rsidRPr="003A1457" w14:paraId="06676FEE" w14:textId="77777777" w:rsidTr="00B87419">
        <w:trPr>
          <w:cantSplit/>
          <w:trHeight w:val="1134"/>
        </w:trPr>
        <w:tc>
          <w:tcPr>
            <w:tcW w:w="704" w:type="dxa"/>
            <w:tcBorders>
              <w:top w:val="nil"/>
              <w:left w:val="single" w:sz="4" w:space="0" w:color="auto"/>
              <w:bottom w:val="single" w:sz="4" w:space="0" w:color="auto"/>
              <w:right w:val="single" w:sz="4" w:space="0" w:color="auto"/>
            </w:tcBorders>
            <w:shd w:val="clear" w:color="auto" w:fill="auto"/>
            <w:noWrap/>
            <w:textDirection w:val="btLr"/>
            <w:vAlign w:val="center"/>
            <w:hideMark/>
          </w:tcPr>
          <w:p w14:paraId="355E126A" w14:textId="77777777" w:rsidR="00B87419" w:rsidRPr="003A1457" w:rsidRDefault="00B87419" w:rsidP="00B87419">
            <w:pPr>
              <w:ind w:left="113" w:right="113"/>
              <w:jc w:val="center"/>
              <w:rPr>
                <w:sz w:val="22"/>
                <w:szCs w:val="22"/>
              </w:rPr>
            </w:pPr>
            <w:r w:rsidRPr="003A1457">
              <w:rPr>
                <w:sz w:val="22"/>
                <w:szCs w:val="22"/>
              </w:rPr>
              <w:t>IV kategorija</w:t>
            </w:r>
          </w:p>
        </w:tc>
        <w:tc>
          <w:tcPr>
            <w:tcW w:w="1985" w:type="dxa"/>
            <w:tcBorders>
              <w:top w:val="nil"/>
              <w:left w:val="nil"/>
              <w:bottom w:val="single" w:sz="4" w:space="0" w:color="auto"/>
              <w:right w:val="single" w:sz="4" w:space="0" w:color="auto"/>
            </w:tcBorders>
            <w:shd w:val="clear" w:color="auto" w:fill="auto"/>
            <w:noWrap/>
            <w:vAlign w:val="center"/>
            <w:hideMark/>
          </w:tcPr>
          <w:p w14:paraId="74F53ABB" w14:textId="685FD1F7" w:rsidR="00B87419" w:rsidRPr="003A1457" w:rsidRDefault="00B87419" w:rsidP="00B87419">
            <w:pPr>
              <w:jc w:val="center"/>
              <w:rPr>
                <w:sz w:val="22"/>
                <w:szCs w:val="22"/>
              </w:rPr>
            </w:pPr>
          </w:p>
        </w:tc>
        <w:tc>
          <w:tcPr>
            <w:tcW w:w="4110" w:type="dxa"/>
            <w:tcBorders>
              <w:top w:val="nil"/>
              <w:left w:val="nil"/>
              <w:bottom w:val="single" w:sz="4" w:space="0" w:color="auto"/>
              <w:right w:val="single" w:sz="4" w:space="0" w:color="auto"/>
            </w:tcBorders>
            <w:shd w:val="clear" w:color="auto" w:fill="auto"/>
            <w:noWrap/>
            <w:vAlign w:val="center"/>
            <w:hideMark/>
          </w:tcPr>
          <w:p w14:paraId="7EDB0A0C" w14:textId="77777777" w:rsidR="00B87419" w:rsidRPr="003A1457" w:rsidRDefault="00B87419" w:rsidP="00B87419">
            <w:pPr>
              <w:jc w:val="center"/>
              <w:rPr>
                <w:sz w:val="22"/>
                <w:szCs w:val="22"/>
              </w:rPr>
            </w:pPr>
            <w:r w:rsidRPr="003A1457">
              <w:rPr>
                <w:sz w:val="22"/>
                <w:szCs w:val="22"/>
              </w:rPr>
              <w:t>Platformu izmantošana un informācijas sniegšana</w:t>
            </w:r>
          </w:p>
        </w:tc>
        <w:tc>
          <w:tcPr>
            <w:tcW w:w="993" w:type="dxa"/>
            <w:tcBorders>
              <w:top w:val="nil"/>
              <w:left w:val="nil"/>
              <w:bottom w:val="single" w:sz="4" w:space="0" w:color="auto"/>
              <w:right w:val="single" w:sz="4" w:space="0" w:color="auto"/>
            </w:tcBorders>
            <w:shd w:val="clear" w:color="auto" w:fill="auto"/>
            <w:noWrap/>
            <w:vAlign w:val="center"/>
            <w:hideMark/>
          </w:tcPr>
          <w:p w14:paraId="341D60C7" w14:textId="77777777" w:rsidR="00B87419" w:rsidRPr="003A1457" w:rsidRDefault="00B87419" w:rsidP="00B87419">
            <w:pPr>
              <w:jc w:val="center"/>
              <w:rPr>
                <w:sz w:val="22"/>
                <w:szCs w:val="22"/>
              </w:rPr>
            </w:pPr>
            <w:r w:rsidRPr="003A1457">
              <w:rPr>
                <w:sz w:val="22"/>
                <w:szCs w:val="22"/>
              </w:rPr>
              <w:t>5</w:t>
            </w:r>
          </w:p>
        </w:tc>
        <w:tc>
          <w:tcPr>
            <w:tcW w:w="1134" w:type="dxa"/>
            <w:tcBorders>
              <w:top w:val="nil"/>
              <w:left w:val="nil"/>
              <w:bottom w:val="single" w:sz="4" w:space="0" w:color="auto"/>
              <w:right w:val="single" w:sz="4" w:space="0" w:color="auto"/>
            </w:tcBorders>
            <w:shd w:val="clear" w:color="auto" w:fill="auto"/>
            <w:noWrap/>
            <w:vAlign w:val="center"/>
            <w:hideMark/>
          </w:tcPr>
          <w:p w14:paraId="661673DA" w14:textId="12BBBFF2" w:rsidR="00B87419" w:rsidRPr="003A1457" w:rsidRDefault="00B87419" w:rsidP="00B87419">
            <w:pPr>
              <w:jc w:val="center"/>
              <w:rPr>
                <w:sz w:val="22"/>
                <w:szCs w:val="22"/>
              </w:rPr>
            </w:pPr>
            <w:r w:rsidRPr="003A1457">
              <w:rPr>
                <w:sz w:val="22"/>
                <w:szCs w:val="22"/>
              </w:rPr>
              <w:t>129 408</w:t>
            </w:r>
          </w:p>
        </w:tc>
      </w:tr>
    </w:tbl>
    <w:p w14:paraId="66AF74F1" w14:textId="423B49E8" w:rsidR="006108CA" w:rsidRPr="003A1457" w:rsidRDefault="006108CA" w:rsidP="006108CA">
      <w:pPr>
        <w:jc w:val="both"/>
        <w:rPr>
          <w:sz w:val="28"/>
          <w:szCs w:val="28"/>
        </w:rPr>
      </w:pPr>
    </w:p>
    <w:p w14:paraId="778F1388" w14:textId="3D17F130" w:rsidR="00E9069B" w:rsidRPr="003A1457" w:rsidRDefault="00E9069B" w:rsidP="006108CA">
      <w:pPr>
        <w:jc w:val="both"/>
        <w:rPr>
          <w:sz w:val="26"/>
          <w:szCs w:val="26"/>
        </w:rPr>
      </w:pPr>
      <w:r w:rsidRPr="003A1457">
        <w:rPr>
          <w:sz w:val="26"/>
          <w:szCs w:val="26"/>
        </w:rPr>
        <w:tab/>
        <w:t>Atbilstoši veiktajiem autoostu apsekojumiem</w:t>
      </w:r>
      <w:r w:rsidR="002B7951" w:rsidRPr="003A1457">
        <w:rPr>
          <w:sz w:val="26"/>
          <w:szCs w:val="26"/>
        </w:rPr>
        <w:t>, ko regulāri veic Autotransporta direkcija,</w:t>
      </w:r>
      <w:r w:rsidRPr="003A1457">
        <w:rPr>
          <w:sz w:val="26"/>
          <w:szCs w:val="26"/>
        </w:rPr>
        <w:t xml:space="preserve"> un obligāti sniegto pakalpojumu apjoma izvērtējumam</w:t>
      </w:r>
      <w:r w:rsidR="002B7951" w:rsidRPr="003A1457">
        <w:rPr>
          <w:sz w:val="26"/>
          <w:szCs w:val="26"/>
        </w:rPr>
        <w:t>, ir secināms, ka III kategorijas autoostas gadā apkalpo vidēji 18 900 reisus, bet IV kategorijas autoostas – vidēji 8 600 reisus. Kas nozīmē, ka III kategorijas gadījumā tie ir 52 reisi dienā, bet IV kategorijas gadījumā tie nepārsniedz 23 reisus dienā</w:t>
      </w:r>
      <w:r w:rsidR="00BA60C6" w:rsidRPr="003A1457">
        <w:rPr>
          <w:sz w:val="26"/>
          <w:szCs w:val="26"/>
        </w:rPr>
        <w:t>, savukārt pasažieru apgrozība neveido vairāk kā vienu pasažieri uz vienu reisu.</w:t>
      </w:r>
    </w:p>
    <w:p w14:paraId="2EABE548" w14:textId="7237EDFF" w:rsidR="0017297B" w:rsidRDefault="00BA60C6" w:rsidP="00AE1882">
      <w:pPr>
        <w:pStyle w:val="ListParagraph"/>
        <w:ind w:left="0" w:firstLine="709"/>
        <w:jc w:val="both"/>
        <w:rPr>
          <w:sz w:val="26"/>
          <w:szCs w:val="26"/>
        </w:rPr>
      </w:pPr>
      <w:r w:rsidRPr="003A1457">
        <w:rPr>
          <w:sz w:val="26"/>
          <w:szCs w:val="26"/>
        </w:rPr>
        <w:tab/>
      </w:r>
      <w:r w:rsidR="00B67CB8" w:rsidRPr="003A1457">
        <w:rPr>
          <w:sz w:val="26"/>
          <w:szCs w:val="26"/>
        </w:rPr>
        <w:t xml:space="preserve">. </w:t>
      </w:r>
    </w:p>
    <w:p w14:paraId="6D6F6823" w14:textId="7958E89F" w:rsidR="00B67CB8" w:rsidRPr="003A1457" w:rsidRDefault="00B67CB8" w:rsidP="00AE1882">
      <w:pPr>
        <w:pStyle w:val="ListParagraph"/>
        <w:ind w:left="0" w:firstLine="709"/>
        <w:jc w:val="both"/>
        <w:rPr>
          <w:sz w:val="26"/>
          <w:szCs w:val="26"/>
        </w:rPr>
      </w:pPr>
      <w:r w:rsidRPr="003A1457">
        <w:rPr>
          <w:sz w:val="26"/>
          <w:szCs w:val="26"/>
        </w:rPr>
        <w:t xml:space="preserve">Jāatzīmē, ka, analizējot atsevišķu autoostu atrašanās vietas un citu infrastruktūras objektu pieejamību līdztekus autoostām (piemēram, autoostas tuvumā ir dzelzceļa </w:t>
      </w:r>
      <w:r w:rsidRPr="003A1457">
        <w:rPr>
          <w:sz w:val="26"/>
          <w:szCs w:val="26"/>
        </w:rPr>
        <w:lastRenderedPageBreak/>
        <w:t>stacijas, tirdzniecības centri</w:t>
      </w:r>
      <w:r w:rsidR="00E31D9B">
        <w:rPr>
          <w:sz w:val="26"/>
          <w:szCs w:val="26"/>
        </w:rPr>
        <w:t>,</w:t>
      </w:r>
      <w:r w:rsidRPr="003A1457">
        <w:rPr>
          <w:sz w:val="26"/>
          <w:szCs w:val="26"/>
        </w:rPr>
        <w:t xml:space="preserve"> utt.),</w:t>
      </w:r>
      <w:r w:rsidR="00E31D9B">
        <w:rPr>
          <w:sz w:val="26"/>
          <w:szCs w:val="26"/>
        </w:rPr>
        <w:t xml:space="preserve"> kā arī biļešu tirdzniecības attīstība internetā,</w:t>
      </w:r>
      <w:r w:rsidRPr="003A1457">
        <w:rPr>
          <w:sz w:val="26"/>
          <w:szCs w:val="26"/>
        </w:rPr>
        <w:t xml:space="preserve"> mazin</w:t>
      </w:r>
      <w:r w:rsidR="00E31D9B">
        <w:rPr>
          <w:sz w:val="26"/>
          <w:szCs w:val="26"/>
        </w:rPr>
        <w:t>a</w:t>
      </w:r>
      <w:r w:rsidRPr="003A1457">
        <w:rPr>
          <w:sz w:val="26"/>
          <w:szCs w:val="26"/>
        </w:rPr>
        <w:t xml:space="preserve"> </w:t>
      </w:r>
      <w:r w:rsidR="00E31D9B">
        <w:rPr>
          <w:sz w:val="26"/>
          <w:szCs w:val="26"/>
        </w:rPr>
        <w:t>nepieciešamību</w:t>
      </w:r>
      <w:r w:rsidRPr="003A1457">
        <w:rPr>
          <w:sz w:val="26"/>
          <w:szCs w:val="26"/>
        </w:rPr>
        <w:t xml:space="preserve"> pēc </w:t>
      </w:r>
      <w:r w:rsidR="00E31D9B">
        <w:rPr>
          <w:sz w:val="26"/>
          <w:szCs w:val="26"/>
        </w:rPr>
        <w:t xml:space="preserve">autoostās esošām </w:t>
      </w:r>
      <w:r w:rsidRPr="003A1457">
        <w:rPr>
          <w:sz w:val="26"/>
          <w:szCs w:val="26"/>
        </w:rPr>
        <w:t xml:space="preserve">uzgaidāmajām telpām, biļešu </w:t>
      </w:r>
      <w:r w:rsidR="00E31D9B">
        <w:rPr>
          <w:sz w:val="26"/>
          <w:szCs w:val="26"/>
        </w:rPr>
        <w:t>tirdzniecības tieši autoostās,</w:t>
      </w:r>
      <w:r w:rsidRPr="003A1457">
        <w:rPr>
          <w:sz w:val="26"/>
          <w:szCs w:val="26"/>
        </w:rPr>
        <w:t xml:space="preserve"> u.c. pakalpojumiem. Līdz ar to kā viens no valsts budžeta izdevumu mazinošiem pasākumiem</w:t>
      </w:r>
      <w:r w:rsidR="00AE1882">
        <w:rPr>
          <w:sz w:val="26"/>
          <w:szCs w:val="26"/>
        </w:rPr>
        <w:t xml:space="preserve">, kas potenciāli veidotu valsts budžeta izdevumu samazinājumu 1,73 milj. EUR apmērā, </w:t>
      </w:r>
      <w:r w:rsidRPr="003A1457">
        <w:rPr>
          <w:sz w:val="26"/>
          <w:szCs w:val="26"/>
        </w:rPr>
        <w:t>būtu vērtējams:</w:t>
      </w:r>
    </w:p>
    <w:p w14:paraId="40BF6321" w14:textId="0FBE7E75" w:rsidR="00BA60C6" w:rsidRPr="003A1457" w:rsidRDefault="00B67CB8" w:rsidP="00B67CB8">
      <w:pPr>
        <w:pStyle w:val="ListParagraph"/>
        <w:numPr>
          <w:ilvl w:val="0"/>
          <w:numId w:val="38"/>
        </w:numPr>
        <w:ind w:left="0" w:firstLine="709"/>
        <w:jc w:val="both"/>
        <w:rPr>
          <w:sz w:val="26"/>
          <w:szCs w:val="26"/>
        </w:rPr>
      </w:pPr>
      <w:r w:rsidRPr="003A1457">
        <w:rPr>
          <w:sz w:val="26"/>
          <w:szCs w:val="26"/>
        </w:rPr>
        <w:t>autoostu skaits un to nepieciešamība atsevišķās teritorijās vai vietās, kur pasažieru apgrozījums ir ļoti zems</w:t>
      </w:r>
      <w:r w:rsidR="003A1457" w:rsidRPr="003A1457">
        <w:rPr>
          <w:sz w:val="26"/>
          <w:szCs w:val="26"/>
        </w:rPr>
        <w:t>, prot</w:t>
      </w:r>
      <w:r w:rsidR="00AE1882">
        <w:rPr>
          <w:sz w:val="26"/>
          <w:szCs w:val="26"/>
        </w:rPr>
        <w:t>i</w:t>
      </w:r>
      <w:r w:rsidR="003A1457" w:rsidRPr="003A1457">
        <w:rPr>
          <w:sz w:val="26"/>
          <w:szCs w:val="26"/>
        </w:rPr>
        <w:t>, saglabājot autoostas un to sniegtos pakalpojumus tikai valstspilsētās</w:t>
      </w:r>
      <w:r w:rsidR="00AE1882">
        <w:rPr>
          <w:sz w:val="26"/>
          <w:szCs w:val="26"/>
        </w:rPr>
        <w:t xml:space="preserve"> un novadu pilsētās, kur pasažieru apgrozība ir liela un apkalpoto reisu skaits pārsniedz 30 000</w:t>
      </w:r>
      <w:r w:rsidRPr="003A1457">
        <w:rPr>
          <w:sz w:val="26"/>
          <w:szCs w:val="26"/>
        </w:rPr>
        <w:t xml:space="preserve">; </w:t>
      </w:r>
    </w:p>
    <w:p w14:paraId="3A1462E8" w14:textId="197D3CE9" w:rsidR="00AE1882" w:rsidRPr="00AE1882" w:rsidRDefault="00B67CB8" w:rsidP="00AE1882">
      <w:pPr>
        <w:pStyle w:val="ListParagraph"/>
        <w:numPr>
          <w:ilvl w:val="0"/>
          <w:numId w:val="38"/>
        </w:numPr>
        <w:ind w:left="0" w:firstLine="709"/>
        <w:jc w:val="both"/>
        <w:rPr>
          <w:sz w:val="26"/>
          <w:szCs w:val="26"/>
        </w:rPr>
      </w:pPr>
      <w:r w:rsidRPr="003A1457">
        <w:rPr>
          <w:sz w:val="26"/>
          <w:szCs w:val="26"/>
        </w:rPr>
        <w:t>mobilitātes punktu izveides gadījumā, potenciāli autoostu pārveide par maršrutu apkalpes vietām (pieturvietām), kur būtu piesaistāms arī pašvaldības līdzfinansējums</w:t>
      </w:r>
      <w:r w:rsidR="00AE1882">
        <w:rPr>
          <w:sz w:val="26"/>
          <w:szCs w:val="26"/>
        </w:rPr>
        <w:t>.</w:t>
      </w:r>
    </w:p>
    <w:p w14:paraId="5CBCBCD0" w14:textId="63A568E3" w:rsidR="00AE1882" w:rsidRDefault="00AE1882">
      <w:pPr>
        <w:pStyle w:val="ListParagraph"/>
        <w:ind w:left="709"/>
        <w:jc w:val="both"/>
        <w:rPr>
          <w:sz w:val="26"/>
          <w:szCs w:val="26"/>
        </w:rPr>
      </w:pPr>
    </w:p>
    <w:p w14:paraId="5BB5AA80" w14:textId="55ADEB97" w:rsidR="00B15518" w:rsidRPr="00F351DC" w:rsidRDefault="000B15A2" w:rsidP="0038438D">
      <w:pPr>
        <w:pStyle w:val="ListParagraph"/>
        <w:ind w:left="0" w:firstLine="709"/>
        <w:jc w:val="both"/>
        <w:rPr>
          <w:b/>
          <w:bCs/>
          <w:sz w:val="26"/>
          <w:szCs w:val="26"/>
        </w:rPr>
      </w:pPr>
      <w:r w:rsidRPr="00F351DC">
        <w:rPr>
          <w:b/>
          <w:bCs/>
          <w:sz w:val="26"/>
          <w:szCs w:val="26"/>
        </w:rPr>
        <w:t xml:space="preserve">2.nodaļas kopsavilkums par valsts budžeta izdevumu </w:t>
      </w:r>
      <w:r w:rsidR="008B2DBC" w:rsidRPr="00F351DC">
        <w:rPr>
          <w:b/>
          <w:bCs/>
          <w:sz w:val="26"/>
          <w:szCs w:val="26"/>
        </w:rPr>
        <w:t xml:space="preserve">– zaudējumu kompensācijas – </w:t>
      </w:r>
      <w:r w:rsidRPr="00F351DC">
        <w:rPr>
          <w:b/>
          <w:bCs/>
          <w:sz w:val="26"/>
          <w:szCs w:val="26"/>
        </w:rPr>
        <w:t>mazinošiem pasākumiem un to finansiālais novērtējums</w:t>
      </w:r>
      <w:r w:rsidR="00FC6270">
        <w:rPr>
          <w:b/>
          <w:bCs/>
          <w:sz w:val="26"/>
          <w:szCs w:val="26"/>
        </w:rPr>
        <w:t xml:space="preserve"> 2023.gadam un vidējam termiņam.</w:t>
      </w:r>
    </w:p>
    <w:p w14:paraId="055ECE94" w14:textId="512E27CD" w:rsidR="0038438D" w:rsidRPr="003A1457" w:rsidRDefault="0038438D" w:rsidP="0038438D">
      <w:pPr>
        <w:jc w:val="right"/>
      </w:pPr>
      <w:r w:rsidRPr="003A1457">
        <w:t>Tabula Nr.1</w:t>
      </w:r>
      <w:r w:rsidR="005E495A">
        <w:t>2</w:t>
      </w:r>
    </w:p>
    <w:p w14:paraId="3313C4F7" w14:textId="77777777" w:rsidR="0038438D" w:rsidRDefault="0038438D" w:rsidP="0038438D">
      <w:pPr>
        <w:jc w:val="right"/>
      </w:pPr>
      <w:r>
        <w:t xml:space="preserve">Valsts budžeta izdevumu mazinošie </w:t>
      </w:r>
    </w:p>
    <w:p w14:paraId="0A26A8CA" w14:textId="5738A4B6" w:rsidR="0038438D" w:rsidRPr="003A1457" w:rsidRDefault="0038438D" w:rsidP="0038438D">
      <w:pPr>
        <w:jc w:val="right"/>
      </w:pPr>
      <w:r>
        <w:t>pasākumi un to finansiālais novērtējums</w:t>
      </w:r>
    </w:p>
    <w:p w14:paraId="1843D5B8" w14:textId="3ADB5537" w:rsidR="00B15518" w:rsidRDefault="00B15518">
      <w:pPr>
        <w:pStyle w:val="ListParagraph"/>
        <w:ind w:left="709"/>
        <w:jc w:val="both"/>
        <w:rPr>
          <w:sz w:val="26"/>
          <w:szCs w:val="26"/>
        </w:rPr>
      </w:pPr>
    </w:p>
    <w:tbl>
      <w:tblPr>
        <w:tblW w:w="9067" w:type="dxa"/>
        <w:tblLook w:val="04A0" w:firstRow="1" w:lastRow="0" w:firstColumn="1" w:lastColumn="0" w:noHBand="0" w:noVBand="1"/>
      </w:tblPr>
      <w:tblGrid>
        <w:gridCol w:w="5949"/>
        <w:gridCol w:w="1417"/>
        <w:gridCol w:w="1701"/>
      </w:tblGrid>
      <w:tr w:rsidR="001D6EDC" w:rsidRPr="0038438D" w14:paraId="37D68573" w14:textId="77777777" w:rsidTr="00F351DC">
        <w:trPr>
          <w:trHeight w:val="1221"/>
        </w:trPr>
        <w:tc>
          <w:tcPr>
            <w:tcW w:w="59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C0D1C8" w14:textId="77777777" w:rsidR="001D6EDC" w:rsidRPr="0038438D" w:rsidRDefault="001D6EDC">
            <w:pPr>
              <w:jc w:val="both"/>
              <w:rPr>
                <w:color w:val="000000"/>
                <w:sz w:val="22"/>
                <w:szCs w:val="22"/>
              </w:rPr>
            </w:pPr>
            <w:r w:rsidRPr="0038438D">
              <w:rPr>
                <w:color w:val="000000"/>
                <w:sz w:val="22"/>
                <w:szCs w:val="22"/>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A3CA221" w14:textId="77777777" w:rsidR="001D6EDC" w:rsidRPr="0038438D" w:rsidRDefault="001D6EDC">
            <w:pPr>
              <w:jc w:val="center"/>
              <w:rPr>
                <w:color w:val="000000"/>
                <w:sz w:val="22"/>
                <w:szCs w:val="22"/>
              </w:rPr>
            </w:pPr>
            <w:r w:rsidRPr="0038438D">
              <w:rPr>
                <w:color w:val="000000"/>
                <w:sz w:val="22"/>
                <w:szCs w:val="22"/>
              </w:rPr>
              <w:t>2023.gads, EUR</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53246F81" w14:textId="77777777" w:rsidR="001D6EDC" w:rsidRPr="0038438D" w:rsidRDefault="001D6EDC">
            <w:pPr>
              <w:jc w:val="center"/>
              <w:rPr>
                <w:color w:val="000000"/>
                <w:sz w:val="22"/>
                <w:szCs w:val="22"/>
              </w:rPr>
            </w:pPr>
            <w:r w:rsidRPr="0038438D">
              <w:rPr>
                <w:color w:val="000000"/>
                <w:sz w:val="22"/>
                <w:szCs w:val="22"/>
              </w:rPr>
              <w:t>Vidējā termiņā 2024.-2025.gads (finansiālā ietekme kalendārā gadā), EUR</w:t>
            </w:r>
          </w:p>
        </w:tc>
      </w:tr>
      <w:tr w:rsidR="00444751" w:rsidRPr="0038438D" w14:paraId="408DAF1A" w14:textId="77777777" w:rsidTr="00F351DC">
        <w:trPr>
          <w:trHeight w:val="559"/>
        </w:trPr>
        <w:tc>
          <w:tcPr>
            <w:tcW w:w="5949" w:type="dxa"/>
            <w:tcBorders>
              <w:top w:val="nil"/>
              <w:left w:val="single" w:sz="4" w:space="0" w:color="auto"/>
              <w:bottom w:val="single" w:sz="4" w:space="0" w:color="auto"/>
              <w:right w:val="single" w:sz="4" w:space="0" w:color="auto"/>
            </w:tcBorders>
            <w:shd w:val="clear" w:color="auto" w:fill="auto"/>
            <w:vAlign w:val="center"/>
            <w:hideMark/>
          </w:tcPr>
          <w:p w14:paraId="3BCA6199" w14:textId="185003E3" w:rsidR="00444751" w:rsidRPr="0038438D" w:rsidRDefault="00444751" w:rsidP="00444751">
            <w:pPr>
              <w:jc w:val="both"/>
              <w:rPr>
                <w:color w:val="000000"/>
                <w:sz w:val="22"/>
                <w:szCs w:val="22"/>
              </w:rPr>
            </w:pPr>
            <w:r w:rsidRPr="0038438D">
              <w:rPr>
                <w:color w:val="000000"/>
                <w:sz w:val="22"/>
                <w:szCs w:val="22"/>
              </w:rPr>
              <w:t>1. Reģionālās nozīmes maršrutu tīkla ar autobusiem mazinošie pasākumi, samazinot nobraukumu, t.sk.</w:t>
            </w:r>
          </w:p>
        </w:tc>
        <w:tc>
          <w:tcPr>
            <w:tcW w:w="1417" w:type="dxa"/>
            <w:tcBorders>
              <w:top w:val="nil"/>
              <w:left w:val="nil"/>
              <w:bottom w:val="single" w:sz="4" w:space="0" w:color="auto"/>
              <w:right w:val="single" w:sz="4" w:space="0" w:color="auto"/>
            </w:tcBorders>
            <w:shd w:val="clear" w:color="auto" w:fill="auto"/>
            <w:vAlign w:val="center"/>
            <w:hideMark/>
          </w:tcPr>
          <w:p w14:paraId="5E0EF5BC" w14:textId="3BD71ED4" w:rsidR="00444751" w:rsidRPr="00444751" w:rsidRDefault="00444751" w:rsidP="00444751">
            <w:pPr>
              <w:jc w:val="center"/>
              <w:rPr>
                <w:color w:val="000000"/>
                <w:sz w:val="22"/>
                <w:szCs w:val="22"/>
              </w:rPr>
            </w:pPr>
            <w:r w:rsidRPr="00F351DC">
              <w:rPr>
                <w:color w:val="000000"/>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7EF60E40" w14:textId="480C00EE" w:rsidR="00444751" w:rsidRPr="00444751" w:rsidRDefault="00444751" w:rsidP="00444751">
            <w:pPr>
              <w:jc w:val="center"/>
              <w:rPr>
                <w:color w:val="000000"/>
                <w:sz w:val="22"/>
                <w:szCs w:val="22"/>
              </w:rPr>
            </w:pPr>
            <w:r w:rsidRPr="00F351DC">
              <w:rPr>
                <w:color w:val="000000"/>
                <w:sz w:val="22"/>
                <w:szCs w:val="22"/>
              </w:rPr>
              <w:t> </w:t>
            </w:r>
          </w:p>
        </w:tc>
      </w:tr>
      <w:tr w:rsidR="00444751" w:rsidRPr="0038438D" w14:paraId="326768B9" w14:textId="77777777" w:rsidTr="00F351DC">
        <w:trPr>
          <w:trHeight w:val="553"/>
        </w:trPr>
        <w:tc>
          <w:tcPr>
            <w:tcW w:w="5949" w:type="dxa"/>
            <w:tcBorders>
              <w:top w:val="nil"/>
              <w:left w:val="single" w:sz="4" w:space="0" w:color="auto"/>
              <w:bottom w:val="single" w:sz="4" w:space="0" w:color="auto"/>
              <w:right w:val="single" w:sz="4" w:space="0" w:color="auto"/>
            </w:tcBorders>
            <w:shd w:val="clear" w:color="auto" w:fill="auto"/>
            <w:vAlign w:val="center"/>
            <w:hideMark/>
          </w:tcPr>
          <w:p w14:paraId="16834A0C" w14:textId="556D2764" w:rsidR="00444751" w:rsidRPr="0038438D" w:rsidRDefault="00444751" w:rsidP="00444751">
            <w:pPr>
              <w:jc w:val="both"/>
              <w:rPr>
                <w:color w:val="000000"/>
                <w:sz w:val="22"/>
                <w:szCs w:val="22"/>
              </w:rPr>
            </w:pPr>
            <w:r w:rsidRPr="0038438D">
              <w:rPr>
                <w:color w:val="000000"/>
                <w:sz w:val="22"/>
                <w:szCs w:val="22"/>
              </w:rPr>
              <w:t>1.1. nerentablie reisi, maršruti, kas nenodrošina STP Likumā noteikto garantēto minimumu</w:t>
            </w:r>
            <w:r>
              <w:rPr>
                <w:rStyle w:val="FootnoteReference"/>
                <w:color w:val="000000"/>
                <w:sz w:val="22"/>
                <w:szCs w:val="22"/>
              </w:rPr>
              <w:footnoteReference w:id="24"/>
            </w:r>
          </w:p>
        </w:tc>
        <w:tc>
          <w:tcPr>
            <w:tcW w:w="1417" w:type="dxa"/>
            <w:tcBorders>
              <w:top w:val="nil"/>
              <w:left w:val="nil"/>
              <w:bottom w:val="single" w:sz="4" w:space="0" w:color="auto"/>
              <w:right w:val="single" w:sz="4" w:space="0" w:color="auto"/>
            </w:tcBorders>
            <w:shd w:val="clear" w:color="auto" w:fill="auto"/>
            <w:vAlign w:val="center"/>
            <w:hideMark/>
          </w:tcPr>
          <w:p w14:paraId="45BC5A6B" w14:textId="1CFE6CAC" w:rsidR="00444751" w:rsidRPr="00444751" w:rsidRDefault="00444751" w:rsidP="00444751">
            <w:pPr>
              <w:jc w:val="center"/>
              <w:rPr>
                <w:color w:val="000000"/>
                <w:sz w:val="22"/>
                <w:szCs w:val="22"/>
              </w:rPr>
            </w:pPr>
            <w:r w:rsidRPr="00F351DC">
              <w:rPr>
                <w:color w:val="000000"/>
                <w:sz w:val="22"/>
                <w:szCs w:val="22"/>
              </w:rPr>
              <w:t>322 211</w:t>
            </w:r>
          </w:p>
        </w:tc>
        <w:tc>
          <w:tcPr>
            <w:tcW w:w="1701" w:type="dxa"/>
            <w:tcBorders>
              <w:top w:val="nil"/>
              <w:left w:val="nil"/>
              <w:bottom w:val="single" w:sz="4" w:space="0" w:color="auto"/>
              <w:right w:val="single" w:sz="4" w:space="0" w:color="auto"/>
            </w:tcBorders>
            <w:shd w:val="clear" w:color="auto" w:fill="auto"/>
            <w:vAlign w:val="center"/>
            <w:hideMark/>
          </w:tcPr>
          <w:p w14:paraId="65E58D37" w14:textId="5E9A2DC4" w:rsidR="00444751" w:rsidRPr="00444751" w:rsidRDefault="00444751" w:rsidP="00444751">
            <w:pPr>
              <w:jc w:val="center"/>
              <w:rPr>
                <w:color w:val="000000"/>
                <w:sz w:val="22"/>
                <w:szCs w:val="22"/>
              </w:rPr>
            </w:pPr>
            <w:r w:rsidRPr="00F351DC">
              <w:rPr>
                <w:color w:val="000000"/>
                <w:sz w:val="22"/>
                <w:szCs w:val="22"/>
              </w:rPr>
              <w:t>644 421</w:t>
            </w:r>
          </w:p>
        </w:tc>
      </w:tr>
      <w:tr w:rsidR="00444751" w:rsidRPr="0038438D" w14:paraId="4DDE26DB" w14:textId="77777777" w:rsidTr="00F351DC">
        <w:trPr>
          <w:trHeight w:val="405"/>
        </w:trPr>
        <w:tc>
          <w:tcPr>
            <w:tcW w:w="5949" w:type="dxa"/>
            <w:tcBorders>
              <w:top w:val="nil"/>
              <w:left w:val="single" w:sz="4" w:space="0" w:color="auto"/>
              <w:bottom w:val="single" w:sz="4" w:space="0" w:color="auto"/>
              <w:right w:val="single" w:sz="4" w:space="0" w:color="auto"/>
            </w:tcBorders>
            <w:shd w:val="clear" w:color="auto" w:fill="auto"/>
            <w:vAlign w:val="center"/>
            <w:hideMark/>
          </w:tcPr>
          <w:p w14:paraId="442950B5" w14:textId="503A499F" w:rsidR="00444751" w:rsidRPr="0038438D" w:rsidRDefault="00444751" w:rsidP="00444751">
            <w:pPr>
              <w:jc w:val="both"/>
              <w:rPr>
                <w:color w:val="000000"/>
                <w:sz w:val="22"/>
                <w:szCs w:val="22"/>
              </w:rPr>
            </w:pPr>
            <w:r w:rsidRPr="0038438D">
              <w:rPr>
                <w:color w:val="000000"/>
                <w:sz w:val="22"/>
                <w:szCs w:val="22"/>
              </w:rPr>
              <w:t>1.2. komerciālo maršrutu apkalpošanai nododamais apjoms</w:t>
            </w:r>
          </w:p>
        </w:tc>
        <w:tc>
          <w:tcPr>
            <w:tcW w:w="1417" w:type="dxa"/>
            <w:tcBorders>
              <w:top w:val="nil"/>
              <w:left w:val="nil"/>
              <w:bottom w:val="single" w:sz="4" w:space="0" w:color="auto"/>
              <w:right w:val="single" w:sz="4" w:space="0" w:color="auto"/>
            </w:tcBorders>
            <w:shd w:val="clear" w:color="auto" w:fill="auto"/>
            <w:vAlign w:val="center"/>
            <w:hideMark/>
          </w:tcPr>
          <w:p w14:paraId="0009FEE2" w14:textId="6E20FF23" w:rsidR="00444751" w:rsidRPr="00444751" w:rsidRDefault="00444751" w:rsidP="00444751">
            <w:pPr>
              <w:jc w:val="center"/>
              <w:rPr>
                <w:color w:val="000000"/>
                <w:sz w:val="22"/>
                <w:szCs w:val="22"/>
              </w:rPr>
            </w:pPr>
            <w:r w:rsidRPr="00F351DC">
              <w:rPr>
                <w:color w:val="000000"/>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1A83D063" w14:textId="373353F4" w:rsidR="00444751" w:rsidRPr="00444751" w:rsidRDefault="00444751" w:rsidP="00444751">
            <w:pPr>
              <w:jc w:val="center"/>
              <w:rPr>
                <w:color w:val="000000"/>
                <w:sz w:val="22"/>
                <w:szCs w:val="22"/>
              </w:rPr>
            </w:pPr>
            <w:r w:rsidRPr="00F351DC">
              <w:rPr>
                <w:color w:val="000000"/>
                <w:sz w:val="22"/>
                <w:szCs w:val="22"/>
              </w:rPr>
              <w:t>1 333 096</w:t>
            </w:r>
          </w:p>
        </w:tc>
      </w:tr>
      <w:tr w:rsidR="00444751" w:rsidRPr="0038438D" w14:paraId="0D7CA07D" w14:textId="77777777" w:rsidTr="00F351DC">
        <w:trPr>
          <w:trHeight w:val="708"/>
        </w:trPr>
        <w:tc>
          <w:tcPr>
            <w:tcW w:w="5949" w:type="dxa"/>
            <w:tcBorders>
              <w:top w:val="nil"/>
              <w:left w:val="single" w:sz="4" w:space="0" w:color="auto"/>
              <w:bottom w:val="single" w:sz="4" w:space="0" w:color="auto"/>
              <w:right w:val="single" w:sz="4" w:space="0" w:color="auto"/>
            </w:tcBorders>
            <w:shd w:val="clear" w:color="auto" w:fill="auto"/>
            <w:vAlign w:val="center"/>
            <w:hideMark/>
          </w:tcPr>
          <w:p w14:paraId="5E856C3A" w14:textId="3700B46A" w:rsidR="00444751" w:rsidRPr="0038438D" w:rsidRDefault="00444751" w:rsidP="00444751">
            <w:pPr>
              <w:jc w:val="both"/>
              <w:rPr>
                <w:color w:val="000000"/>
                <w:sz w:val="22"/>
                <w:szCs w:val="22"/>
              </w:rPr>
            </w:pPr>
            <w:r w:rsidRPr="0038438D">
              <w:rPr>
                <w:color w:val="000000"/>
                <w:sz w:val="22"/>
                <w:szCs w:val="22"/>
              </w:rPr>
              <w:t>1.3. reisu, maršrutu mazināšanas iespējas posmos, kur pārvadājumus ir iespējams aizstāt ar vilcienu</w:t>
            </w:r>
            <w:r>
              <w:rPr>
                <w:rStyle w:val="FootnoteReference"/>
                <w:color w:val="000000"/>
                <w:sz w:val="22"/>
                <w:szCs w:val="22"/>
              </w:rPr>
              <w:footnoteReference w:id="25"/>
            </w:r>
          </w:p>
        </w:tc>
        <w:tc>
          <w:tcPr>
            <w:tcW w:w="1417" w:type="dxa"/>
            <w:tcBorders>
              <w:top w:val="nil"/>
              <w:left w:val="nil"/>
              <w:bottom w:val="single" w:sz="4" w:space="0" w:color="auto"/>
              <w:right w:val="single" w:sz="4" w:space="0" w:color="auto"/>
            </w:tcBorders>
            <w:shd w:val="clear" w:color="auto" w:fill="auto"/>
            <w:vAlign w:val="center"/>
            <w:hideMark/>
          </w:tcPr>
          <w:p w14:paraId="3F95DE70" w14:textId="7B171C35" w:rsidR="00444751" w:rsidRPr="00444751" w:rsidRDefault="00444751" w:rsidP="00444751">
            <w:pPr>
              <w:jc w:val="center"/>
              <w:rPr>
                <w:color w:val="000000"/>
                <w:sz w:val="22"/>
                <w:szCs w:val="22"/>
              </w:rPr>
            </w:pPr>
            <w:r w:rsidRPr="00F351DC">
              <w:rPr>
                <w:color w:val="000000"/>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738341B5" w14:textId="57AE1F27" w:rsidR="00444751" w:rsidRPr="00444751" w:rsidRDefault="00444751" w:rsidP="00444751">
            <w:pPr>
              <w:jc w:val="center"/>
              <w:rPr>
                <w:color w:val="000000"/>
                <w:sz w:val="22"/>
                <w:szCs w:val="22"/>
              </w:rPr>
            </w:pPr>
            <w:r w:rsidRPr="00F351DC">
              <w:rPr>
                <w:color w:val="000000"/>
                <w:sz w:val="22"/>
                <w:szCs w:val="22"/>
              </w:rPr>
              <w:t>567 000</w:t>
            </w:r>
          </w:p>
        </w:tc>
      </w:tr>
      <w:tr w:rsidR="00444751" w:rsidRPr="0038438D" w14:paraId="10DDD135" w14:textId="77777777" w:rsidTr="00F351DC">
        <w:trPr>
          <w:trHeight w:val="137"/>
        </w:trPr>
        <w:tc>
          <w:tcPr>
            <w:tcW w:w="5949" w:type="dxa"/>
            <w:tcBorders>
              <w:top w:val="nil"/>
              <w:left w:val="single" w:sz="4" w:space="0" w:color="auto"/>
              <w:bottom w:val="single" w:sz="4" w:space="0" w:color="auto"/>
              <w:right w:val="single" w:sz="4" w:space="0" w:color="auto"/>
            </w:tcBorders>
            <w:shd w:val="clear" w:color="auto" w:fill="auto"/>
            <w:vAlign w:val="center"/>
            <w:hideMark/>
          </w:tcPr>
          <w:p w14:paraId="012585E6" w14:textId="4CAF575B" w:rsidR="00444751" w:rsidRPr="0038438D" w:rsidRDefault="00444751" w:rsidP="00444751">
            <w:pPr>
              <w:jc w:val="both"/>
              <w:rPr>
                <w:color w:val="000000"/>
                <w:sz w:val="22"/>
                <w:szCs w:val="22"/>
              </w:rPr>
            </w:pPr>
            <w:r w:rsidRPr="0038438D">
              <w:rPr>
                <w:color w:val="000000"/>
                <w:sz w:val="22"/>
                <w:szCs w:val="22"/>
              </w:rPr>
              <w:t>2. Biļešu ieņēmumu palielināšana, pārskatot tarifu (braukšanas maksas) politiku un apmēru reģionālās nozīmes pārvadājumos.</w:t>
            </w:r>
          </w:p>
        </w:tc>
        <w:tc>
          <w:tcPr>
            <w:tcW w:w="1417" w:type="dxa"/>
            <w:tcBorders>
              <w:top w:val="nil"/>
              <w:left w:val="nil"/>
              <w:bottom w:val="single" w:sz="4" w:space="0" w:color="auto"/>
              <w:right w:val="single" w:sz="4" w:space="0" w:color="auto"/>
            </w:tcBorders>
            <w:shd w:val="clear" w:color="auto" w:fill="auto"/>
            <w:vAlign w:val="center"/>
            <w:hideMark/>
          </w:tcPr>
          <w:p w14:paraId="178E7BA9" w14:textId="3F07E670" w:rsidR="00444751" w:rsidRPr="00444751" w:rsidRDefault="00444751" w:rsidP="00444751">
            <w:pPr>
              <w:jc w:val="center"/>
              <w:rPr>
                <w:color w:val="000000"/>
                <w:sz w:val="22"/>
                <w:szCs w:val="22"/>
              </w:rPr>
            </w:pPr>
            <w:r w:rsidRPr="00F351DC">
              <w:rPr>
                <w:color w:val="000000"/>
                <w:sz w:val="22"/>
                <w:szCs w:val="22"/>
              </w:rPr>
              <w:t>2 699 234</w:t>
            </w:r>
          </w:p>
        </w:tc>
        <w:tc>
          <w:tcPr>
            <w:tcW w:w="1701" w:type="dxa"/>
            <w:tcBorders>
              <w:top w:val="nil"/>
              <w:left w:val="nil"/>
              <w:bottom w:val="single" w:sz="4" w:space="0" w:color="auto"/>
              <w:right w:val="single" w:sz="4" w:space="0" w:color="auto"/>
            </w:tcBorders>
            <w:shd w:val="clear" w:color="auto" w:fill="auto"/>
            <w:vAlign w:val="center"/>
            <w:hideMark/>
          </w:tcPr>
          <w:p w14:paraId="502AB13A" w14:textId="4DAF818C" w:rsidR="00444751" w:rsidRPr="00444751" w:rsidRDefault="00444751" w:rsidP="00444751">
            <w:pPr>
              <w:jc w:val="center"/>
              <w:rPr>
                <w:color w:val="000000"/>
                <w:sz w:val="22"/>
                <w:szCs w:val="22"/>
              </w:rPr>
            </w:pPr>
            <w:r w:rsidRPr="00F351DC">
              <w:rPr>
                <w:color w:val="000000"/>
                <w:sz w:val="22"/>
                <w:szCs w:val="22"/>
              </w:rPr>
              <w:t>8 097 702</w:t>
            </w:r>
          </w:p>
        </w:tc>
      </w:tr>
      <w:tr w:rsidR="00444751" w:rsidRPr="0038438D" w14:paraId="5E0EDF4B" w14:textId="77777777" w:rsidTr="00F351DC">
        <w:trPr>
          <w:trHeight w:val="399"/>
        </w:trPr>
        <w:tc>
          <w:tcPr>
            <w:tcW w:w="5949" w:type="dxa"/>
            <w:tcBorders>
              <w:top w:val="nil"/>
              <w:left w:val="single" w:sz="4" w:space="0" w:color="auto"/>
              <w:bottom w:val="single" w:sz="4" w:space="0" w:color="auto"/>
              <w:right w:val="single" w:sz="4" w:space="0" w:color="auto"/>
            </w:tcBorders>
            <w:shd w:val="clear" w:color="auto" w:fill="auto"/>
            <w:vAlign w:val="center"/>
            <w:hideMark/>
          </w:tcPr>
          <w:p w14:paraId="28AF92DB" w14:textId="6B66B323" w:rsidR="00444751" w:rsidRPr="0038438D" w:rsidRDefault="00444751" w:rsidP="00444751">
            <w:pPr>
              <w:jc w:val="both"/>
              <w:rPr>
                <w:color w:val="000000"/>
                <w:sz w:val="22"/>
                <w:szCs w:val="22"/>
              </w:rPr>
            </w:pPr>
            <w:r w:rsidRPr="0038438D">
              <w:rPr>
                <w:color w:val="000000"/>
                <w:sz w:val="22"/>
                <w:szCs w:val="22"/>
              </w:rPr>
              <w:t>3. Autoostu regulējuma pārskatīšana un autoostu skaita mazināšana</w:t>
            </w:r>
          </w:p>
        </w:tc>
        <w:tc>
          <w:tcPr>
            <w:tcW w:w="1417" w:type="dxa"/>
            <w:tcBorders>
              <w:top w:val="nil"/>
              <w:left w:val="nil"/>
              <w:bottom w:val="single" w:sz="4" w:space="0" w:color="auto"/>
              <w:right w:val="single" w:sz="4" w:space="0" w:color="auto"/>
            </w:tcBorders>
            <w:shd w:val="clear" w:color="auto" w:fill="auto"/>
            <w:vAlign w:val="center"/>
            <w:hideMark/>
          </w:tcPr>
          <w:p w14:paraId="72A1A2AA" w14:textId="4BD07340" w:rsidR="00444751" w:rsidRPr="00444751" w:rsidRDefault="00444751" w:rsidP="00444751">
            <w:pPr>
              <w:jc w:val="center"/>
              <w:rPr>
                <w:color w:val="000000"/>
                <w:sz w:val="22"/>
                <w:szCs w:val="22"/>
              </w:rPr>
            </w:pPr>
            <w:r w:rsidRPr="00F351DC">
              <w:rPr>
                <w:color w:val="000000"/>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3DEA3C0F" w14:textId="0126C9AB" w:rsidR="00444751" w:rsidRPr="00444751" w:rsidRDefault="00444751" w:rsidP="00444751">
            <w:pPr>
              <w:jc w:val="center"/>
              <w:rPr>
                <w:color w:val="000000"/>
                <w:sz w:val="22"/>
                <w:szCs w:val="22"/>
              </w:rPr>
            </w:pPr>
            <w:r w:rsidRPr="00F351DC">
              <w:rPr>
                <w:color w:val="000000"/>
                <w:sz w:val="22"/>
                <w:szCs w:val="22"/>
              </w:rPr>
              <w:t>1 727 861</w:t>
            </w:r>
          </w:p>
        </w:tc>
      </w:tr>
      <w:tr w:rsidR="00444751" w:rsidRPr="00444751" w14:paraId="14BDD877" w14:textId="77777777" w:rsidTr="00F351DC">
        <w:trPr>
          <w:trHeight w:val="70"/>
        </w:trPr>
        <w:tc>
          <w:tcPr>
            <w:tcW w:w="5949" w:type="dxa"/>
            <w:tcBorders>
              <w:top w:val="nil"/>
              <w:left w:val="single" w:sz="4" w:space="0" w:color="auto"/>
              <w:bottom w:val="single" w:sz="4" w:space="0" w:color="auto"/>
              <w:right w:val="single" w:sz="4" w:space="0" w:color="auto"/>
            </w:tcBorders>
            <w:shd w:val="clear" w:color="auto" w:fill="auto"/>
            <w:noWrap/>
            <w:vAlign w:val="bottom"/>
            <w:hideMark/>
          </w:tcPr>
          <w:p w14:paraId="7B9923E6" w14:textId="77777777" w:rsidR="00444751" w:rsidRPr="00F351DC" w:rsidRDefault="00444751" w:rsidP="00444751">
            <w:pPr>
              <w:rPr>
                <w:b/>
                <w:bCs/>
                <w:color w:val="000000"/>
                <w:sz w:val="22"/>
                <w:szCs w:val="22"/>
              </w:rPr>
            </w:pPr>
            <w:r w:rsidRPr="00F351DC">
              <w:rPr>
                <w:b/>
                <w:bCs/>
                <w:color w:val="000000"/>
                <w:sz w:val="22"/>
                <w:szCs w:val="22"/>
              </w:rPr>
              <w:t xml:space="preserve">KOPĀ: </w:t>
            </w:r>
          </w:p>
        </w:tc>
        <w:tc>
          <w:tcPr>
            <w:tcW w:w="1417" w:type="dxa"/>
            <w:tcBorders>
              <w:top w:val="nil"/>
              <w:left w:val="nil"/>
              <w:bottom w:val="single" w:sz="4" w:space="0" w:color="auto"/>
              <w:right w:val="single" w:sz="4" w:space="0" w:color="auto"/>
            </w:tcBorders>
            <w:shd w:val="clear" w:color="auto" w:fill="auto"/>
            <w:noWrap/>
            <w:vAlign w:val="bottom"/>
            <w:hideMark/>
          </w:tcPr>
          <w:p w14:paraId="3D031EB9" w14:textId="27B3C8D8" w:rsidR="00444751" w:rsidRPr="00F351DC" w:rsidRDefault="00444751" w:rsidP="00444751">
            <w:pPr>
              <w:jc w:val="center"/>
              <w:rPr>
                <w:b/>
                <w:bCs/>
                <w:color w:val="000000"/>
                <w:sz w:val="22"/>
                <w:szCs w:val="22"/>
              </w:rPr>
            </w:pPr>
            <w:r w:rsidRPr="00F351DC">
              <w:rPr>
                <w:b/>
                <w:bCs/>
                <w:color w:val="000000"/>
                <w:sz w:val="22"/>
                <w:szCs w:val="22"/>
              </w:rPr>
              <w:t>3 021 445</w:t>
            </w:r>
          </w:p>
        </w:tc>
        <w:tc>
          <w:tcPr>
            <w:tcW w:w="1701" w:type="dxa"/>
            <w:tcBorders>
              <w:top w:val="nil"/>
              <w:left w:val="nil"/>
              <w:bottom w:val="single" w:sz="4" w:space="0" w:color="auto"/>
              <w:right w:val="single" w:sz="4" w:space="0" w:color="auto"/>
            </w:tcBorders>
            <w:shd w:val="clear" w:color="auto" w:fill="auto"/>
            <w:noWrap/>
            <w:vAlign w:val="bottom"/>
            <w:hideMark/>
          </w:tcPr>
          <w:p w14:paraId="3BBE75E6" w14:textId="5F9BBA65" w:rsidR="00444751" w:rsidRPr="00F351DC" w:rsidRDefault="00444751" w:rsidP="00444751">
            <w:pPr>
              <w:jc w:val="center"/>
              <w:rPr>
                <w:b/>
                <w:bCs/>
                <w:color w:val="000000"/>
                <w:sz w:val="22"/>
                <w:szCs w:val="22"/>
              </w:rPr>
            </w:pPr>
            <w:r w:rsidRPr="00F351DC">
              <w:rPr>
                <w:b/>
                <w:bCs/>
                <w:color w:val="000000"/>
                <w:sz w:val="22"/>
                <w:szCs w:val="22"/>
              </w:rPr>
              <w:t>12 370 080</w:t>
            </w:r>
          </w:p>
        </w:tc>
      </w:tr>
    </w:tbl>
    <w:p w14:paraId="0B60F407" w14:textId="5E4729D6" w:rsidR="001D6EDC" w:rsidRDefault="001D6EDC">
      <w:pPr>
        <w:pStyle w:val="ListParagraph"/>
        <w:ind w:left="709"/>
        <w:jc w:val="both"/>
        <w:rPr>
          <w:sz w:val="26"/>
          <w:szCs w:val="26"/>
        </w:rPr>
      </w:pPr>
    </w:p>
    <w:p w14:paraId="6B1CD779" w14:textId="3CF8F128" w:rsidR="0038438D" w:rsidRDefault="0038438D" w:rsidP="0038438D">
      <w:pPr>
        <w:pStyle w:val="ListParagraph"/>
        <w:ind w:left="0" w:firstLine="709"/>
        <w:jc w:val="both"/>
        <w:rPr>
          <w:sz w:val="26"/>
          <w:szCs w:val="26"/>
        </w:rPr>
      </w:pPr>
      <w:r>
        <w:rPr>
          <w:sz w:val="26"/>
          <w:szCs w:val="26"/>
        </w:rPr>
        <w:t>Lai ieviestu un īstenotu atsevišķus mazinošos pasākumus, piemēram,</w:t>
      </w:r>
      <w:r w:rsidR="00D51141">
        <w:rPr>
          <w:sz w:val="26"/>
          <w:szCs w:val="26"/>
        </w:rPr>
        <w:t xml:space="preserve"> tabulas Nr. 11</w:t>
      </w:r>
      <w:r>
        <w:rPr>
          <w:sz w:val="26"/>
          <w:szCs w:val="26"/>
        </w:rPr>
        <w:t xml:space="preserve"> 1.2. un 3.pasākumu ir nepieciešams veikt izmaiņas normatīvajos aktos, līdz ar to potenciālā ietekme</w:t>
      </w:r>
      <w:r w:rsidR="004320E6">
        <w:rPr>
          <w:sz w:val="26"/>
          <w:szCs w:val="26"/>
        </w:rPr>
        <w:t xml:space="preserve"> var veidoties tikai nākamajos periodos</w:t>
      </w:r>
      <w:r w:rsidR="00973157">
        <w:rPr>
          <w:sz w:val="26"/>
          <w:szCs w:val="26"/>
        </w:rPr>
        <w:t xml:space="preserve"> (2024.-2025.gadā)</w:t>
      </w:r>
      <w:r w:rsidR="004320E6">
        <w:rPr>
          <w:sz w:val="26"/>
          <w:szCs w:val="26"/>
        </w:rPr>
        <w:t xml:space="preserve"> pēc grozījumu normatīvajos aktos stāšanās spēkā.</w:t>
      </w:r>
    </w:p>
    <w:p w14:paraId="368DF3B1" w14:textId="227B4CBA" w:rsidR="003F3D43" w:rsidRPr="006830F1" w:rsidRDefault="003F3D43" w:rsidP="003F3D43">
      <w:pPr>
        <w:pStyle w:val="ListParagraph"/>
        <w:ind w:left="0" w:firstLine="709"/>
        <w:jc w:val="both"/>
        <w:rPr>
          <w:sz w:val="26"/>
          <w:szCs w:val="26"/>
        </w:rPr>
      </w:pPr>
      <w:bookmarkStart w:id="8" w:name="_Hlk130819219"/>
      <w:r w:rsidRPr="00706194">
        <w:rPr>
          <w:sz w:val="26"/>
          <w:szCs w:val="26"/>
        </w:rPr>
        <w:lastRenderedPageBreak/>
        <w:t>P</w:t>
      </w:r>
      <w:r w:rsidR="000C753D" w:rsidRPr="00253511">
        <w:rPr>
          <w:sz w:val="26"/>
          <w:szCs w:val="26"/>
        </w:rPr>
        <w:t xml:space="preserve">apildus atzīmējams, </w:t>
      </w:r>
      <w:r w:rsidRPr="00706194">
        <w:rPr>
          <w:sz w:val="26"/>
          <w:szCs w:val="26"/>
        </w:rPr>
        <w:t xml:space="preserve">ka saskaņā ar </w:t>
      </w:r>
      <w:r w:rsidRPr="006830F1">
        <w:rPr>
          <w:sz w:val="26"/>
          <w:szCs w:val="26"/>
        </w:rPr>
        <w:t xml:space="preserve">STP Likuma 5. pantu Sabiedriskās transporta padomes kompetencē </w:t>
      </w:r>
      <w:r w:rsidR="00706194" w:rsidRPr="006830F1">
        <w:rPr>
          <w:sz w:val="26"/>
          <w:szCs w:val="26"/>
        </w:rPr>
        <w:t>i</w:t>
      </w:r>
      <w:r w:rsidR="00706194" w:rsidRPr="006830F1">
        <w:rPr>
          <w:sz w:val="26"/>
          <w:szCs w:val="26"/>
          <w:shd w:val="clear" w:color="auto" w:fill="FFFFFF"/>
        </w:rPr>
        <w:t>r vienotu reģionālo vietējo un starppilsētu maršrutu plānošana, vienotas pieejas nodrošināšana sabiedriskā transporta pakalpojumu plānošanā, pasūtīšanā, līgumu slēgšanā un valsts budžeta līdzekļu izlietošanā, kā arī vietējo iedzīvotāju un pašvaldību interešu apzināšana un pārstāvēšana.</w:t>
      </w:r>
    </w:p>
    <w:p w14:paraId="13B4C144" w14:textId="05C9DCB9" w:rsidR="003F3D43" w:rsidRPr="00253511" w:rsidRDefault="00706194" w:rsidP="00253511">
      <w:pPr>
        <w:pStyle w:val="ListParagraph"/>
        <w:ind w:left="0" w:firstLine="709"/>
        <w:jc w:val="both"/>
        <w:rPr>
          <w:sz w:val="26"/>
          <w:szCs w:val="26"/>
        </w:rPr>
      </w:pPr>
      <w:r w:rsidRPr="006830F1">
        <w:rPr>
          <w:sz w:val="26"/>
          <w:szCs w:val="26"/>
        </w:rPr>
        <w:t xml:space="preserve">Ņemot vērā iepriekš minēto, </w:t>
      </w:r>
      <w:r w:rsidR="000C753D" w:rsidRPr="006830F1">
        <w:rPr>
          <w:sz w:val="26"/>
          <w:szCs w:val="26"/>
        </w:rPr>
        <w:t>Sabiedriskā transporta padome</w:t>
      </w:r>
      <w:r w:rsidR="00380C36" w:rsidRPr="006830F1">
        <w:rPr>
          <w:sz w:val="26"/>
          <w:szCs w:val="26"/>
        </w:rPr>
        <w:t xml:space="preserve"> ir uzdevusi Autotransporta direkcijai</w:t>
      </w:r>
      <w:r w:rsidR="000C753D" w:rsidRPr="006830F1">
        <w:rPr>
          <w:sz w:val="26"/>
          <w:szCs w:val="26"/>
        </w:rPr>
        <w:t xml:space="preserve"> sadarbībā ar attiecīgajiem plānošanas </w:t>
      </w:r>
      <w:r w:rsidR="000C753D" w:rsidRPr="00253511">
        <w:rPr>
          <w:sz w:val="26"/>
          <w:szCs w:val="26"/>
        </w:rPr>
        <w:t>reģioniem</w:t>
      </w:r>
      <w:r w:rsidR="00380C36" w:rsidRPr="00253511">
        <w:rPr>
          <w:sz w:val="26"/>
          <w:szCs w:val="26"/>
        </w:rPr>
        <w:t xml:space="preserve"> sagatavot un iesniegt izskatīšanai Sabiedriskā transporta padomei priekšlikumus par </w:t>
      </w:r>
      <w:r>
        <w:rPr>
          <w:sz w:val="26"/>
          <w:szCs w:val="26"/>
        </w:rPr>
        <w:t xml:space="preserve">valsts budžetu izdevumu mazinošiem pasākumiem, kā piemēram, par </w:t>
      </w:r>
      <w:r w:rsidR="000C753D" w:rsidRPr="00253511">
        <w:rPr>
          <w:sz w:val="26"/>
          <w:szCs w:val="26"/>
        </w:rPr>
        <w:t>nepieciešam</w:t>
      </w:r>
      <w:r w:rsidR="00380C36" w:rsidRPr="00253511">
        <w:rPr>
          <w:sz w:val="26"/>
          <w:szCs w:val="26"/>
        </w:rPr>
        <w:t xml:space="preserve">ajām </w:t>
      </w:r>
      <w:r w:rsidR="000C753D" w:rsidRPr="00253511">
        <w:rPr>
          <w:sz w:val="26"/>
          <w:szCs w:val="26"/>
        </w:rPr>
        <w:t>izmaiņ</w:t>
      </w:r>
      <w:r w:rsidR="00380C36" w:rsidRPr="00253511">
        <w:rPr>
          <w:sz w:val="26"/>
          <w:szCs w:val="26"/>
        </w:rPr>
        <w:t xml:space="preserve">ām </w:t>
      </w:r>
      <w:r w:rsidR="000C753D" w:rsidRPr="00253511">
        <w:rPr>
          <w:sz w:val="26"/>
          <w:szCs w:val="26"/>
        </w:rPr>
        <w:t xml:space="preserve">dotētajā reģionālas nozīmes maršrutu tīklā, kā arī </w:t>
      </w:r>
      <w:r w:rsidR="00380C36" w:rsidRPr="00253511">
        <w:rPr>
          <w:sz w:val="26"/>
          <w:szCs w:val="26"/>
        </w:rPr>
        <w:t>iz</w:t>
      </w:r>
      <w:r w:rsidR="000C753D" w:rsidRPr="00253511">
        <w:rPr>
          <w:sz w:val="26"/>
          <w:szCs w:val="26"/>
        </w:rPr>
        <w:t>analizē</w:t>
      </w:r>
      <w:r w:rsidR="00380C36" w:rsidRPr="00253511">
        <w:rPr>
          <w:sz w:val="26"/>
          <w:szCs w:val="26"/>
        </w:rPr>
        <w:t>t</w:t>
      </w:r>
      <w:r w:rsidR="000C753D" w:rsidRPr="00253511">
        <w:rPr>
          <w:sz w:val="26"/>
          <w:szCs w:val="26"/>
        </w:rPr>
        <w:t xml:space="preserve"> pasažieru plūsmu un pieprasījumu reģionālo autobusu un vilcienu reisiem</w:t>
      </w:r>
      <w:r w:rsidR="00956910">
        <w:rPr>
          <w:sz w:val="26"/>
          <w:szCs w:val="26"/>
        </w:rPr>
        <w:t xml:space="preserve">. </w:t>
      </w:r>
    </w:p>
    <w:bookmarkEnd w:id="8"/>
    <w:p w14:paraId="1EB3A644" w14:textId="18671005" w:rsidR="000C753D" w:rsidRPr="00706194" w:rsidRDefault="000C753D" w:rsidP="00380C36">
      <w:pPr>
        <w:pStyle w:val="ListParagraph"/>
        <w:ind w:left="0" w:firstLine="709"/>
        <w:jc w:val="both"/>
        <w:rPr>
          <w:sz w:val="26"/>
          <w:szCs w:val="26"/>
        </w:rPr>
      </w:pPr>
    </w:p>
    <w:p w14:paraId="718F7705" w14:textId="77777777" w:rsidR="0056699C" w:rsidRDefault="0056699C" w:rsidP="0056699C">
      <w:pPr>
        <w:pStyle w:val="tv213"/>
        <w:shd w:val="clear" w:color="auto" w:fill="FFFFFF"/>
        <w:spacing w:before="0" w:beforeAutospacing="0" w:after="0" w:afterAutospacing="0" w:line="293" w:lineRule="atLeast"/>
        <w:ind w:firstLine="709"/>
        <w:jc w:val="both"/>
        <w:rPr>
          <w:sz w:val="26"/>
          <w:szCs w:val="26"/>
        </w:rPr>
      </w:pPr>
    </w:p>
    <w:p w14:paraId="15B22CDA" w14:textId="77777777" w:rsidR="0056699C" w:rsidRDefault="0056699C" w:rsidP="00F351DC">
      <w:pPr>
        <w:pStyle w:val="ListParagraph"/>
        <w:ind w:left="0" w:firstLine="709"/>
        <w:jc w:val="both"/>
        <w:rPr>
          <w:sz w:val="26"/>
          <w:szCs w:val="26"/>
        </w:rPr>
      </w:pPr>
    </w:p>
    <w:p w14:paraId="648FAF5F" w14:textId="77777777" w:rsidR="00D51141" w:rsidRDefault="00D51141" w:rsidP="00D51141">
      <w:pPr>
        <w:pStyle w:val="ListParagraph"/>
        <w:ind w:left="0" w:firstLine="709"/>
        <w:jc w:val="both"/>
        <w:rPr>
          <w:sz w:val="26"/>
          <w:szCs w:val="26"/>
        </w:rPr>
      </w:pPr>
    </w:p>
    <w:p w14:paraId="7747C4EC" w14:textId="77777777" w:rsidR="00D51141" w:rsidRPr="00253511" w:rsidRDefault="00D51141" w:rsidP="00D51141">
      <w:pPr>
        <w:tabs>
          <w:tab w:val="left" w:pos="7088"/>
        </w:tabs>
        <w:ind w:left="709"/>
        <w:jc w:val="both"/>
        <w:rPr>
          <w:sz w:val="26"/>
          <w:szCs w:val="26"/>
          <w:lang w:val="cs-CZ"/>
        </w:rPr>
      </w:pPr>
      <w:r w:rsidRPr="00253511">
        <w:rPr>
          <w:sz w:val="26"/>
          <w:szCs w:val="26"/>
          <w:lang w:val="cs-CZ"/>
        </w:rPr>
        <w:t>Satiksmes ministrs</w:t>
      </w:r>
      <w:r w:rsidRPr="00253511">
        <w:rPr>
          <w:sz w:val="26"/>
          <w:szCs w:val="26"/>
          <w:lang w:val="cs-CZ"/>
        </w:rPr>
        <w:tab/>
        <w:t xml:space="preserve">J. Vitenbergs </w:t>
      </w:r>
    </w:p>
    <w:p w14:paraId="49E99712" w14:textId="77777777" w:rsidR="00D51141" w:rsidRPr="003A1457" w:rsidRDefault="00D51141" w:rsidP="00F351DC">
      <w:pPr>
        <w:pStyle w:val="ListParagraph"/>
        <w:ind w:left="0" w:firstLine="709"/>
        <w:jc w:val="both"/>
        <w:rPr>
          <w:sz w:val="26"/>
          <w:szCs w:val="26"/>
        </w:rPr>
      </w:pPr>
    </w:p>
    <w:sectPr w:rsidR="00D51141" w:rsidRPr="003A1457" w:rsidSect="00F351DC">
      <w:headerReference w:type="default" r:id="rId18"/>
      <w:headerReference w:type="first" r:id="rId19"/>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39E7EE" w14:textId="77777777" w:rsidR="00305AF2" w:rsidRDefault="00305AF2" w:rsidP="006859C8">
      <w:r>
        <w:separator/>
      </w:r>
    </w:p>
  </w:endnote>
  <w:endnote w:type="continuationSeparator" w:id="0">
    <w:p w14:paraId="135847F0" w14:textId="77777777" w:rsidR="00305AF2" w:rsidRDefault="00305AF2" w:rsidP="006859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9C5361" w14:textId="77777777" w:rsidR="00305AF2" w:rsidRDefault="00305AF2" w:rsidP="006859C8">
      <w:r>
        <w:separator/>
      </w:r>
    </w:p>
  </w:footnote>
  <w:footnote w:type="continuationSeparator" w:id="0">
    <w:p w14:paraId="5E45CC99" w14:textId="77777777" w:rsidR="00305AF2" w:rsidRDefault="00305AF2" w:rsidP="006859C8">
      <w:r>
        <w:continuationSeparator/>
      </w:r>
    </w:p>
  </w:footnote>
  <w:footnote w:id="1">
    <w:p w14:paraId="2D1FE551" w14:textId="211F95D0" w:rsidR="00937830" w:rsidRDefault="00937830">
      <w:pPr>
        <w:pStyle w:val="FootnoteText"/>
      </w:pPr>
      <w:r>
        <w:rPr>
          <w:rStyle w:val="FootnoteReference"/>
        </w:rPr>
        <w:footnoteRef/>
      </w:r>
      <w:r>
        <w:t xml:space="preserve"> Sabiedriskā transporta pakalpojumu likuma 6.panta trešā un ceturtā daļa</w:t>
      </w:r>
    </w:p>
  </w:footnote>
  <w:footnote w:id="2">
    <w:p w14:paraId="6A19CF0E" w14:textId="30F0FCC8" w:rsidR="001F1F09" w:rsidRPr="0053392A" w:rsidRDefault="001F1F09" w:rsidP="001F1F09">
      <w:pPr>
        <w:pStyle w:val="FootnoteText"/>
        <w:jc w:val="both"/>
      </w:pPr>
      <w:r>
        <w:rPr>
          <w:rStyle w:val="FootnoteReference"/>
        </w:rPr>
        <w:footnoteRef/>
      </w:r>
      <w:r>
        <w:t xml:space="preserve"> </w:t>
      </w:r>
      <w:r w:rsidR="00C935CC">
        <w:t xml:space="preserve">Ministru kabineta </w:t>
      </w:r>
      <w:r w:rsidRPr="0053392A">
        <w:t>2019. gada 4. jūnija sēdē izskatīt</w:t>
      </w:r>
      <w:r w:rsidR="0009405B">
        <w:t>s</w:t>
      </w:r>
      <w:r w:rsidRPr="0053392A">
        <w:t xml:space="preserve"> Informatīv</w:t>
      </w:r>
      <w:r w:rsidR="0009405B">
        <w:t>ais</w:t>
      </w:r>
      <w:r w:rsidRPr="0053392A">
        <w:t xml:space="preserve"> ziņojum</w:t>
      </w:r>
      <w:r w:rsidR="0009405B">
        <w:t>s</w:t>
      </w:r>
      <w:r w:rsidRPr="0053392A">
        <w:t xml:space="preserve"> “Par reģionālās nozīmes sabiedriskā transporta pakalpojumu attīstību 2021.-2030. gadam” (prot. Nr.27</w:t>
      </w:r>
      <w:r>
        <w:t>,</w:t>
      </w:r>
      <w:r w:rsidRPr="0053392A">
        <w:t xml:space="preserve"> 28.§)</w:t>
      </w:r>
    </w:p>
  </w:footnote>
  <w:footnote w:id="3">
    <w:p w14:paraId="2000B030" w14:textId="1C6D1554" w:rsidR="00917892" w:rsidRDefault="00917892">
      <w:pPr>
        <w:pStyle w:val="FootnoteText"/>
      </w:pPr>
      <w:r>
        <w:rPr>
          <w:rStyle w:val="FootnoteReference"/>
        </w:rPr>
        <w:footnoteRef/>
      </w:r>
      <w:r>
        <w:t xml:space="preserve"> </w:t>
      </w:r>
      <w:r>
        <w:t>Sabiedriskā transporta pakalpojumu likuma 6.panta sestās daļas 4.punkts</w:t>
      </w:r>
    </w:p>
  </w:footnote>
  <w:footnote w:id="4">
    <w:p w14:paraId="52117FC6" w14:textId="0DA436B3" w:rsidR="006256FB" w:rsidRDefault="006256FB" w:rsidP="00253511">
      <w:pPr>
        <w:pStyle w:val="FootnoteText"/>
        <w:jc w:val="both"/>
      </w:pPr>
      <w:r>
        <w:rPr>
          <w:rStyle w:val="FootnoteReference"/>
        </w:rPr>
        <w:footnoteRef/>
      </w:r>
      <w:r>
        <w:t xml:space="preserve"> </w:t>
      </w:r>
      <w:r>
        <w:t xml:space="preserve">Piesardzīgi vērtēta prognoze, kuras faktisko novērtējumu finansiālā izteiksmē </w:t>
      </w:r>
      <w:r w:rsidR="005D0CD2">
        <w:t>varēs noteikt tikai pēc saskaņošanas ar plānošanas reģioniem, iesaistītajām pašvaldībām un grozījumu izdarīšanas maršrutu tīklā</w:t>
      </w:r>
    </w:p>
  </w:footnote>
  <w:footnote w:id="5">
    <w:p w14:paraId="3432158C" w14:textId="34FD0257" w:rsidR="008E3FE7" w:rsidRDefault="008E3FE7" w:rsidP="002E25F7">
      <w:pPr>
        <w:pStyle w:val="FootnoteText"/>
        <w:jc w:val="both"/>
      </w:pPr>
      <w:r>
        <w:rPr>
          <w:rStyle w:val="FootnoteReference"/>
        </w:rPr>
        <w:footnoteRef/>
      </w:r>
      <w:r>
        <w:t xml:space="preserve"> </w:t>
      </w:r>
      <w:r>
        <w:t xml:space="preserve">Statistikas pārvaldes dati </w:t>
      </w:r>
      <w:hyperlink r:id="rId1" w:history="1">
        <w:r>
          <w:rPr>
            <w:rStyle w:val="Hyperlink"/>
          </w:rPr>
          <w:t>Atsevišķu preču un pakalpojumu vidējās mazumtirdzniecības cenas (eiro par 1kg, ja citādāk - norādīts īpaši) 2005M01 - 2023M01. PxWeb (stat.gov.lv)</w:t>
        </w:r>
      </w:hyperlink>
    </w:p>
  </w:footnote>
  <w:footnote w:id="6">
    <w:p w14:paraId="2D84A023" w14:textId="77777777" w:rsidR="0052795E" w:rsidRDefault="0052795E" w:rsidP="002E25F7">
      <w:pPr>
        <w:pStyle w:val="FootnoteText"/>
        <w:jc w:val="both"/>
      </w:pPr>
      <w:r>
        <w:rPr>
          <w:rStyle w:val="FootnoteReference"/>
        </w:rPr>
        <w:footnoteRef/>
      </w:r>
      <w:r>
        <w:t xml:space="preserve"> </w:t>
      </w:r>
      <w:r>
        <w:t>2022.gadā radušo izmaksu pieaugumu, kas radušās ģeopolitiskās un ekonomiskās situācijas rezultātā, nebija iespējams ieplānot, iesniedzot piedāvājumu konkursam ar ID Nr. AD 2021/10.</w:t>
      </w:r>
    </w:p>
  </w:footnote>
  <w:footnote w:id="7">
    <w:p w14:paraId="7C4CB5E0" w14:textId="4CF4770E" w:rsidR="00815359" w:rsidRPr="00815359" w:rsidRDefault="00815359" w:rsidP="002E25F7">
      <w:pPr>
        <w:tabs>
          <w:tab w:val="left" w:pos="6663"/>
        </w:tabs>
        <w:jc w:val="both"/>
        <w:rPr>
          <w:sz w:val="20"/>
          <w:szCs w:val="20"/>
        </w:rPr>
      </w:pPr>
      <w:r>
        <w:rPr>
          <w:rStyle w:val="FootnoteReference"/>
        </w:rPr>
        <w:footnoteRef/>
      </w:r>
      <w:r>
        <w:t xml:space="preserve"> </w:t>
      </w:r>
      <w:r w:rsidRPr="00A2256E">
        <w:rPr>
          <w:sz w:val="20"/>
          <w:szCs w:val="20"/>
        </w:rPr>
        <w:t>Publisko iepirkumu likuma 61.panta piektās daļas 2.punktā noteiktā maksimālā robežvērtība 10% no iepirkuma līgumā paredzētās līgumcenas pieļaujamā līgumcenas palielinājuma. Iepirkuma līgumu grozījumu vērtība, ko noteic kā visu secīgi veikto grozījumu naudas vērtību summu nesasniedz 10 procentus no sākotnējās iepirkuma līgumā paredzētās līgumcenas.</w:t>
      </w:r>
    </w:p>
  </w:footnote>
  <w:footnote w:id="8">
    <w:p w14:paraId="58C3CF5E" w14:textId="7A514698" w:rsidR="00C245CE" w:rsidRPr="008A0098" w:rsidRDefault="00C245CE" w:rsidP="002E25F7">
      <w:pPr>
        <w:pStyle w:val="FootnoteText"/>
        <w:jc w:val="both"/>
      </w:pPr>
      <w:r>
        <w:rPr>
          <w:rStyle w:val="FootnoteReference"/>
        </w:rPr>
        <w:footnoteRef/>
      </w:r>
      <w:r>
        <w:t xml:space="preserve"> </w:t>
      </w:r>
      <w:r>
        <w:t xml:space="preserve">Statistikas </w:t>
      </w:r>
      <w:r w:rsidRPr="008A0098">
        <w:t xml:space="preserve">pārvaldes dati </w:t>
      </w:r>
      <w:r w:rsidR="008A0098">
        <w:t xml:space="preserve">- </w:t>
      </w:r>
      <w:r w:rsidR="008A0098" w:rsidRPr="008A0098">
        <w:rPr>
          <w:shd w:val="clear" w:color="auto" w:fill="FFFFFF"/>
        </w:rPr>
        <w:t>Patēriņa cenu pārmaiņas 2022. gada decembrī salīdzinot ar 2021. gada decembri ir 20</w:t>
      </w:r>
      <w:r w:rsidR="008A0098">
        <w:rPr>
          <w:shd w:val="clear" w:color="auto" w:fill="FFFFFF"/>
        </w:rPr>
        <w:t>,</w:t>
      </w:r>
      <w:r w:rsidR="008A0098" w:rsidRPr="008A0098">
        <w:rPr>
          <w:shd w:val="clear" w:color="auto" w:fill="FFFFFF"/>
        </w:rPr>
        <w:t>8%</w:t>
      </w:r>
      <w:r w:rsidR="008A0098">
        <w:rPr>
          <w:shd w:val="clear" w:color="auto" w:fill="FFFFFF"/>
        </w:rPr>
        <w:t>.</w:t>
      </w:r>
    </w:p>
  </w:footnote>
  <w:footnote w:id="9">
    <w:p w14:paraId="75BC43B9" w14:textId="018952B4" w:rsidR="007460BB" w:rsidRPr="007460BB" w:rsidRDefault="007460BB" w:rsidP="007460BB">
      <w:pPr>
        <w:pStyle w:val="FootnoteText"/>
        <w:jc w:val="both"/>
      </w:pPr>
      <w:r>
        <w:rPr>
          <w:rStyle w:val="FootnoteReference"/>
        </w:rPr>
        <w:footnoteRef/>
      </w:r>
      <w:r>
        <w:t xml:space="preserve"> </w:t>
      </w:r>
      <w:r>
        <w:t xml:space="preserve">Reģionālās nozīmes sabiedriskajā transportā braukšanas maksas atvieglojumi tiek nodrošināti personām ar I vai II grupas invaliditāti, personām līdz 18 gadu vecumam ar invaliditāti un personām, kas pavada personu ar I grupas invaliditāti vai personu līdz 18 gadu vecumam ar invaliditāti; pirmsskolas vecuma bērniem; politiski represētām personām un nacionālās pretošanās kustības dalībniekiem; bāreņiem un bez vecāku gādības palikušiem bērniem un daudzbērnu ģimenes locekļiem un </w:t>
      </w:r>
      <w:r w:rsidRPr="007460BB">
        <w:t xml:space="preserve">ģimenēm, </w:t>
      </w:r>
      <w:r w:rsidRPr="007460BB">
        <w:rPr>
          <w:shd w:val="clear" w:color="auto" w:fill="FFFFFF"/>
        </w:rPr>
        <w:t>kuras izmanto valstī īstenotās Latvijas Goda ģimenes apliecības programmas ietvaros piešķirto apliecību</w:t>
      </w:r>
      <w:r w:rsidRPr="007460BB">
        <w:t>.</w:t>
      </w:r>
    </w:p>
  </w:footnote>
  <w:footnote w:id="10">
    <w:p w14:paraId="20BD1159" w14:textId="01688B01" w:rsidR="007460BB" w:rsidRDefault="007460BB" w:rsidP="007460BB">
      <w:pPr>
        <w:pStyle w:val="FootnoteText"/>
        <w:jc w:val="both"/>
      </w:pPr>
      <w:r>
        <w:rPr>
          <w:rStyle w:val="FootnoteReference"/>
        </w:rPr>
        <w:footnoteRef/>
      </w:r>
      <w:r>
        <w:t xml:space="preserve"> </w:t>
      </w:r>
      <w:r>
        <w:t>Personām ar I vai II grupas invaliditāti, personām līdz 18 gadu vecumam ar invaliditāti un personām, kas pavada personu ar I grupas invaliditāti vai personu līdz 18 gadu vecumam ar invaliditāti</w:t>
      </w:r>
    </w:p>
  </w:footnote>
  <w:footnote w:id="11">
    <w:p w14:paraId="60CAFF21" w14:textId="2B2B11D8" w:rsidR="00251A85" w:rsidRDefault="00251A85" w:rsidP="00253511">
      <w:pPr>
        <w:pStyle w:val="FootnoteText"/>
        <w:jc w:val="both"/>
      </w:pPr>
      <w:r>
        <w:rPr>
          <w:rStyle w:val="FootnoteReference"/>
        </w:rPr>
        <w:footnoteRef/>
      </w:r>
      <w:r>
        <w:t xml:space="preserve"> </w:t>
      </w:r>
      <w:r>
        <w:t>Vidējais personu ar invaliditāti braucienu skaits noteikts saskaņā ar 2022.gada marta līdz 2023.gada februāra datiem</w:t>
      </w:r>
    </w:p>
  </w:footnote>
  <w:footnote w:id="12">
    <w:p w14:paraId="097810A6" w14:textId="77777777" w:rsidR="00ED6458" w:rsidRPr="005E620F" w:rsidRDefault="00ED6458" w:rsidP="00ED6458">
      <w:pPr>
        <w:pStyle w:val="FootnoteText"/>
        <w:jc w:val="both"/>
      </w:pPr>
      <w:r>
        <w:rPr>
          <w:rStyle w:val="FootnoteReference"/>
        </w:rPr>
        <w:footnoteRef/>
      </w:r>
      <w:r>
        <w:t xml:space="preserve"> </w:t>
      </w:r>
      <w:r w:rsidRPr="005E620F">
        <w:t>No 2022.</w:t>
      </w:r>
      <w:r>
        <w:t> </w:t>
      </w:r>
      <w:r w:rsidRPr="005E620F">
        <w:t>gada 1.</w:t>
      </w:r>
      <w:r>
        <w:t> </w:t>
      </w:r>
      <w:r w:rsidRPr="005E620F">
        <w:t>augusta uzsākta biļešu tirdzniecība uz SIA “Latvijas Sabiedriskais Autobuss” izpildītajiem reisiem maršrutā Nr.6855 Rīga-Kalngale-Carnikava-Kadaga un ar 2022.</w:t>
      </w:r>
      <w:r>
        <w:t> </w:t>
      </w:r>
      <w:r w:rsidRPr="005E620F">
        <w:t>gada 29.</w:t>
      </w:r>
      <w:r>
        <w:t> </w:t>
      </w:r>
      <w:r w:rsidRPr="005E620F">
        <w:t>augustu ir uzsākta biļešu tirdzniecība maršrutos Nr.6821 Rīga-Ādaži-Kadaga, Nr.6822 Rīga-Ādaži-Podnieki-Garkalne un Nr.6824 Rīga-Ādaži-Carnikava.</w:t>
      </w:r>
      <w:r>
        <w:t xml:space="preserve"> </w:t>
      </w:r>
      <w:r w:rsidRPr="00931753">
        <w:t>2022.</w:t>
      </w:r>
      <w:r>
        <w:t> </w:t>
      </w:r>
      <w:r w:rsidRPr="00931753">
        <w:t>gada 22.</w:t>
      </w:r>
      <w:r>
        <w:t> </w:t>
      </w:r>
      <w:r w:rsidRPr="00931753">
        <w:t xml:space="preserve">decembrī tika uzsākta biļešu </w:t>
      </w:r>
      <w:r w:rsidRPr="009D1F93">
        <w:rPr>
          <w:i/>
          <w:iCs/>
        </w:rPr>
        <w:t xml:space="preserve">(vienreizējo, abu virzienu, bagāžas un vienreizējās biļetes 3+ karšu īpašniekiem) </w:t>
      </w:r>
      <w:r w:rsidRPr="00931753">
        <w:t>tirdzniecība internetā vilcienu līnijā Rīga-Skulte</w:t>
      </w:r>
      <w:r>
        <w:t>.</w:t>
      </w:r>
    </w:p>
  </w:footnote>
  <w:footnote w:id="13">
    <w:p w14:paraId="2B232C4D" w14:textId="2E68160B" w:rsidR="000C5BE7" w:rsidRDefault="000C5BE7">
      <w:pPr>
        <w:pStyle w:val="FootnoteText"/>
      </w:pPr>
      <w:r>
        <w:rPr>
          <w:rStyle w:val="FootnoteReference"/>
        </w:rPr>
        <w:footnoteRef/>
      </w:r>
      <w:r>
        <w:t xml:space="preserve"> </w:t>
      </w:r>
      <w:r>
        <w:t>STP Likuma 14</w:t>
      </w:r>
      <w:r w:rsidRPr="00253511">
        <w:rPr>
          <w:vertAlign w:val="superscript"/>
        </w:rPr>
        <w:t>1</w:t>
      </w:r>
      <w:r>
        <w:t>.pants</w:t>
      </w:r>
    </w:p>
  </w:footnote>
  <w:footnote w:id="14">
    <w:p w14:paraId="6E4E8D31" w14:textId="63B5BD6D" w:rsidR="000C5BE7" w:rsidRDefault="000C5BE7">
      <w:pPr>
        <w:pStyle w:val="FootnoteText"/>
      </w:pPr>
      <w:r>
        <w:rPr>
          <w:rStyle w:val="FootnoteReference"/>
        </w:rPr>
        <w:footnoteRef/>
      </w:r>
      <w:r>
        <w:t xml:space="preserve"> </w:t>
      </w:r>
      <w:r>
        <w:t>STP likuma 19.pants</w:t>
      </w:r>
    </w:p>
  </w:footnote>
  <w:footnote w:id="15">
    <w:p w14:paraId="3B049765" w14:textId="7467FACE" w:rsidR="00570C23" w:rsidRDefault="00570C23" w:rsidP="003A1457">
      <w:pPr>
        <w:pStyle w:val="FootnoteText"/>
        <w:jc w:val="both"/>
      </w:pPr>
      <w:r>
        <w:rPr>
          <w:rStyle w:val="FootnoteReference"/>
        </w:rPr>
        <w:footnoteRef/>
      </w:r>
      <w:r>
        <w:t xml:space="preserve"> </w:t>
      </w:r>
      <w:r>
        <w:t>Pēdējie prognožu precizējumi veikti 2023.gada marta sākumā atbilstoši iesniegtajiem datiem no valstspilsētu pašvaldībām</w:t>
      </w:r>
    </w:p>
  </w:footnote>
  <w:footnote w:id="16">
    <w:p w14:paraId="2E092D04" w14:textId="7C65F418" w:rsidR="00570C23" w:rsidRPr="00210690" w:rsidRDefault="00570C23" w:rsidP="00253511">
      <w:pPr>
        <w:pStyle w:val="FootnoteText"/>
        <w:jc w:val="both"/>
      </w:pPr>
      <w:r>
        <w:rPr>
          <w:rStyle w:val="FootnoteReference"/>
        </w:rPr>
        <w:footnoteRef/>
      </w:r>
      <w:r>
        <w:t xml:space="preserve"> </w:t>
      </w:r>
      <w:r w:rsidRPr="00210690">
        <w:t xml:space="preserve">Finansējums un kompensējamie zaudējumi norādīti kopā – par personu ar invaliditāti pārvadāšanu un par </w:t>
      </w:r>
      <w:r w:rsidRPr="00253511">
        <w:t>pārvadājumiem, kas ir ārpus pilsētas administratīvās teritorijas, ja maršruta daļa ir vairāk kā 30% no kopējā maršruta garuma</w:t>
      </w:r>
      <w:r>
        <w:t>.</w:t>
      </w:r>
    </w:p>
  </w:footnote>
  <w:footnote w:id="17">
    <w:p w14:paraId="5F7D7B2C" w14:textId="1D733690" w:rsidR="00CE7E52" w:rsidRPr="00CE7E52" w:rsidRDefault="00CE7E52" w:rsidP="00CE7E52">
      <w:pPr>
        <w:pStyle w:val="FootnoteText"/>
        <w:jc w:val="both"/>
      </w:pPr>
      <w:r>
        <w:rPr>
          <w:rStyle w:val="FootnoteReference"/>
        </w:rPr>
        <w:footnoteRef/>
      </w:r>
      <w:r>
        <w:t xml:space="preserve"> </w:t>
      </w:r>
      <w:r w:rsidRPr="00CE7E52">
        <w:t xml:space="preserve">31.06.00. apakšprogrammā “Dotācija zaudējumu segšanai sabiedriskā transporta pakalpojumu sniedzējiem” ir apvienotas kā vispārējo zaudējumu kompensācija, tā arī kompensācija par personu ar braukšanas maksas atvieglojumiem pārvadāšanu, kas bija noteiktas ar atsevišķu 31.07.00. apakšprogrammu līdz 2021.gadam </w:t>
      </w:r>
      <w:r w:rsidR="00AE314E">
        <w:t>“D</w:t>
      </w:r>
      <w:r w:rsidRPr="00CE7E52">
        <w:t>otācija sabiedriskā transporta pakalpojumu sniedzējiem ar braukšanas maksas atvieglojumiem saistīto zaudējumu segšanai”</w:t>
      </w:r>
    </w:p>
  </w:footnote>
  <w:footnote w:id="18">
    <w:p w14:paraId="1A3C1C76" w14:textId="12633822" w:rsidR="00A75A31" w:rsidRDefault="00A75A31" w:rsidP="001A2E9D">
      <w:pPr>
        <w:pStyle w:val="FootnoteText"/>
      </w:pPr>
      <w:r>
        <w:rPr>
          <w:rStyle w:val="FootnoteReference"/>
        </w:rPr>
        <w:footnoteRef/>
      </w:r>
      <w:r>
        <w:t xml:space="preserve"> </w:t>
      </w:r>
      <w:r>
        <w:t xml:space="preserve">Statistikas </w:t>
      </w:r>
      <w:r w:rsidRPr="008A0098">
        <w:t xml:space="preserve">pārvaldes dati </w:t>
      </w:r>
      <w:r>
        <w:t xml:space="preserve">- </w:t>
      </w:r>
      <w:r w:rsidRPr="008A0098">
        <w:rPr>
          <w:shd w:val="clear" w:color="auto" w:fill="FFFFFF"/>
        </w:rPr>
        <w:t>Patēriņa cenu pārmaiņas 2022. gada decembrī</w:t>
      </w:r>
      <w:r w:rsidR="00BA7F12">
        <w:rPr>
          <w:shd w:val="clear" w:color="auto" w:fill="FFFFFF"/>
        </w:rPr>
        <w:t>,</w:t>
      </w:r>
      <w:r w:rsidRPr="008A0098">
        <w:rPr>
          <w:shd w:val="clear" w:color="auto" w:fill="FFFFFF"/>
        </w:rPr>
        <w:t xml:space="preserve"> salīdzinot ar 2021. gada decembri</w:t>
      </w:r>
    </w:p>
  </w:footnote>
  <w:footnote w:id="19">
    <w:p w14:paraId="5CFA7D27" w14:textId="7CEB289C" w:rsidR="001A2E9D" w:rsidRPr="00253511" w:rsidRDefault="001A2E9D" w:rsidP="00CA2BB6">
      <w:pPr>
        <w:pStyle w:val="Heading1"/>
        <w:shd w:val="clear" w:color="auto" w:fill="FFFFFF"/>
        <w:spacing w:before="0" w:beforeAutospacing="0" w:after="0" w:afterAutospacing="0"/>
        <w:jc w:val="both"/>
        <w:textAlignment w:val="baseline"/>
        <w:rPr>
          <w:color w:val="5A5A5A"/>
          <w:sz w:val="16"/>
          <w:szCs w:val="16"/>
        </w:rPr>
      </w:pPr>
      <w:r w:rsidRPr="00CA2BB6">
        <w:rPr>
          <w:rStyle w:val="FootnoteReference"/>
          <w:b w:val="0"/>
          <w:bCs w:val="0"/>
          <w:sz w:val="20"/>
          <w:szCs w:val="20"/>
        </w:rPr>
        <w:footnoteRef/>
      </w:r>
      <w:r w:rsidRPr="00CA2BB6">
        <w:rPr>
          <w:b w:val="0"/>
          <w:bCs w:val="0"/>
          <w:sz w:val="20"/>
          <w:szCs w:val="20"/>
        </w:rPr>
        <w:t xml:space="preserve"> </w:t>
      </w:r>
      <w:r w:rsidRPr="00CA2BB6">
        <w:rPr>
          <w:b w:val="0"/>
          <w:bCs w:val="0"/>
          <w:sz w:val="20"/>
          <w:szCs w:val="20"/>
        </w:rPr>
        <w:t xml:space="preserve">Statistikas pārvaldes dati - </w:t>
      </w:r>
      <w:r w:rsidRPr="00CA2BB6">
        <w:rPr>
          <w:b w:val="0"/>
          <w:bCs w:val="0"/>
          <w:color w:val="5A5A5A"/>
          <w:sz w:val="20"/>
          <w:szCs w:val="20"/>
        </w:rPr>
        <w:t>Strādājošo mēneša vidējā darba samaksa </w:t>
      </w:r>
      <w:r>
        <w:rPr>
          <w:b w:val="0"/>
          <w:bCs w:val="0"/>
          <w:color w:val="5A5A5A"/>
          <w:sz w:val="20"/>
          <w:szCs w:val="20"/>
        </w:rPr>
        <w:t>(neto) – salīdzinājumā 2022.gads ar 2020.gadu</w:t>
      </w:r>
    </w:p>
  </w:footnote>
  <w:footnote w:id="20">
    <w:p w14:paraId="37324862" w14:textId="196C50D3" w:rsidR="0064441A" w:rsidRDefault="0064441A">
      <w:pPr>
        <w:pStyle w:val="FootnoteText"/>
      </w:pPr>
      <w:r>
        <w:rPr>
          <w:rStyle w:val="FootnoteReference"/>
        </w:rPr>
        <w:footnoteRef/>
      </w:r>
      <w:r>
        <w:t xml:space="preserve"> </w:t>
      </w:r>
      <w:r>
        <w:t>Statistikas pārvaldes dati attiecībā uz plānošanas reģioniem pēc Administratīvi teritoriālās reformas 2021.gadā</w:t>
      </w:r>
    </w:p>
  </w:footnote>
  <w:footnote w:id="21">
    <w:p w14:paraId="7FB8BA97" w14:textId="7601F883" w:rsidR="005E495A" w:rsidRDefault="005E495A" w:rsidP="00CA2BB6">
      <w:pPr>
        <w:pStyle w:val="FootnoteText"/>
        <w:jc w:val="both"/>
      </w:pPr>
      <w:r>
        <w:rPr>
          <w:rStyle w:val="FootnoteReference"/>
        </w:rPr>
        <w:footnoteRef/>
      </w:r>
      <w:r>
        <w:t xml:space="preserve"> </w:t>
      </w:r>
      <w:r>
        <w:t>Autotransporta direkcijas 2020.gadā pasūtīts pētījums par vienota reģionālās nozīmes pārvadājumos ar autobusiem tarifa (braukšanas maksas) izveidošanu.</w:t>
      </w:r>
    </w:p>
  </w:footnote>
  <w:footnote w:id="22">
    <w:p w14:paraId="020A881E" w14:textId="0A5103C0" w:rsidR="001948DB" w:rsidRDefault="001948DB">
      <w:pPr>
        <w:pStyle w:val="FootnoteText"/>
      </w:pPr>
      <w:r>
        <w:rPr>
          <w:rStyle w:val="FootnoteReference"/>
        </w:rPr>
        <w:footnoteRef/>
      </w:r>
      <w:r>
        <w:t xml:space="preserve"> </w:t>
      </w:r>
      <w:r w:rsidRPr="000511A0">
        <w:rPr>
          <w:color w:val="000000"/>
        </w:rPr>
        <w:t>OV C 35, 1.2.2021.</w:t>
      </w:r>
    </w:p>
  </w:footnote>
  <w:footnote w:id="23">
    <w:p w14:paraId="408C067F" w14:textId="37E5C57B" w:rsidR="00C57BE4" w:rsidRPr="00C57BE4" w:rsidRDefault="00C57BE4" w:rsidP="00C57BE4">
      <w:pPr>
        <w:jc w:val="both"/>
        <w:rPr>
          <w:sz w:val="20"/>
          <w:szCs w:val="20"/>
        </w:rPr>
      </w:pPr>
      <w:r>
        <w:rPr>
          <w:rStyle w:val="FootnoteReference"/>
        </w:rPr>
        <w:footnoteRef/>
      </w:r>
      <w:r>
        <w:t xml:space="preserve"> </w:t>
      </w:r>
      <w:r w:rsidRPr="00C57BE4">
        <w:rPr>
          <w:sz w:val="20"/>
          <w:szCs w:val="20"/>
        </w:rPr>
        <w:t xml:space="preserve">Kilometru samazinājums noteikts saskaņā ar 2023.gada prognozi komercmaršrutiem </w:t>
      </w:r>
      <w:r w:rsidRPr="00C57BE4">
        <w:rPr>
          <w:rFonts w:eastAsia="Calibri"/>
          <w:sz w:val="20"/>
          <w:szCs w:val="20"/>
        </w:rPr>
        <w:t>Rīga–Daugavpils, Rīga–Jaunķemeri, Rīga–Sloka, Rīga–Salaspils, Rīga–Jelgava, Rīga–Sigulda, Rīga</w:t>
      </w:r>
      <w:bookmarkStart w:id="7" w:name="_Hlk107486120"/>
      <w:r w:rsidRPr="00C57BE4">
        <w:rPr>
          <w:rFonts w:eastAsia="Calibri"/>
          <w:sz w:val="20"/>
          <w:szCs w:val="20"/>
        </w:rPr>
        <w:t>–</w:t>
      </w:r>
      <w:bookmarkEnd w:id="7"/>
      <w:r w:rsidRPr="00C57BE4">
        <w:rPr>
          <w:rFonts w:eastAsia="Calibri"/>
          <w:sz w:val="20"/>
          <w:szCs w:val="20"/>
        </w:rPr>
        <w:t>Ogre</w:t>
      </w:r>
    </w:p>
  </w:footnote>
  <w:footnote w:id="24">
    <w:p w14:paraId="61184BE5" w14:textId="77777777" w:rsidR="00444751" w:rsidRDefault="00444751" w:rsidP="00742E4A">
      <w:pPr>
        <w:pStyle w:val="FootnoteText"/>
        <w:jc w:val="both"/>
      </w:pPr>
      <w:r>
        <w:rPr>
          <w:rStyle w:val="FootnoteReference"/>
        </w:rPr>
        <w:footnoteRef/>
      </w:r>
      <w:r>
        <w:t xml:space="preserve"> </w:t>
      </w:r>
      <w:r>
        <w:t>Finansiālais novērtējums noteiks ar piesardzību, ievērojot to, ka faktiskā ietekme novērtējama tikai pēc maršrutu tīkla izvērtēšanas.</w:t>
      </w:r>
    </w:p>
  </w:footnote>
  <w:footnote w:id="25">
    <w:p w14:paraId="7676AF7A" w14:textId="23CB63E9" w:rsidR="00444751" w:rsidRDefault="00444751" w:rsidP="00F351DC">
      <w:pPr>
        <w:pStyle w:val="FootnoteText"/>
        <w:jc w:val="both"/>
      </w:pPr>
      <w:r>
        <w:rPr>
          <w:rStyle w:val="FootnoteReference"/>
        </w:rPr>
        <w:footnoteRef/>
      </w:r>
      <w:r>
        <w:t xml:space="preserve"> </w:t>
      </w:r>
      <w:r>
        <w:t>Pasākuma ieviešana nodrošināma ar dzelzceļa peronu labiekārtošanu un dzelzceļa pārvadājumu intensitātes palielināšanu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4854020"/>
      <w:docPartObj>
        <w:docPartGallery w:val="Page Numbers (Top of Page)"/>
        <w:docPartUnique/>
      </w:docPartObj>
    </w:sdtPr>
    <w:sdtEndPr>
      <w:rPr>
        <w:noProof/>
      </w:rPr>
    </w:sdtEndPr>
    <w:sdtContent>
      <w:p w14:paraId="4ED66505" w14:textId="74F4DCA5" w:rsidR="00DF109F" w:rsidRDefault="00DF109F">
        <w:pPr>
          <w:pStyle w:val="Header"/>
          <w:jc w:val="center"/>
        </w:pPr>
        <w:r>
          <w:fldChar w:fldCharType="begin"/>
        </w:r>
        <w:r>
          <w:instrText xml:space="preserve"> PAGE   \* MERGEFORMAT </w:instrText>
        </w:r>
        <w:r>
          <w:fldChar w:fldCharType="separate"/>
        </w:r>
        <w:r>
          <w:rPr>
            <w:noProof/>
          </w:rPr>
          <w:t>22</w:t>
        </w:r>
        <w:r>
          <w:rPr>
            <w:noProof/>
          </w:rPr>
          <w:fldChar w:fldCharType="end"/>
        </w:r>
      </w:p>
    </w:sdtContent>
  </w:sdt>
  <w:p w14:paraId="11EE602A" w14:textId="77777777" w:rsidR="00DF109F" w:rsidRDefault="00DF10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32CA0" w14:textId="7E926C9E" w:rsidR="00DF109F" w:rsidRDefault="00DF109F" w:rsidP="00FD6551">
    <w:pPr>
      <w:pStyle w:val="Header"/>
      <w:jc w:val="right"/>
    </w:pPr>
    <w:r>
      <w:t>PROJEKTS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649F4"/>
    <w:multiLevelType w:val="hybridMultilevel"/>
    <w:tmpl w:val="B6648E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51E101A"/>
    <w:multiLevelType w:val="multilevel"/>
    <w:tmpl w:val="C63EB124"/>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b/>
        <w:bCs/>
      </w:rPr>
    </w:lvl>
    <w:lvl w:ilvl="2">
      <w:start w:val="1"/>
      <w:numFmt w:val="decimal"/>
      <w:isLgl/>
      <w:lvlText w:val="%1.%2.%3."/>
      <w:lvlJc w:val="left"/>
      <w:pPr>
        <w:ind w:left="1429" w:hanging="720"/>
      </w:pPr>
      <w:rPr>
        <w:rFonts w:hint="default"/>
        <w:b/>
        <w:bCs/>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 w15:restartNumberingAfterBreak="0">
    <w:nsid w:val="081D61DB"/>
    <w:multiLevelType w:val="hybridMultilevel"/>
    <w:tmpl w:val="102008A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DF50D7"/>
    <w:multiLevelType w:val="hybridMultilevel"/>
    <w:tmpl w:val="2604BC0E"/>
    <w:lvl w:ilvl="0" w:tplc="8E8623D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177B031C"/>
    <w:multiLevelType w:val="hybridMultilevel"/>
    <w:tmpl w:val="D498762C"/>
    <w:lvl w:ilvl="0" w:tplc="879A9042">
      <w:start w:val="19"/>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5" w15:restartNumberingAfterBreak="0">
    <w:nsid w:val="180F3855"/>
    <w:multiLevelType w:val="hybridMultilevel"/>
    <w:tmpl w:val="24BA390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1C8F52B2"/>
    <w:multiLevelType w:val="hybridMultilevel"/>
    <w:tmpl w:val="DD3E0F82"/>
    <w:lvl w:ilvl="0" w:tplc="61B6E5A0">
      <w:start w:val="1"/>
      <w:numFmt w:val="decimal"/>
      <w:lvlText w:val="%1)"/>
      <w:lvlJc w:val="left"/>
      <w:pPr>
        <w:ind w:left="1114" w:hanging="405"/>
      </w:pPr>
      <w:rPr>
        <w:rFonts w:ascii="Times New Roman" w:eastAsia="Times New Roman" w:hAnsi="Times New Roman" w:cs="Times New Roman"/>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7" w15:restartNumberingAfterBreak="0">
    <w:nsid w:val="1F036AA3"/>
    <w:multiLevelType w:val="multilevel"/>
    <w:tmpl w:val="8CAC2C1C"/>
    <w:lvl w:ilvl="0">
      <w:start w:val="2"/>
      <w:numFmt w:val="decimal"/>
      <w:lvlText w:val="%1."/>
      <w:lvlJc w:val="left"/>
      <w:pPr>
        <w:ind w:left="585" w:hanging="58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25E5748D"/>
    <w:multiLevelType w:val="multilevel"/>
    <w:tmpl w:val="E80C93C8"/>
    <w:lvl w:ilvl="0">
      <w:start w:val="1"/>
      <w:numFmt w:val="decimal"/>
      <w:lvlText w:val="%1."/>
      <w:lvlJc w:val="left"/>
      <w:pPr>
        <w:ind w:left="360" w:hanging="360"/>
      </w:pPr>
      <w:rPr>
        <w:rFonts w:ascii="Times New Roman" w:eastAsia="Calibri"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7174CC4"/>
    <w:multiLevelType w:val="hybridMultilevel"/>
    <w:tmpl w:val="79FC545C"/>
    <w:lvl w:ilvl="0" w:tplc="1D8024AE">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0" w15:restartNumberingAfterBreak="0">
    <w:nsid w:val="28EC1519"/>
    <w:multiLevelType w:val="hybridMultilevel"/>
    <w:tmpl w:val="DF52D04A"/>
    <w:lvl w:ilvl="0" w:tplc="B468908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C880F64"/>
    <w:multiLevelType w:val="hybridMultilevel"/>
    <w:tmpl w:val="73AC16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F033A26"/>
    <w:multiLevelType w:val="hybridMultilevel"/>
    <w:tmpl w:val="3676987C"/>
    <w:lvl w:ilvl="0" w:tplc="86DC219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2F5754A8"/>
    <w:multiLevelType w:val="hybridMultilevel"/>
    <w:tmpl w:val="E21E4E58"/>
    <w:lvl w:ilvl="0" w:tplc="04260001">
      <w:start w:val="1"/>
      <w:numFmt w:val="bullet"/>
      <w:lvlText w:val=""/>
      <w:lvlJc w:val="left"/>
      <w:pPr>
        <w:ind w:left="1512" w:hanging="360"/>
      </w:pPr>
      <w:rPr>
        <w:rFonts w:ascii="Symbol" w:hAnsi="Symbol" w:hint="default"/>
      </w:rPr>
    </w:lvl>
    <w:lvl w:ilvl="1" w:tplc="04260003" w:tentative="1">
      <w:start w:val="1"/>
      <w:numFmt w:val="bullet"/>
      <w:lvlText w:val="o"/>
      <w:lvlJc w:val="left"/>
      <w:pPr>
        <w:ind w:left="2232" w:hanging="360"/>
      </w:pPr>
      <w:rPr>
        <w:rFonts w:ascii="Courier New" w:hAnsi="Courier New" w:cs="Courier New" w:hint="default"/>
      </w:rPr>
    </w:lvl>
    <w:lvl w:ilvl="2" w:tplc="04260005" w:tentative="1">
      <w:start w:val="1"/>
      <w:numFmt w:val="bullet"/>
      <w:lvlText w:val=""/>
      <w:lvlJc w:val="left"/>
      <w:pPr>
        <w:ind w:left="2952" w:hanging="360"/>
      </w:pPr>
      <w:rPr>
        <w:rFonts w:ascii="Wingdings" w:hAnsi="Wingdings" w:hint="default"/>
      </w:rPr>
    </w:lvl>
    <w:lvl w:ilvl="3" w:tplc="04260001" w:tentative="1">
      <w:start w:val="1"/>
      <w:numFmt w:val="bullet"/>
      <w:lvlText w:val=""/>
      <w:lvlJc w:val="left"/>
      <w:pPr>
        <w:ind w:left="3672" w:hanging="360"/>
      </w:pPr>
      <w:rPr>
        <w:rFonts w:ascii="Symbol" w:hAnsi="Symbol" w:hint="default"/>
      </w:rPr>
    </w:lvl>
    <w:lvl w:ilvl="4" w:tplc="04260003" w:tentative="1">
      <w:start w:val="1"/>
      <w:numFmt w:val="bullet"/>
      <w:lvlText w:val="o"/>
      <w:lvlJc w:val="left"/>
      <w:pPr>
        <w:ind w:left="4392" w:hanging="360"/>
      </w:pPr>
      <w:rPr>
        <w:rFonts w:ascii="Courier New" w:hAnsi="Courier New" w:cs="Courier New" w:hint="default"/>
      </w:rPr>
    </w:lvl>
    <w:lvl w:ilvl="5" w:tplc="04260005" w:tentative="1">
      <w:start w:val="1"/>
      <w:numFmt w:val="bullet"/>
      <w:lvlText w:val=""/>
      <w:lvlJc w:val="left"/>
      <w:pPr>
        <w:ind w:left="5112" w:hanging="360"/>
      </w:pPr>
      <w:rPr>
        <w:rFonts w:ascii="Wingdings" w:hAnsi="Wingdings" w:hint="default"/>
      </w:rPr>
    </w:lvl>
    <w:lvl w:ilvl="6" w:tplc="04260001" w:tentative="1">
      <w:start w:val="1"/>
      <w:numFmt w:val="bullet"/>
      <w:lvlText w:val=""/>
      <w:lvlJc w:val="left"/>
      <w:pPr>
        <w:ind w:left="5832" w:hanging="360"/>
      </w:pPr>
      <w:rPr>
        <w:rFonts w:ascii="Symbol" w:hAnsi="Symbol" w:hint="default"/>
      </w:rPr>
    </w:lvl>
    <w:lvl w:ilvl="7" w:tplc="04260003" w:tentative="1">
      <w:start w:val="1"/>
      <w:numFmt w:val="bullet"/>
      <w:lvlText w:val="o"/>
      <w:lvlJc w:val="left"/>
      <w:pPr>
        <w:ind w:left="6552" w:hanging="360"/>
      </w:pPr>
      <w:rPr>
        <w:rFonts w:ascii="Courier New" w:hAnsi="Courier New" w:cs="Courier New" w:hint="default"/>
      </w:rPr>
    </w:lvl>
    <w:lvl w:ilvl="8" w:tplc="04260005" w:tentative="1">
      <w:start w:val="1"/>
      <w:numFmt w:val="bullet"/>
      <w:lvlText w:val=""/>
      <w:lvlJc w:val="left"/>
      <w:pPr>
        <w:ind w:left="7272" w:hanging="360"/>
      </w:pPr>
      <w:rPr>
        <w:rFonts w:ascii="Wingdings" w:hAnsi="Wingdings" w:hint="default"/>
      </w:rPr>
    </w:lvl>
  </w:abstractNum>
  <w:abstractNum w:abstractNumId="14" w15:restartNumberingAfterBreak="0">
    <w:nsid w:val="3021127D"/>
    <w:multiLevelType w:val="hybridMultilevel"/>
    <w:tmpl w:val="12DE2796"/>
    <w:lvl w:ilvl="0" w:tplc="8D5C8E56">
      <w:start w:val="2015"/>
      <w:numFmt w:val="bullet"/>
      <w:lvlText w:val="-"/>
      <w:lvlJc w:val="left"/>
      <w:pPr>
        <w:ind w:left="1440" w:hanging="360"/>
      </w:pPr>
      <w:rPr>
        <w:rFonts w:ascii="Calibri" w:eastAsiaTheme="minorEastAsia" w:hAnsi="Calibri" w:cstheme="minorBidi"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30CC4B9A"/>
    <w:multiLevelType w:val="hybridMultilevel"/>
    <w:tmpl w:val="3E1E9A2A"/>
    <w:lvl w:ilvl="0" w:tplc="65B8D5CA">
      <w:start w:val="16"/>
      <w:numFmt w:val="bullet"/>
      <w:lvlText w:val="-"/>
      <w:lvlJc w:val="left"/>
      <w:pPr>
        <w:ind w:left="1069" w:hanging="360"/>
      </w:pPr>
      <w:rPr>
        <w:rFonts w:ascii="Times New Roman" w:eastAsiaTheme="minorHAns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6" w15:restartNumberingAfterBreak="0">
    <w:nsid w:val="3229173C"/>
    <w:multiLevelType w:val="hybridMultilevel"/>
    <w:tmpl w:val="A252A1A6"/>
    <w:lvl w:ilvl="0" w:tplc="DC9833E8">
      <w:start w:val="1"/>
      <w:numFmt w:val="decimal"/>
      <w:lvlText w:val="%1)"/>
      <w:lvlJc w:val="left"/>
      <w:pPr>
        <w:ind w:left="1114" w:hanging="405"/>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7" w15:restartNumberingAfterBreak="0">
    <w:nsid w:val="36D71CAB"/>
    <w:multiLevelType w:val="hybridMultilevel"/>
    <w:tmpl w:val="D19CEA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AFB7940"/>
    <w:multiLevelType w:val="hybridMultilevel"/>
    <w:tmpl w:val="60A4DADC"/>
    <w:lvl w:ilvl="0" w:tplc="9C14370E">
      <w:start w:val="1"/>
      <w:numFmt w:val="upperRoman"/>
      <w:lvlText w:val="%1."/>
      <w:lvlJc w:val="left"/>
      <w:pPr>
        <w:ind w:left="1429" w:hanging="72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9" w15:restartNumberingAfterBreak="0">
    <w:nsid w:val="3C444389"/>
    <w:multiLevelType w:val="hybridMultilevel"/>
    <w:tmpl w:val="D142741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22C664B"/>
    <w:multiLevelType w:val="hybridMultilevel"/>
    <w:tmpl w:val="C4B625A4"/>
    <w:lvl w:ilvl="0" w:tplc="E61A2A22">
      <w:start w:val="1"/>
      <w:numFmt w:val="decimal"/>
      <w:lvlText w:val="%1)"/>
      <w:lvlJc w:val="left"/>
      <w:pPr>
        <w:ind w:left="928" w:hanging="360"/>
      </w:pPr>
    </w:lvl>
    <w:lvl w:ilvl="1" w:tplc="04260019">
      <w:start w:val="1"/>
      <w:numFmt w:val="lowerLetter"/>
      <w:lvlText w:val="%2."/>
      <w:lvlJc w:val="left"/>
      <w:pPr>
        <w:ind w:left="1648" w:hanging="360"/>
      </w:pPr>
    </w:lvl>
    <w:lvl w:ilvl="2" w:tplc="0426001B">
      <w:start w:val="1"/>
      <w:numFmt w:val="lowerRoman"/>
      <w:lvlText w:val="%3."/>
      <w:lvlJc w:val="right"/>
      <w:pPr>
        <w:ind w:left="2368" w:hanging="180"/>
      </w:pPr>
    </w:lvl>
    <w:lvl w:ilvl="3" w:tplc="0426000F">
      <w:start w:val="1"/>
      <w:numFmt w:val="decimal"/>
      <w:lvlText w:val="%4."/>
      <w:lvlJc w:val="left"/>
      <w:pPr>
        <w:ind w:left="3088" w:hanging="360"/>
      </w:pPr>
    </w:lvl>
    <w:lvl w:ilvl="4" w:tplc="04260019">
      <w:start w:val="1"/>
      <w:numFmt w:val="lowerLetter"/>
      <w:lvlText w:val="%5."/>
      <w:lvlJc w:val="left"/>
      <w:pPr>
        <w:ind w:left="3808" w:hanging="360"/>
      </w:pPr>
    </w:lvl>
    <w:lvl w:ilvl="5" w:tplc="0426001B">
      <w:start w:val="1"/>
      <w:numFmt w:val="lowerRoman"/>
      <w:lvlText w:val="%6."/>
      <w:lvlJc w:val="right"/>
      <w:pPr>
        <w:ind w:left="4528" w:hanging="180"/>
      </w:pPr>
    </w:lvl>
    <w:lvl w:ilvl="6" w:tplc="0426000F">
      <w:start w:val="1"/>
      <w:numFmt w:val="decimal"/>
      <w:lvlText w:val="%7."/>
      <w:lvlJc w:val="left"/>
      <w:pPr>
        <w:ind w:left="5248" w:hanging="360"/>
      </w:pPr>
    </w:lvl>
    <w:lvl w:ilvl="7" w:tplc="04260019">
      <w:start w:val="1"/>
      <w:numFmt w:val="lowerLetter"/>
      <w:lvlText w:val="%8."/>
      <w:lvlJc w:val="left"/>
      <w:pPr>
        <w:ind w:left="5968" w:hanging="360"/>
      </w:pPr>
    </w:lvl>
    <w:lvl w:ilvl="8" w:tplc="0426001B">
      <w:start w:val="1"/>
      <w:numFmt w:val="lowerRoman"/>
      <w:lvlText w:val="%9."/>
      <w:lvlJc w:val="right"/>
      <w:pPr>
        <w:ind w:left="6688" w:hanging="180"/>
      </w:pPr>
    </w:lvl>
  </w:abstractNum>
  <w:abstractNum w:abstractNumId="21" w15:restartNumberingAfterBreak="0">
    <w:nsid w:val="42381EB8"/>
    <w:multiLevelType w:val="hybridMultilevel"/>
    <w:tmpl w:val="24BA3908"/>
    <w:lvl w:ilvl="0" w:tplc="AE5A604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429A4F9F"/>
    <w:multiLevelType w:val="multilevel"/>
    <w:tmpl w:val="8CB44AF4"/>
    <w:lvl w:ilvl="0">
      <w:start w:val="2"/>
      <w:numFmt w:val="decimal"/>
      <w:lvlText w:val="%1."/>
      <w:lvlJc w:val="left"/>
      <w:pPr>
        <w:ind w:left="390" w:hanging="390"/>
      </w:pPr>
      <w:rPr>
        <w:rFonts w:hint="default"/>
        <w:b/>
        <w:color w:val="000000"/>
      </w:rPr>
    </w:lvl>
    <w:lvl w:ilvl="1">
      <w:start w:val="1"/>
      <w:numFmt w:val="decimal"/>
      <w:lvlText w:val="%1.%2."/>
      <w:lvlJc w:val="left"/>
      <w:pPr>
        <w:ind w:left="720" w:hanging="72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1080" w:hanging="108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440" w:hanging="144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800" w:hanging="180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23" w15:restartNumberingAfterBreak="0">
    <w:nsid w:val="43FF4DD4"/>
    <w:multiLevelType w:val="hybridMultilevel"/>
    <w:tmpl w:val="6AEA306C"/>
    <w:lvl w:ilvl="0" w:tplc="0426000F">
      <w:start w:val="1"/>
      <w:numFmt w:val="decimal"/>
      <w:lvlText w:val="%1."/>
      <w:lvlJc w:val="left"/>
      <w:pPr>
        <w:ind w:left="1440" w:hanging="360"/>
      </w:pPr>
    </w:lvl>
    <w:lvl w:ilvl="1" w:tplc="04545CE6">
      <w:start w:val="1"/>
      <w:numFmt w:val="decimal"/>
      <w:lvlText w:val="%2)"/>
      <w:lvlJc w:val="left"/>
      <w:pPr>
        <w:ind w:left="2160" w:hanging="360"/>
      </w:pPr>
      <w:rPr>
        <w:rFonts w:hint="default"/>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4" w15:restartNumberingAfterBreak="0">
    <w:nsid w:val="449834D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7903058"/>
    <w:multiLevelType w:val="multilevel"/>
    <w:tmpl w:val="1E0C27BC"/>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E79318A"/>
    <w:multiLevelType w:val="hybridMultilevel"/>
    <w:tmpl w:val="61427950"/>
    <w:lvl w:ilvl="0" w:tplc="0426000F">
      <w:start w:val="1"/>
      <w:numFmt w:val="decimal"/>
      <w:lvlText w:val="%1."/>
      <w:lvlJc w:val="left"/>
      <w:pPr>
        <w:ind w:left="928" w:hanging="360"/>
      </w:pPr>
    </w:lvl>
    <w:lvl w:ilvl="1" w:tplc="FFFFFFFF">
      <w:start w:val="1"/>
      <w:numFmt w:val="lowerLetter"/>
      <w:lvlText w:val="%2."/>
      <w:lvlJc w:val="left"/>
      <w:pPr>
        <w:ind w:left="1648" w:hanging="360"/>
      </w:pPr>
    </w:lvl>
    <w:lvl w:ilvl="2" w:tplc="FFFFFFFF">
      <w:start w:val="1"/>
      <w:numFmt w:val="lowerRoman"/>
      <w:lvlText w:val="%3."/>
      <w:lvlJc w:val="right"/>
      <w:pPr>
        <w:ind w:left="2368" w:hanging="180"/>
      </w:pPr>
    </w:lvl>
    <w:lvl w:ilvl="3" w:tplc="FFFFFFFF">
      <w:start w:val="1"/>
      <w:numFmt w:val="decimal"/>
      <w:lvlText w:val="%4."/>
      <w:lvlJc w:val="left"/>
      <w:pPr>
        <w:ind w:left="3088" w:hanging="360"/>
      </w:pPr>
    </w:lvl>
    <w:lvl w:ilvl="4" w:tplc="FFFFFFFF">
      <w:start w:val="1"/>
      <w:numFmt w:val="lowerLetter"/>
      <w:lvlText w:val="%5."/>
      <w:lvlJc w:val="left"/>
      <w:pPr>
        <w:ind w:left="3808" w:hanging="360"/>
      </w:pPr>
    </w:lvl>
    <w:lvl w:ilvl="5" w:tplc="FFFFFFFF">
      <w:start w:val="1"/>
      <w:numFmt w:val="lowerRoman"/>
      <w:lvlText w:val="%6."/>
      <w:lvlJc w:val="right"/>
      <w:pPr>
        <w:ind w:left="4528" w:hanging="180"/>
      </w:pPr>
    </w:lvl>
    <w:lvl w:ilvl="6" w:tplc="FFFFFFFF">
      <w:start w:val="1"/>
      <w:numFmt w:val="decimal"/>
      <w:lvlText w:val="%7."/>
      <w:lvlJc w:val="left"/>
      <w:pPr>
        <w:ind w:left="5248" w:hanging="360"/>
      </w:pPr>
    </w:lvl>
    <w:lvl w:ilvl="7" w:tplc="FFFFFFFF">
      <w:start w:val="1"/>
      <w:numFmt w:val="lowerLetter"/>
      <w:lvlText w:val="%8."/>
      <w:lvlJc w:val="left"/>
      <w:pPr>
        <w:ind w:left="5968" w:hanging="360"/>
      </w:pPr>
    </w:lvl>
    <w:lvl w:ilvl="8" w:tplc="FFFFFFFF">
      <w:start w:val="1"/>
      <w:numFmt w:val="lowerRoman"/>
      <w:lvlText w:val="%9."/>
      <w:lvlJc w:val="right"/>
      <w:pPr>
        <w:ind w:left="6688" w:hanging="180"/>
      </w:pPr>
    </w:lvl>
  </w:abstractNum>
  <w:abstractNum w:abstractNumId="27" w15:restartNumberingAfterBreak="0">
    <w:nsid w:val="5A646535"/>
    <w:multiLevelType w:val="hybridMultilevel"/>
    <w:tmpl w:val="FDFC67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0015183"/>
    <w:multiLevelType w:val="hybridMultilevel"/>
    <w:tmpl w:val="DA324B1E"/>
    <w:lvl w:ilvl="0" w:tplc="166A65F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9" w15:restartNumberingAfterBreak="0">
    <w:nsid w:val="66DC4580"/>
    <w:multiLevelType w:val="hybridMultilevel"/>
    <w:tmpl w:val="2494BB7E"/>
    <w:lvl w:ilvl="0" w:tplc="7CBEE97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0" w15:restartNumberingAfterBreak="0">
    <w:nsid w:val="66E82386"/>
    <w:multiLevelType w:val="hybridMultilevel"/>
    <w:tmpl w:val="875E92B0"/>
    <w:lvl w:ilvl="0" w:tplc="E05A923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1" w15:restartNumberingAfterBreak="0">
    <w:nsid w:val="68C927DA"/>
    <w:multiLevelType w:val="hybridMultilevel"/>
    <w:tmpl w:val="CDE2EE34"/>
    <w:lvl w:ilvl="0" w:tplc="F9804A5A">
      <w:start w:val="3"/>
      <w:numFmt w:val="bullet"/>
      <w:lvlText w:val="-"/>
      <w:lvlJc w:val="left"/>
      <w:pPr>
        <w:ind w:left="1800" w:hanging="360"/>
      </w:pPr>
      <w:rPr>
        <w:rFonts w:ascii="Times New Roman" w:eastAsia="Times New Roman" w:hAnsi="Times New Roman" w:cs="Times New Roman"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32" w15:restartNumberingAfterBreak="0">
    <w:nsid w:val="697B725B"/>
    <w:multiLevelType w:val="hybridMultilevel"/>
    <w:tmpl w:val="CA9A04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BB550C1"/>
    <w:multiLevelType w:val="hybridMultilevel"/>
    <w:tmpl w:val="E87A487C"/>
    <w:lvl w:ilvl="0" w:tplc="53148AC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4" w15:restartNumberingAfterBreak="0">
    <w:nsid w:val="6F0D2495"/>
    <w:multiLevelType w:val="hybridMultilevel"/>
    <w:tmpl w:val="6FE4DA38"/>
    <w:lvl w:ilvl="0" w:tplc="B11C16A8">
      <w:start w:val="1"/>
      <w:numFmt w:val="decimal"/>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35" w15:restartNumberingAfterBreak="0">
    <w:nsid w:val="7043046D"/>
    <w:multiLevelType w:val="hybridMultilevel"/>
    <w:tmpl w:val="7FB8495A"/>
    <w:lvl w:ilvl="0" w:tplc="483C7A4A">
      <w:start w:val="1"/>
      <w:numFmt w:val="decimal"/>
      <w:lvlText w:val="%1."/>
      <w:lvlJc w:val="left"/>
      <w:pPr>
        <w:ind w:left="1069" w:hanging="360"/>
      </w:pPr>
      <w:rPr>
        <w:rFonts w:hint="default"/>
      </w:rPr>
    </w:lvl>
    <w:lvl w:ilvl="1" w:tplc="5EC06D88">
      <w:start w:val="1"/>
      <w:numFmt w:val="decimal"/>
      <w:lvlText w:val="%2)"/>
      <w:lvlJc w:val="left"/>
      <w:pPr>
        <w:ind w:left="1789" w:hanging="360"/>
      </w:pPr>
      <w:rPr>
        <w:rFonts w:eastAsiaTheme="minorHAnsi" w:hint="default"/>
      </w:r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6" w15:restartNumberingAfterBreak="0">
    <w:nsid w:val="707911F2"/>
    <w:multiLevelType w:val="hybridMultilevel"/>
    <w:tmpl w:val="B0EE0EF6"/>
    <w:lvl w:ilvl="0" w:tplc="3312959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7" w15:restartNumberingAfterBreak="0">
    <w:nsid w:val="7326449F"/>
    <w:multiLevelType w:val="multilevel"/>
    <w:tmpl w:val="9AB48142"/>
    <w:lvl w:ilvl="0">
      <w:start w:val="1"/>
      <w:numFmt w:val="decimal"/>
      <w:lvlText w:val="%1."/>
      <w:lvlJc w:val="left"/>
      <w:pPr>
        <w:ind w:left="675" w:hanging="675"/>
      </w:pPr>
      <w:rPr>
        <w:rFonts w:hint="default"/>
      </w:rPr>
    </w:lvl>
    <w:lvl w:ilvl="1">
      <w:start w:val="2"/>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8" w15:restartNumberingAfterBreak="0">
    <w:nsid w:val="73F426A5"/>
    <w:multiLevelType w:val="hybridMultilevel"/>
    <w:tmpl w:val="3D3CA748"/>
    <w:lvl w:ilvl="0" w:tplc="4B28A4DC">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9" w15:restartNumberingAfterBreak="0">
    <w:nsid w:val="7686553C"/>
    <w:multiLevelType w:val="hybridMultilevel"/>
    <w:tmpl w:val="2A00B926"/>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0" w15:restartNumberingAfterBreak="0">
    <w:nsid w:val="7A14119E"/>
    <w:multiLevelType w:val="hybridMultilevel"/>
    <w:tmpl w:val="1DDA8C30"/>
    <w:lvl w:ilvl="0" w:tplc="A6EC57F0">
      <w:start w:val="83"/>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7CCE2D0B"/>
    <w:multiLevelType w:val="hybridMultilevel"/>
    <w:tmpl w:val="AA0E780C"/>
    <w:lvl w:ilvl="0" w:tplc="B3AC520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2" w15:restartNumberingAfterBreak="0">
    <w:nsid w:val="7DE50F78"/>
    <w:multiLevelType w:val="multilevel"/>
    <w:tmpl w:val="B7E8BD3C"/>
    <w:lvl w:ilvl="0">
      <w:start w:val="1"/>
      <w:numFmt w:val="decimal"/>
      <w:lvlText w:val="%1."/>
      <w:lvlJc w:val="left"/>
      <w:pPr>
        <w:ind w:left="502"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43" w15:restartNumberingAfterBreak="0">
    <w:nsid w:val="7F937777"/>
    <w:multiLevelType w:val="hybridMultilevel"/>
    <w:tmpl w:val="AFFCFA9C"/>
    <w:lvl w:ilvl="0" w:tplc="04260001">
      <w:start w:val="1"/>
      <w:numFmt w:val="bullet"/>
      <w:lvlText w:val=""/>
      <w:lvlJc w:val="left"/>
      <w:pPr>
        <w:ind w:left="1200" w:hanging="360"/>
      </w:pPr>
      <w:rPr>
        <w:rFonts w:ascii="Symbol" w:hAnsi="Symbol"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num w:numId="1" w16cid:durableId="1742675710">
    <w:abstractNumId w:val="35"/>
  </w:num>
  <w:num w:numId="2" w16cid:durableId="1550141351">
    <w:abstractNumId w:val="29"/>
  </w:num>
  <w:num w:numId="3" w16cid:durableId="2062434925">
    <w:abstractNumId w:val="42"/>
  </w:num>
  <w:num w:numId="4" w16cid:durableId="2076927518">
    <w:abstractNumId w:val="15"/>
  </w:num>
  <w:num w:numId="5" w16cid:durableId="1027676679">
    <w:abstractNumId w:val="3"/>
  </w:num>
  <w:num w:numId="6" w16cid:durableId="1643733308">
    <w:abstractNumId w:val="16"/>
  </w:num>
  <w:num w:numId="7" w16cid:durableId="1964383335">
    <w:abstractNumId w:val="12"/>
  </w:num>
  <w:num w:numId="8" w16cid:durableId="1938908296">
    <w:abstractNumId w:val="11"/>
  </w:num>
  <w:num w:numId="9" w16cid:durableId="936719885">
    <w:abstractNumId w:val="27"/>
  </w:num>
  <w:num w:numId="10" w16cid:durableId="1803033052">
    <w:abstractNumId w:val="18"/>
  </w:num>
  <w:num w:numId="11" w16cid:durableId="1708408029">
    <w:abstractNumId w:val="25"/>
  </w:num>
  <w:num w:numId="12" w16cid:durableId="907811728">
    <w:abstractNumId w:val="25"/>
  </w:num>
  <w:num w:numId="13" w16cid:durableId="207380157">
    <w:abstractNumId w:val="40"/>
  </w:num>
  <w:num w:numId="14" w16cid:durableId="1449619692">
    <w:abstractNumId w:val="32"/>
  </w:num>
  <w:num w:numId="15" w16cid:durableId="57635582">
    <w:abstractNumId w:val="6"/>
  </w:num>
  <w:num w:numId="16" w16cid:durableId="767624468">
    <w:abstractNumId w:val="17"/>
  </w:num>
  <w:num w:numId="17" w16cid:durableId="493646301">
    <w:abstractNumId w:val="0"/>
  </w:num>
  <w:num w:numId="18" w16cid:durableId="148828277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05030251">
    <w:abstractNumId w:val="13"/>
  </w:num>
  <w:num w:numId="20" w16cid:durableId="1944533733">
    <w:abstractNumId w:val="10"/>
  </w:num>
  <w:num w:numId="21" w16cid:durableId="573514519">
    <w:abstractNumId w:val="1"/>
  </w:num>
  <w:num w:numId="22" w16cid:durableId="519394677">
    <w:abstractNumId w:val="14"/>
  </w:num>
  <w:num w:numId="23" w16cid:durableId="1512991828">
    <w:abstractNumId w:val="38"/>
  </w:num>
  <w:num w:numId="24" w16cid:durableId="1833327770">
    <w:abstractNumId w:val="41"/>
  </w:num>
  <w:num w:numId="25" w16cid:durableId="1123620463">
    <w:abstractNumId w:val="43"/>
  </w:num>
  <w:num w:numId="26" w16cid:durableId="59009170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4713398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06507908">
    <w:abstractNumId w:val="37"/>
  </w:num>
  <w:num w:numId="29" w16cid:durableId="881090976">
    <w:abstractNumId w:val="28"/>
  </w:num>
  <w:num w:numId="30" w16cid:durableId="1021860166">
    <w:abstractNumId w:val="33"/>
  </w:num>
  <w:num w:numId="31" w16cid:durableId="200365357">
    <w:abstractNumId w:val="21"/>
  </w:num>
  <w:num w:numId="32" w16cid:durableId="307319194">
    <w:abstractNumId w:val="4"/>
  </w:num>
  <w:num w:numId="33" w16cid:durableId="583342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64931823">
    <w:abstractNumId w:val="5"/>
  </w:num>
  <w:num w:numId="35" w16cid:durableId="64941015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88765327">
    <w:abstractNumId w:val="30"/>
  </w:num>
  <w:num w:numId="37" w16cid:durableId="289167905">
    <w:abstractNumId w:val="4"/>
  </w:num>
  <w:num w:numId="38" w16cid:durableId="1746225886">
    <w:abstractNumId w:val="19"/>
  </w:num>
  <w:num w:numId="39" w16cid:durableId="48951946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526116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968930521">
    <w:abstractNumId w:val="36"/>
  </w:num>
  <w:num w:numId="42" w16cid:durableId="358627689">
    <w:abstractNumId w:val="8"/>
  </w:num>
  <w:num w:numId="43" w16cid:durableId="1591112802">
    <w:abstractNumId w:val="23"/>
  </w:num>
  <w:num w:numId="44" w16cid:durableId="131562716">
    <w:abstractNumId w:val="31"/>
  </w:num>
  <w:num w:numId="45" w16cid:durableId="1640763513">
    <w:abstractNumId w:val="22"/>
  </w:num>
  <w:num w:numId="46" w16cid:durableId="1325667697">
    <w:abstractNumId w:val="7"/>
  </w:num>
  <w:num w:numId="47" w16cid:durableId="3580941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3602035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7I0NDU0MDM3tTQwNDRQ0lEKTi0uzszPAykwqgUAQogsUiwAAAA="/>
  </w:docVars>
  <w:rsids>
    <w:rsidRoot w:val="00F118E9"/>
    <w:rsid w:val="00000164"/>
    <w:rsid w:val="0000100C"/>
    <w:rsid w:val="00002B35"/>
    <w:rsid w:val="00003ADA"/>
    <w:rsid w:val="00004192"/>
    <w:rsid w:val="00007788"/>
    <w:rsid w:val="000079DE"/>
    <w:rsid w:val="00012108"/>
    <w:rsid w:val="0001295E"/>
    <w:rsid w:val="00013BC1"/>
    <w:rsid w:val="00014593"/>
    <w:rsid w:val="00017019"/>
    <w:rsid w:val="0001720A"/>
    <w:rsid w:val="000228F9"/>
    <w:rsid w:val="00022B21"/>
    <w:rsid w:val="00022CEA"/>
    <w:rsid w:val="000247C3"/>
    <w:rsid w:val="00024D34"/>
    <w:rsid w:val="000251AF"/>
    <w:rsid w:val="00026487"/>
    <w:rsid w:val="0002673D"/>
    <w:rsid w:val="00027487"/>
    <w:rsid w:val="0003039A"/>
    <w:rsid w:val="00031853"/>
    <w:rsid w:val="00031B55"/>
    <w:rsid w:val="00031F28"/>
    <w:rsid w:val="00032033"/>
    <w:rsid w:val="000322FA"/>
    <w:rsid w:val="00036D9F"/>
    <w:rsid w:val="00037313"/>
    <w:rsid w:val="0003789F"/>
    <w:rsid w:val="00041B0A"/>
    <w:rsid w:val="0004267F"/>
    <w:rsid w:val="0004365C"/>
    <w:rsid w:val="00044477"/>
    <w:rsid w:val="00044EF9"/>
    <w:rsid w:val="00046456"/>
    <w:rsid w:val="000469C6"/>
    <w:rsid w:val="0005284F"/>
    <w:rsid w:val="00053D04"/>
    <w:rsid w:val="00055778"/>
    <w:rsid w:val="000632A9"/>
    <w:rsid w:val="00066FAC"/>
    <w:rsid w:val="000703A9"/>
    <w:rsid w:val="000705FB"/>
    <w:rsid w:val="000749E8"/>
    <w:rsid w:val="00074F60"/>
    <w:rsid w:val="00075101"/>
    <w:rsid w:val="0007676D"/>
    <w:rsid w:val="00076D91"/>
    <w:rsid w:val="00077013"/>
    <w:rsid w:val="00081805"/>
    <w:rsid w:val="0008283A"/>
    <w:rsid w:val="0008291A"/>
    <w:rsid w:val="00082940"/>
    <w:rsid w:val="00082A3C"/>
    <w:rsid w:val="00091E8D"/>
    <w:rsid w:val="0009405B"/>
    <w:rsid w:val="000A0967"/>
    <w:rsid w:val="000A1B2B"/>
    <w:rsid w:val="000A2BFF"/>
    <w:rsid w:val="000A2E49"/>
    <w:rsid w:val="000A3918"/>
    <w:rsid w:val="000A3A37"/>
    <w:rsid w:val="000A42FD"/>
    <w:rsid w:val="000A4DEA"/>
    <w:rsid w:val="000A7186"/>
    <w:rsid w:val="000B15A2"/>
    <w:rsid w:val="000B4215"/>
    <w:rsid w:val="000C0FD5"/>
    <w:rsid w:val="000C4EDE"/>
    <w:rsid w:val="000C59BC"/>
    <w:rsid w:val="000C5BE7"/>
    <w:rsid w:val="000C6A0C"/>
    <w:rsid w:val="000C753D"/>
    <w:rsid w:val="000C7847"/>
    <w:rsid w:val="000D071B"/>
    <w:rsid w:val="000D1C75"/>
    <w:rsid w:val="000D2B51"/>
    <w:rsid w:val="000D2B7F"/>
    <w:rsid w:val="000D2D08"/>
    <w:rsid w:val="000D3A8E"/>
    <w:rsid w:val="000D4547"/>
    <w:rsid w:val="000D4EAC"/>
    <w:rsid w:val="000D59C6"/>
    <w:rsid w:val="000D60FC"/>
    <w:rsid w:val="000D65B9"/>
    <w:rsid w:val="000E01A1"/>
    <w:rsid w:val="000E0670"/>
    <w:rsid w:val="000E0D25"/>
    <w:rsid w:val="000E24B7"/>
    <w:rsid w:val="000E4099"/>
    <w:rsid w:val="000E42B1"/>
    <w:rsid w:val="000E48F1"/>
    <w:rsid w:val="000E533B"/>
    <w:rsid w:val="000F056E"/>
    <w:rsid w:val="000F0E3F"/>
    <w:rsid w:val="000F3B1B"/>
    <w:rsid w:val="000F3B99"/>
    <w:rsid w:val="000F3E22"/>
    <w:rsid w:val="000F5E5C"/>
    <w:rsid w:val="00100858"/>
    <w:rsid w:val="00100AEE"/>
    <w:rsid w:val="00100F04"/>
    <w:rsid w:val="0010127F"/>
    <w:rsid w:val="001012E1"/>
    <w:rsid w:val="001017B6"/>
    <w:rsid w:val="00101866"/>
    <w:rsid w:val="00101E27"/>
    <w:rsid w:val="001027AB"/>
    <w:rsid w:val="00103B06"/>
    <w:rsid w:val="001049E6"/>
    <w:rsid w:val="00105286"/>
    <w:rsid w:val="00105B6F"/>
    <w:rsid w:val="00105E75"/>
    <w:rsid w:val="0010728F"/>
    <w:rsid w:val="00107CAC"/>
    <w:rsid w:val="00110C7E"/>
    <w:rsid w:val="001128FA"/>
    <w:rsid w:val="00112F88"/>
    <w:rsid w:val="00112FED"/>
    <w:rsid w:val="00113224"/>
    <w:rsid w:val="001138C7"/>
    <w:rsid w:val="00114431"/>
    <w:rsid w:val="00114A8B"/>
    <w:rsid w:val="00116697"/>
    <w:rsid w:val="001166D4"/>
    <w:rsid w:val="00116CEE"/>
    <w:rsid w:val="00116E99"/>
    <w:rsid w:val="00117224"/>
    <w:rsid w:val="00120237"/>
    <w:rsid w:val="001222BB"/>
    <w:rsid w:val="001244C9"/>
    <w:rsid w:val="001260E4"/>
    <w:rsid w:val="0012648C"/>
    <w:rsid w:val="00130B40"/>
    <w:rsid w:val="00131CBF"/>
    <w:rsid w:val="0013219B"/>
    <w:rsid w:val="00132CC3"/>
    <w:rsid w:val="0013384B"/>
    <w:rsid w:val="00133F29"/>
    <w:rsid w:val="00134616"/>
    <w:rsid w:val="00135133"/>
    <w:rsid w:val="001377DC"/>
    <w:rsid w:val="00140AAB"/>
    <w:rsid w:val="00142E8A"/>
    <w:rsid w:val="0014502C"/>
    <w:rsid w:val="001463F9"/>
    <w:rsid w:val="00146457"/>
    <w:rsid w:val="00147B52"/>
    <w:rsid w:val="0015049A"/>
    <w:rsid w:val="00150557"/>
    <w:rsid w:val="00151212"/>
    <w:rsid w:val="00151C13"/>
    <w:rsid w:val="0015271F"/>
    <w:rsid w:val="00153818"/>
    <w:rsid w:val="001539B3"/>
    <w:rsid w:val="00156470"/>
    <w:rsid w:val="00157A42"/>
    <w:rsid w:val="00157F95"/>
    <w:rsid w:val="00160AC1"/>
    <w:rsid w:val="0016451F"/>
    <w:rsid w:val="001671CA"/>
    <w:rsid w:val="00167D75"/>
    <w:rsid w:val="00167E04"/>
    <w:rsid w:val="00167E8B"/>
    <w:rsid w:val="00170C7B"/>
    <w:rsid w:val="00171ECA"/>
    <w:rsid w:val="0017297B"/>
    <w:rsid w:val="00174C0C"/>
    <w:rsid w:val="00175F8A"/>
    <w:rsid w:val="001762BE"/>
    <w:rsid w:val="00176946"/>
    <w:rsid w:val="00176A2E"/>
    <w:rsid w:val="001775D8"/>
    <w:rsid w:val="0018012A"/>
    <w:rsid w:val="001805BB"/>
    <w:rsid w:val="001814E8"/>
    <w:rsid w:val="00181500"/>
    <w:rsid w:val="0018158A"/>
    <w:rsid w:val="00181BAC"/>
    <w:rsid w:val="001842DF"/>
    <w:rsid w:val="001846B2"/>
    <w:rsid w:val="001854BB"/>
    <w:rsid w:val="00187D2E"/>
    <w:rsid w:val="00192648"/>
    <w:rsid w:val="0019372F"/>
    <w:rsid w:val="001937BD"/>
    <w:rsid w:val="001948DB"/>
    <w:rsid w:val="00194D65"/>
    <w:rsid w:val="00196445"/>
    <w:rsid w:val="00196BF5"/>
    <w:rsid w:val="001A109F"/>
    <w:rsid w:val="001A15B2"/>
    <w:rsid w:val="001A26B5"/>
    <w:rsid w:val="001A2E64"/>
    <w:rsid w:val="001A2E9D"/>
    <w:rsid w:val="001A37C6"/>
    <w:rsid w:val="001A4248"/>
    <w:rsid w:val="001A54B4"/>
    <w:rsid w:val="001A54DF"/>
    <w:rsid w:val="001A5A6B"/>
    <w:rsid w:val="001A5DA4"/>
    <w:rsid w:val="001A605A"/>
    <w:rsid w:val="001A68B3"/>
    <w:rsid w:val="001A6C12"/>
    <w:rsid w:val="001A702F"/>
    <w:rsid w:val="001A711A"/>
    <w:rsid w:val="001B03AA"/>
    <w:rsid w:val="001B13E2"/>
    <w:rsid w:val="001B1CB4"/>
    <w:rsid w:val="001B2C1B"/>
    <w:rsid w:val="001B64F0"/>
    <w:rsid w:val="001B6839"/>
    <w:rsid w:val="001C0016"/>
    <w:rsid w:val="001C0959"/>
    <w:rsid w:val="001C0A38"/>
    <w:rsid w:val="001C2C72"/>
    <w:rsid w:val="001C3ED1"/>
    <w:rsid w:val="001C5ACA"/>
    <w:rsid w:val="001C6854"/>
    <w:rsid w:val="001C6C76"/>
    <w:rsid w:val="001D0AB9"/>
    <w:rsid w:val="001D1D97"/>
    <w:rsid w:val="001D293B"/>
    <w:rsid w:val="001D33CF"/>
    <w:rsid w:val="001D3883"/>
    <w:rsid w:val="001D4588"/>
    <w:rsid w:val="001D473B"/>
    <w:rsid w:val="001D4D71"/>
    <w:rsid w:val="001D53F5"/>
    <w:rsid w:val="001D5F94"/>
    <w:rsid w:val="001D6360"/>
    <w:rsid w:val="001D63D6"/>
    <w:rsid w:val="001D6E78"/>
    <w:rsid w:val="001D6EDC"/>
    <w:rsid w:val="001D7D6D"/>
    <w:rsid w:val="001E1F98"/>
    <w:rsid w:val="001E399A"/>
    <w:rsid w:val="001E5465"/>
    <w:rsid w:val="001E79A8"/>
    <w:rsid w:val="001E7D53"/>
    <w:rsid w:val="001F0414"/>
    <w:rsid w:val="001F0869"/>
    <w:rsid w:val="001F1F09"/>
    <w:rsid w:val="001F3ACC"/>
    <w:rsid w:val="001F4871"/>
    <w:rsid w:val="001F4A19"/>
    <w:rsid w:val="001F5820"/>
    <w:rsid w:val="001F6A28"/>
    <w:rsid w:val="001F77E2"/>
    <w:rsid w:val="001F7D24"/>
    <w:rsid w:val="00200140"/>
    <w:rsid w:val="002042AD"/>
    <w:rsid w:val="00204B76"/>
    <w:rsid w:val="00205F04"/>
    <w:rsid w:val="00207511"/>
    <w:rsid w:val="002079E4"/>
    <w:rsid w:val="00207BAB"/>
    <w:rsid w:val="00210690"/>
    <w:rsid w:val="00210B06"/>
    <w:rsid w:val="0021225D"/>
    <w:rsid w:val="0021236E"/>
    <w:rsid w:val="00212EC5"/>
    <w:rsid w:val="0021670E"/>
    <w:rsid w:val="00217F08"/>
    <w:rsid w:val="002200E1"/>
    <w:rsid w:val="00220407"/>
    <w:rsid w:val="00220C57"/>
    <w:rsid w:val="00220EEB"/>
    <w:rsid w:val="00221C15"/>
    <w:rsid w:val="002229FF"/>
    <w:rsid w:val="00223BA2"/>
    <w:rsid w:val="002263C8"/>
    <w:rsid w:val="0022748D"/>
    <w:rsid w:val="002300A2"/>
    <w:rsid w:val="002307AE"/>
    <w:rsid w:val="002329FD"/>
    <w:rsid w:val="002359AC"/>
    <w:rsid w:val="00243331"/>
    <w:rsid w:val="0024361D"/>
    <w:rsid w:val="0024405B"/>
    <w:rsid w:val="0024509C"/>
    <w:rsid w:val="0024526F"/>
    <w:rsid w:val="00245D7A"/>
    <w:rsid w:val="002468EB"/>
    <w:rsid w:val="00246F7D"/>
    <w:rsid w:val="00251628"/>
    <w:rsid w:val="00251A85"/>
    <w:rsid w:val="002534B1"/>
    <w:rsid w:val="00253511"/>
    <w:rsid w:val="002536C0"/>
    <w:rsid w:val="00254F7F"/>
    <w:rsid w:val="00255DF4"/>
    <w:rsid w:val="00256D08"/>
    <w:rsid w:val="00257F76"/>
    <w:rsid w:val="0026022A"/>
    <w:rsid w:val="00262965"/>
    <w:rsid w:val="002630AD"/>
    <w:rsid w:val="00264920"/>
    <w:rsid w:val="0026495E"/>
    <w:rsid w:val="00265C88"/>
    <w:rsid w:val="002710A6"/>
    <w:rsid w:val="002713BB"/>
    <w:rsid w:val="00271B68"/>
    <w:rsid w:val="00271C96"/>
    <w:rsid w:val="00272773"/>
    <w:rsid w:val="0027281E"/>
    <w:rsid w:val="002731E5"/>
    <w:rsid w:val="002737F7"/>
    <w:rsid w:val="002742EC"/>
    <w:rsid w:val="00275AB6"/>
    <w:rsid w:val="00277F1C"/>
    <w:rsid w:val="002830A3"/>
    <w:rsid w:val="00284CC5"/>
    <w:rsid w:val="002868A7"/>
    <w:rsid w:val="0028735E"/>
    <w:rsid w:val="00287A4A"/>
    <w:rsid w:val="002935CB"/>
    <w:rsid w:val="00293D6F"/>
    <w:rsid w:val="00294319"/>
    <w:rsid w:val="002956F9"/>
    <w:rsid w:val="0029587D"/>
    <w:rsid w:val="00295A76"/>
    <w:rsid w:val="0029778E"/>
    <w:rsid w:val="002A1E00"/>
    <w:rsid w:val="002A211C"/>
    <w:rsid w:val="002A2AFA"/>
    <w:rsid w:val="002A45D4"/>
    <w:rsid w:val="002A7466"/>
    <w:rsid w:val="002A77CD"/>
    <w:rsid w:val="002B1B3B"/>
    <w:rsid w:val="002B1B7B"/>
    <w:rsid w:val="002B1D3D"/>
    <w:rsid w:val="002B1F3C"/>
    <w:rsid w:val="002B3014"/>
    <w:rsid w:val="002B3679"/>
    <w:rsid w:val="002B498F"/>
    <w:rsid w:val="002B6389"/>
    <w:rsid w:val="002B7140"/>
    <w:rsid w:val="002B7951"/>
    <w:rsid w:val="002B7BED"/>
    <w:rsid w:val="002C0545"/>
    <w:rsid w:val="002C1AB2"/>
    <w:rsid w:val="002C3D0A"/>
    <w:rsid w:val="002C478C"/>
    <w:rsid w:val="002C4F0D"/>
    <w:rsid w:val="002C58D6"/>
    <w:rsid w:val="002C5C18"/>
    <w:rsid w:val="002C6093"/>
    <w:rsid w:val="002D0252"/>
    <w:rsid w:val="002D1A06"/>
    <w:rsid w:val="002D32E8"/>
    <w:rsid w:val="002D415D"/>
    <w:rsid w:val="002D4687"/>
    <w:rsid w:val="002D51FE"/>
    <w:rsid w:val="002D62FD"/>
    <w:rsid w:val="002D6789"/>
    <w:rsid w:val="002D725E"/>
    <w:rsid w:val="002D7A13"/>
    <w:rsid w:val="002D7E3A"/>
    <w:rsid w:val="002E0C62"/>
    <w:rsid w:val="002E140D"/>
    <w:rsid w:val="002E1788"/>
    <w:rsid w:val="002E25F7"/>
    <w:rsid w:val="002E2C87"/>
    <w:rsid w:val="002E42A5"/>
    <w:rsid w:val="002E4E21"/>
    <w:rsid w:val="002E625C"/>
    <w:rsid w:val="002E792D"/>
    <w:rsid w:val="002E7A6A"/>
    <w:rsid w:val="002E7E32"/>
    <w:rsid w:val="002F0317"/>
    <w:rsid w:val="002F0F77"/>
    <w:rsid w:val="002F1634"/>
    <w:rsid w:val="002F212E"/>
    <w:rsid w:val="002F2232"/>
    <w:rsid w:val="002F2E9A"/>
    <w:rsid w:val="002F350E"/>
    <w:rsid w:val="002F4922"/>
    <w:rsid w:val="002F5073"/>
    <w:rsid w:val="002F5BB5"/>
    <w:rsid w:val="002F6184"/>
    <w:rsid w:val="00302237"/>
    <w:rsid w:val="00302E21"/>
    <w:rsid w:val="00305AF2"/>
    <w:rsid w:val="00305F1D"/>
    <w:rsid w:val="0030632C"/>
    <w:rsid w:val="0030636B"/>
    <w:rsid w:val="00307BC3"/>
    <w:rsid w:val="00310A69"/>
    <w:rsid w:val="003110C6"/>
    <w:rsid w:val="003144B2"/>
    <w:rsid w:val="003157F8"/>
    <w:rsid w:val="003159A1"/>
    <w:rsid w:val="003168D2"/>
    <w:rsid w:val="00316B59"/>
    <w:rsid w:val="003201CD"/>
    <w:rsid w:val="0032075E"/>
    <w:rsid w:val="003217E3"/>
    <w:rsid w:val="00324F76"/>
    <w:rsid w:val="0032562D"/>
    <w:rsid w:val="0032595B"/>
    <w:rsid w:val="00326365"/>
    <w:rsid w:val="003267A7"/>
    <w:rsid w:val="00326A61"/>
    <w:rsid w:val="00336C51"/>
    <w:rsid w:val="00336EB8"/>
    <w:rsid w:val="0034056A"/>
    <w:rsid w:val="00340DE9"/>
    <w:rsid w:val="0034391F"/>
    <w:rsid w:val="00344817"/>
    <w:rsid w:val="00347F76"/>
    <w:rsid w:val="0035169C"/>
    <w:rsid w:val="003517DA"/>
    <w:rsid w:val="00352A7A"/>
    <w:rsid w:val="00354416"/>
    <w:rsid w:val="0035494F"/>
    <w:rsid w:val="00355B4B"/>
    <w:rsid w:val="003562EA"/>
    <w:rsid w:val="003670DD"/>
    <w:rsid w:val="003711E4"/>
    <w:rsid w:val="0037392E"/>
    <w:rsid w:val="00374B31"/>
    <w:rsid w:val="00375BEE"/>
    <w:rsid w:val="00376FFD"/>
    <w:rsid w:val="00377424"/>
    <w:rsid w:val="00377F35"/>
    <w:rsid w:val="003803D3"/>
    <w:rsid w:val="0038099B"/>
    <w:rsid w:val="00380C36"/>
    <w:rsid w:val="003821BD"/>
    <w:rsid w:val="0038438D"/>
    <w:rsid w:val="00384816"/>
    <w:rsid w:val="00384B2F"/>
    <w:rsid w:val="00384B67"/>
    <w:rsid w:val="00385177"/>
    <w:rsid w:val="00386568"/>
    <w:rsid w:val="003868E1"/>
    <w:rsid w:val="00386A97"/>
    <w:rsid w:val="00386F0E"/>
    <w:rsid w:val="00387B80"/>
    <w:rsid w:val="00390F5D"/>
    <w:rsid w:val="00391945"/>
    <w:rsid w:val="003937D8"/>
    <w:rsid w:val="0039388A"/>
    <w:rsid w:val="00393A24"/>
    <w:rsid w:val="0039459C"/>
    <w:rsid w:val="00394835"/>
    <w:rsid w:val="003951AE"/>
    <w:rsid w:val="0039569C"/>
    <w:rsid w:val="00395877"/>
    <w:rsid w:val="0039611B"/>
    <w:rsid w:val="00397F29"/>
    <w:rsid w:val="003A1457"/>
    <w:rsid w:val="003A2172"/>
    <w:rsid w:val="003A23E5"/>
    <w:rsid w:val="003A348B"/>
    <w:rsid w:val="003A3605"/>
    <w:rsid w:val="003A477E"/>
    <w:rsid w:val="003A48C8"/>
    <w:rsid w:val="003A5348"/>
    <w:rsid w:val="003B101E"/>
    <w:rsid w:val="003B267D"/>
    <w:rsid w:val="003B5FA2"/>
    <w:rsid w:val="003B6EDB"/>
    <w:rsid w:val="003B7B85"/>
    <w:rsid w:val="003C1626"/>
    <w:rsid w:val="003C3FEC"/>
    <w:rsid w:val="003C64BC"/>
    <w:rsid w:val="003C66F4"/>
    <w:rsid w:val="003C688F"/>
    <w:rsid w:val="003D169B"/>
    <w:rsid w:val="003D3B42"/>
    <w:rsid w:val="003D55B0"/>
    <w:rsid w:val="003D5F70"/>
    <w:rsid w:val="003D6C8B"/>
    <w:rsid w:val="003D7EE0"/>
    <w:rsid w:val="003E172D"/>
    <w:rsid w:val="003E23EF"/>
    <w:rsid w:val="003E4389"/>
    <w:rsid w:val="003E607B"/>
    <w:rsid w:val="003F025A"/>
    <w:rsid w:val="003F0847"/>
    <w:rsid w:val="003F2959"/>
    <w:rsid w:val="003F2D7E"/>
    <w:rsid w:val="003F3D43"/>
    <w:rsid w:val="003F4273"/>
    <w:rsid w:val="003F4B1A"/>
    <w:rsid w:val="003F690B"/>
    <w:rsid w:val="004003D3"/>
    <w:rsid w:val="00402005"/>
    <w:rsid w:val="00403277"/>
    <w:rsid w:val="0040409C"/>
    <w:rsid w:val="00407744"/>
    <w:rsid w:val="00413F4F"/>
    <w:rsid w:val="00415707"/>
    <w:rsid w:val="00415B32"/>
    <w:rsid w:val="00416F2E"/>
    <w:rsid w:val="00420C1B"/>
    <w:rsid w:val="004213AE"/>
    <w:rsid w:val="00422D48"/>
    <w:rsid w:val="0042335C"/>
    <w:rsid w:val="00423AD0"/>
    <w:rsid w:val="00425725"/>
    <w:rsid w:val="004303A3"/>
    <w:rsid w:val="004320A8"/>
    <w:rsid w:val="004320E6"/>
    <w:rsid w:val="00432200"/>
    <w:rsid w:val="0043278C"/>
    <w:rsid w:val="004341FD"/>
    <w:rsid w:val="00434837"/>
    <w:rsid w:val="00436567"/>
    <w:rsid w:val="00437011"/>
    <w:rsid w:val="00437F06"/>
    <w:rsid w:val="00441787"/>
    <w:rsid w:val="00441905"/>
    <w:rsid w:val="0044256A"/>
    <w:rsid w:val="00443529"/>
    <w:rsid w:val="00443AFB"/>
    <w:rsid w:val="00444055"/>
    <w:rsid w:val="00444751"/>
    <w:rsid w:val="00444B2E"/>
    <w:rsid w:val="00446A75"/>
    <w:rsid w:val="00446EA1"/>
    <w:rsid w:val="00450E2E"/>
    <w:rsid w:val="00453E82"/>
    <w:rsid w:val="00455978"/>
    <w:rsid w:val="004563A8"/>
    <w:rsid w:val="00456CE4"/>
    <w:rsid w:val="00461A5E"/>
    <w:rsid w:val="00464CA0"/>
    <w:rsid w:val="004666C6"/>
    <w:rsid w:val="00467A0C"/>
    <w:rsid w:val="00470DA0"/>
    <w:rsid w:val="0047268D"/>
    <w:rsid w:val="00473913"/>
    <w:rsid w:val="0047580A"/>
    <w:rsid w:val="00476A60"/>
    <w:rsid w:val="00476D66"/>
    <w:rsid w:val="00477202"/>
    <w:rsid w:val="0047799A"/>
    <w:rsid w:val="00477D6C"/>
    <w:rsid w:val="00481453"/>
    <w:rsid w:val="00482049"/>
    <w:rsid w:val="0049018A"/>
    <w:rsid w:val="00490AD1"/>
    <w:rsid w:val="004919D0"/>
    <w:rsid w:val="00491A90"/>
    <w:rsid w:val="00491F49"/>
    <w:rsid w:val="00492705"/>
    <w:rsid w:val="004946DD"/>
    <w:rsid w:val="00494874"/>
    <w:rsid w:val="004968CC"/>
    <w:rsid w:val="00497DCD"/>
    <w:rsid w:val="00497FEE"/>
    <w:rsid w:val="004A22F9"/>
    <w:rsid w:val="004A2C95"/>
    <w:rsid w:val="004A4CA7"/>
    <w:rsid w:val="004A68A2"/>
    <w:rsid w:val="004A7890"/>
    <w:rsid w:val="004B1A79"/>
    <w:rsid w:val="004B47E6"/>
    <w:rsid w:val="004B718D"/>
    <w:rsid w:val="004B761A"/>
    <w:rsid w:val="004C02AD"/>
    <w:rsid w:val="004C1348"/>
    <w:rsid w:val="004C18CE"/>
    <w:rsid w:val="004C42DB"/>
    <w:rsid w:val="004C6610"/>
    <w:rsid w:val="004C7763"/>
    <w:rsid w:val="004C78FF"/>
    <w:rsid w:val="004D284E"/>
    <w:rsid w:val="004D3ADC"/>
    <w:rsid w:val="004D3D2D"/>
    <w:rsid w:val="004D5F45"/>
    <w:rsid w:val="004D7769"/>
    <w:rsid w:val="004D7DD4"/>
    <w:rsid w:val="004D7DE5"/>
    <w:rsid w:val="004E01DD"/>
    <w:rsid w:val="004E60ED"/>
    <w:rsid w:val="004E6CA2"/>
    <w:rsid w:val="004E7669"/>
    <w:rsid w:val="004F5A6C"/>
    <w:rsid w:val="004F661F"/>
    <w:rsid w:val="004F7977"/>
    <w:rsid w:val="005015C7"/>
    <w:rsid w:val="005017F6"/>
    <w:rsid w:val="00502DB9"/>
    <w:rsid w:val="00502E59"/>
    <w:rsid w:val="00502FD3"/>
    <w:rsid w:val="0050630A"/>
    <w:rsid w:val="00507587"/>
    <w:rsid w:val="00510060"/>
    <w:rsid w:val="00511516"/>
    <w:rsid w:val="00511576"/>
    <w:rsid w:val="00514A56"/>
    <w:rsid w:val="00515B0B"/>
    <w:rsid w:val="00516893"/>
    <w:rsid w:val="00517F50"/>
    <w:rsid w:val="00520359"/>
    <w:rsid w:val="00521A98"/>
    <w:rsid w:val="00521B59"/>
    <w:rsid w:val="005234B8"/>
    <w:rsid w:val="005241B5"/>
    <w:rsid w:val="005249A8"/>
    <w:rsid w:val="005258D9"/>
    <w:rsid w:val="005259C7"/>
    <w:rsid w:val="00526802"/>
    <w:rsid w:val="005273E3"/>
    <w:rsid w:val="0052750F"/>
    <w:rsid w:val="0052795E"/>
    <w:rsid w:val="0053094C"/>
    <w:rsid w:val="00531CFD"/>
    <w:rsid w:val="00531DEC"/>
    <w:rsid w:val="0053453D"/>
    <w:rsid w:val="00535AF5"/>
    <w:rsid w:val="0053624D"/>
    <w:rsid w:val="005377FF"/>
    <w:rsid w:val="00537A7A"/>
    <w:rsid w:val="0054061D"/>
    <w:rsid w:val="00540EDC"/>
    <w:rsid w:val="005418F1"/>
    <w:rsid w:val="00546FD5"/>
    <w:rsid w:val="00547893"/>
    <w:rsid w:val="0054790B"/>
    <w:rsid w:val="00547E1A"/>
    <w:rsid w:val="0055442E"/>
    <w:rsid w:val="00555A60"/>
    <w:rsid w:val="00560B8A"/>
    <w:rsid w:val="0056126E"/>
    <w:rsid w:val="005648D5"/>
    <w:rsid w:val="0056699C"/>
    <w:rsid w:val="00567F9C"/>
    <w:rsid w:val="00570C23"/>
    <w:rsid w:val="00571558"/>
    <w:rsid w:val="005721C2"/>
    <w:rsid w:val="00572CBF"/>
    <w:rsid w:val="00572FDE"/>
    <w:rsid w:val="005732D5"/>
    <w:rsid w:val="00573C4C"/>
    <w:rsid w:val="00574450"/>
    <w:rsid w:val="00575156"/>
    <w:rsid w:val="005754B8"/>
    <w:rsid w:val="00575BC3"/>
    <w:rsid w:val="005812AC"/>
    <w:rsid w:val="00581C28"/>
    <w:rsid w:val="005836AB"/>
    <w:rsid w:val="00584127"/>
    <w:rsid w:val="00590C9F"/>
    <w:rsid w:val="0059164D"/>
    <w:rsid w:val="0059217B"/>
    <w:rsid w:val="005922EB"/>
    <w:rsid w:val="00592E21"/>
    <w:rsid w:val="005935BF"/>
    <w:rsid w:val="00593C53"/>
    <w:rsid w:val="00595D51"/>
    <w:rsid w:val="005964AF"/>
    <w:rsid w:val="005974F6"/>
    <w:rsid w:val="00597597"/>
    <w:rsid w:val="005A078C"/>
    <w:rsid w:val="005A0DC2"/>
    <w:rsid w:val="005A1786"/>
    <w:rsid w:val="005A1A6C"/>
    <w:rsid w:val="005A34ED"/>
    <w:rsid w:val="005A3C66"/>
    <w:rsid w:val="005A3D96"/>
    <w:rsid w:val="005A4B77"/>
    <w:rsid w:val="005A5308"/>
    <w:rsid w:val="005A5B76"/>
    <w:rsid w:val="005A5DBB"/>
    <w:rsid w:val="005B0D0F"/>
    <w:rsid w:val="005B2D75"/>
    <w:rsid w:val="005B4FA0"/>
    <w:rsid w:val="005B5784"/>
    <w:rsid w:val="005B66DB"/>
    <w:rsid w:val="005C0407"/>
    <w:rsid w:val="005C52CD"/>
    <w:rsid w:val="005C564A"/>
    <w:rsid w:val="005C571A"/>
    <w:rsid w:val="005C580B"/>
    <w:rsid w:val="005C5E5E"/>
    <w:rsid w:val="005C6691"/>
    <w:rsid w:val="005C6FCC"/>
    <w:rsid w:val="005C7250"/>
    <w:rsid w:val="005D0CD2"/>
    <w:rsid w:val="005D13A8"/>
    <w:rsid w:val="005D2D80"/>
    <w:rsid w:val="005D2ED7"/>
    <w:rsid w:val="005D4370"/>
    <w:rsid w:val="005D475D"/>
    <w:rsid w:val="005D7F4C"/>
    <w:rsid w:val="005E3C94"/>
    <w:rsid w:val="005E43B8"/>
    <w:rsid w:val="005E495A"/>
    <w:rsid w:val="005E5FCB"/>
    <w:rsid w:val="005E6F0D"/>
    <w:rsid w:val="005F2005"/>
    <w:rsid w:val="005F2EC5"/>
    <w:rsid w:val="005F4DBC"/>
    <w:rsid w:val="005F5765"/>
    <w:rsid w:val="005F5D0C"/>
    <w:rsid w:val="005F5DEF"/>
    <w:rsid w:val="005F5FFB"/>
    <w:rsid w:val="005F6904"/>
    <w:rsid w:val="005F7E43"/>
    <w:rsid w:val="00600BA6"/>
    <w:rsid w:val="0060172B"/>
    <w:rsid w:val="006028E4"/>
    <w:rsid w:val="00604970"/>
    <w:rsid w:val="006053B3"/>
    <w:rsid w:val="0060735A"/>
    <w:rsid w:val="006100D6"/>
    <w:rsid w:val="006108CA"/>
    <w:rsid w:val="006117CB"/>
    <w:rsid w:val="00611A7A"/>
    <w:rsid w:val="00611BCE"/>
    <w:rsid w:val="00612D99"/>
    <w:rsid w:val="0061503F"/>
    <w:rsid w:val="0061584A"/>
    <w:rsid w:val="00616DEA"/>
    <w:rsid w:val="0061785A"/>
    <w:rsid w:val="00617A4B"/>
    <w:rsid w:val="0062098F"/>
    <w:rsid w:val="00621760"/>
    <w:rsid w:val="00622C0A"/>
    <w:rsid w:val="006256FB"/>
    <w:rsid w:val="006259C5"/>
    <w:rsid w:val="00630C6B"/>
    <w:rsid w:val="00630E7F"/>
    <w:rsid w:val="00631A49"/>
    <w:rsid w:val="00632F05"/>
    <w:rsid w:val="00633347"/>
    <w:rsid w:val="00633B73"/>
    <w:rsid w:val="00635475"/>
    <w:rsid w:val="00637953"/>
    <w:rsid w:val="006413B1"/>
    <w:rsid w:val="0064167F"/>
    <w:rsid w:val="006422E2"/>
    <w:rsid w:val="006439A0"/>
    <w:rsid w:val="00644313"/>
    <w:rsid w:val="0064441A"/>
    <w:rsid w:val="0064456E"/>
    <w:rsid w:val="0064495F"/>
    <w:rsid w:val="006450A0"/>
    <w:rsid w:val="00645ADE"/>
    <w:rsid w:val="00652759"/>
    <w:rsid w:val="00652BBF"/>
    <w:rsid w:val="00653995"/>
    <w:rsid w:val="006545B4"/>
    <w:rsid w:val="00655058"/>
    <w:rsid w:val="00655A8F"/>
    <w:rsid w:val="006601FA"/>
    <w:rsid w:val="00663A54"/>
    <w:rsid w:val="006653BA"/>
    <w:rsid w:val="00667A45"/>
    <w:rsid w:val="00670B72"/>
    <w:rsid w:val="00670F72"/>
    <w:rsid w:val="00671712"/>
    <w:rsid w:val="00673028"/>
    <w:rsid w:val="00673151"/>
    <w:rsid w:val="00673743"/>
    <w:rsid w:val="00674A6D"/>
    <w:rsid w:val="00674AAE"/>
    <w:rsid w:val="0067590F"/>
    <w:rsid w:val="00676C44"/>
    <w:rsid w:val="00677238"/>
    <w:rsid w:val="0068233D"/>
    <w:rsid w:val="00682603"/>
    <w:rsid w:val="006830F1"/>
    <w:rsid w:val="00684DEC"/>
    <w:rsid w:val="006859C8"/>
    <w:rsid w:val="00685C5B"/>
    <w:rsid w:val="00687189"/>
    <w:rsid w:val="00690FCC"/>
    <w:rsid w:val="00691B14"/>
    <w:rsid w:val="0069298C"/>
    <w:rsid w:val="00692AB2"/>
    <w:rsid w:val="00692D5D"/>
    <w:rsid w:val="00692F2C"/>
    <w:rsid w:val="006934D0"/>
    <w:rsid w:val="00694917"/>
    <w:rsid w:val="00694E29"/>
    <w:rsid w:val="00695B8E"/>
    <w:rsid w:val="0069706A"/>
    <w:rsid w:val="006A0D84"/>
    <w:rsid w:val="006A2373"/>
    <w:rsid w:val="006A2B06"/>
    <w:rsid w:val="006A38FB"/>
    <w:rsid w:val="006A455C"/>
    <w:rsid w:val="006A49AB"/>
    <w:rsid w:val="006B0051"/>
    <w:rsid w:val="006B08AD"/>
    <w:rsid w:val="006B2ADD"/>
    <w:rsid w:val="006B6C57"/>
    <w:rsid w:val="006B72B0"/>
    <w:rsid w:val="006C0C28"/>
    <w:rsid w:val="006C3252"/>
    <w:rsid w:val="006C5AF1"/>
    <w:rsid w:val="006C6D9C"/>
    <w:rsid w:val="006D0480"/>
    <w:rsid w:val="006D04DE"/>
    <w:rsid w:val="006D087E"/>
    <w:rsid w:val="006D1742"/>
    <w:rsid w:val="006D22A1"/>
    <w:rsid w:val="006D3B5D"/>
    <w:rsid w:val="006D3D30"/>
    <w:rsid w:val="006D427D"/>
    <w:rsid w:val="006D458D"/>
    <w:rsid w:val="006D4B47"/>
    <w:rsid w:val="006D6C70"/>
    <w:rsid w:val="006D74A7"/>
    <w:rsid w:val="006D771B"/>
    <w:rsid w:val="006E22CC"/>
    <w:rsid w:val="006E27F6"/>
    <w:rsid w:val="006E3C6A"/>
    <w:rsid w:val="006E431D"/>
    <w:rsid w:val="006E4F16"/>
    <w:rsid w:val="006E51F2"/>
    <w:rsid w:val="006E7769"/>
    <w:rsid w:val="006F0A0C"/>
    <w:rsid w:val="006F2AC7"/>
    <w:rsid w:val="006F2CD8"/>
    <w:rsid w:val="006F3683"/>
    <w:rsid w:val="006F4A2C"/>
    <w:rsid w:val="006F5A57"/>
    <w:rsid w:val="006F5F1A"/>
    <w:rsid w:val="006F769B"/>
    <w:rsid w:val="00701D7F"/>
    <w:rsid w:val="00702200"/>
    <w:rsid w:val="00703F8F"/>
    <w:rsid w:val="007052E9"/>
    <w:rsid w:val="00705998"/>
    <w:rsid w:val="0070601B"/>
    <w:rsid w:val="00706075"/>
    <w:rsid w:val="00706194"/>
    <w:rsid w:val="007073CC"/>
    <w:rsid w:val="00710932"/>
    <w:rsid w:val="00710DA3"/>
    <w:rsid w:val="00710E63"/>
    <w:rsid w:val="00711552"/>
    <w:rsid w:val="00715384"/>
    <w:rsid w:val="00715499"/>
    <w:rsid w:val="007170A7"/>
    <w:rsid w:val="00717A81"/>
    <w:rsid w:val="00723093"/>
    <w:rsid w:val="00724372"/>
    <w:rsid w:val="007259B1"/>
    <w:rsid w:val="00726BEB"/>
    <w:rsid w:val="00727B65"/>
    <w:rsid w:val="00727ECE"/>
    <w:rsid w:val="007322FD"/>
    <w:rsid w:val="00734A2E"/>
    <w:rsid w:val="00735767"/>
    <w:rsid w:val="007357EE"/>
    <w:rsid w:val="00735A04"/>
    <w:rsid w:val="007360D2"/>
    <w:rsid w:val="007371D6"/>
    <w:rsid w:val="0073737A"/>
    <w:rsid w:val="00737D20"/>
    <w:rsid w:val="00741A53"/>
    <w:rsid w:val="00741C39"/>
    <w:rsid w:val="00742E4A"/>
    <w:rsid w:val="007447A4"/>
    <w:rsid w:val="007460BB"/>
    <w:rsid w:val="0075403B"/>
    <w:rsid w:val="00754358"/>
    <w:rsid w:val="00754B8B"/>
    <w:rsid w:val="00754FE7"/>
    <w:rsid w:val="00756C6E"/>
    <w:rsid w:val="00757759"/>
    <w:rsid w:val="0076275E"/>
    <w:rsid w:val="00762907"/>
    <w:rsid w:val="00765272"/>
    <w:rsid w:val="00765BE2"/>
    <w:rsid w:val="0076648C"/>
    <w:rsid w:val="00766F58"/>
    <w:rsid w:val="007716A7"/>
    <w:rsid w:val="00771815"/>
    <w:rsid w:val="0077489C"/>
    <w:rsid w:val="007759CB"/>
    <w:rsid w:val="00775AB7"/>
    <w:rsid w:val="007779B4"/>
    <w:rsid w:val="00781FA2"/>
    <w:rsid w:val="00782E25"/>
    <w:rsid w:val="00783266"/>
    <w:rsid w:val="00784EBE"/>
    <w:rsid w:val="007859E1"/>
    <w:rsid w:val="00786DBA"/>
    <w:rsid w:val="00787503"/>
    <w:rsid w:val="00787BF9"/>
    <w:rsid w:val="00791841"/>
    <w:rsid w:val="007934ED"/>
    <w:rsid w:val="00793601"/>
    <w:rsid w:val="00793916"/>
    <w:rsid w:val="0079498D"/>
    <w:rsid w:val="00795CBD"/>
    <w:rsid w:val="00796647"/>
    <w:rsid w:val="0079664A"/>
    <w:rsid w:val="00797402"/>
    <w:rsid w:val="00797F2A"/>
    <w:rsid w:val="007A0E85"/>
    <w:rsid w:val="007A1691"/>
    <w:rsid w:val="007A1CDA"/>
    <w:rsid w:val="007A381A"/>
    <w:rsid w:val="007A3A22"/>
    <w:rsid w:val="007A3F3C"/>
    <w:rsid w:val="007A435D"/>
    <w:rsid w:val="007A44E6"/>
    <w:rsid w:val="007A485B"/>
    <w:rsid w:val="007A64FB"/>
    <w:rsid w:val="007A6853"/>
    <w:rsid w:val="007A7368"/>
    <w:rsid w:val="007A7A4B"/>
    <w:rsid w:val="007B09C6"/>
    <w:rsid w:val="007B0A3B"/>
    <w:rsid w:val="007B1397"/>
    <w:rsid w:val="007B3D93"/>
    <w:rsid w:val="007B4A40"/>
    <w:rsid w:val="007B5775"/>
    <w:rsid w:val="007C2F7C"/>
    <w:rsid w:val="007C371D"/>
    <w:rsid w:val="007C3CDB"/>
    <w:rsid w:val="007C6B24"/>
    <w:rsid w:val="007C6EDB"/>
    <w:rsid w:val="007C714F"/>
    <w:rsid w:val="007D1388"/>
    <w:rsid w:val="007D154E"/>
    <w:rsid w:val="007D5F69"/>
    <w:rsid w:val="007D6072"/>
    <w:rsid w:val="007D6F94"/>
    <w:rsid w:val="007E1F16"/>
    <w:rsid w:val="007E21E5"/>
    <w:rsid w:val="007E38CE"/>
    <w:rsid w:val="007E7194"/>
    <w:rsid w:val="007E736D"/>
    <w:rsid w:val="007E77E2"/>
    <w:rsid w:val="007F095D"/>
    <w:rsid w:val="007F1872"/>
    <w:rsid w:val="007F1A7B"/>
    <w:rsid w:val="007F2FF0"/>
    <w:rsid w:val="007F4816"/>
    <w:rsid w:val="007F4918"/>
    <w:rsid w:val="00800119"/>
    <w:rsid w:val="00803EDA"/>
    <w:rsid w:val="0080511D"/>
    <w:rsid w:val="00806F1A"/>
    <w:rsid w:val="00807A83"/>
    <w:rsid w:val="00807E02"/>
    <w:rsid w:val="008101CC"/>
    <w:rsid w:val="00811132"/>
    <w:rsid w:val="00811334"/>
    <w:rsid w:val="008114B6"/>
    <w:rsid w:val="00815359"/>
    <w:rsid w:val="00817824"/>
    <w:rsid w:val="00817A50"/>
    <w:rsid w:val="00820AC4"/>
    <w:rsid w:val="008219AC"/>
    <w:rsid w:val="008229D6"/>
    <w:rsid w:val="008234ED"/>
    <w:rsid w:val="00824CA5"/>
    <w:rsid w:val="0082513A"/>
    <w:rsid w:val="00825695"/>
    <w:rsid w:val="008258F1"/>
    <w:rsid w:val="00825948"/>
    <w:rsid w:val="008260A6"/>
    <w:rsid w:val="00826710"/>
    <w:rsid w:val="008275DD"/>
    <w:rsid w:val="0083091A"/>
    <w:rsid w:val="0083113C"/>
    <w:rsid w:val="00832B22"/>
    <w:rsid w:val="00832C1C"/>
    <w:rsid w:val="00832E83"/>
    <w:rsid w:val="00833D83"/>
    <w:rsid w:val="00834372"/>
    <w:rsid w:val="00836B3C"/>
    <w:rsid w:val="00836CC1"/>
    <w:rsid w:val="00836D71"/>
    <w:rsid w:val="00837C8F"/>
    <w:rsid w:val="008410C6"/>
    <w:rsid w:val="0084287F"/>
    <w:rsid w:val="00842ED9"/>
    <w:rsid w:val="00845B9E"/>
    <w:rsid w:val="008466FA"/>
    <w:rsid w:val="00846EED"/>
    <w:rsid w:val="008475E1"/>
    <w:rsid w:val="0085001A"/>
    <w:rsid w:val="0085086F"/>
    <w:rsid w:val="00850F06"/>
    <w:rsid w:val="00850F4B"/>
    <w:rsid w:val="0085418F"/>
    <w:rsid w:val="008552B7"/>
    <w:rsid w:val="00855965"/>
    <w:rsid w:val="00856F1E"/>
    <w:rsid w:val="00860E15"/>
    <w:rsid w:val="008615C0"/>
    <w:rsid w:val="00862859"/>
    <w:rsid w:val="00862A23"/>
    <w:rsid w:val="00862FF7"/>
    <w:rsid w:val="00863133"/>
    <w:rsid w:val="00864B35"/>
    <w:rsid w:val="00866670"/>
    <w:rsid w:val="00867E19"/>
    <w:rsid w:val="00872237"/>
    <w:rsid w:val="00873F0B"/>
    <w:rsid w:val="00874957"/>
    <w:rsid w:val="00875041"/>
    <w:rsid w:val="00875326"/>
    <w:rsid w:val="0087562E"/>
    <w:rsid w:val="00875A13"/>
    <w:rsid w:val="00875AFD"/>
    <w:rsid w:val="00880160"/>
    <w:rsid w:val="00881699"/>
    <w:rsid w:val="00881E13"/>
    <w:rsid w:val="00881F85"/>
    <w:rsid w:val="008831C9"/>
    <w:rsid w:val="008837C7"/>
    <w:rsid w:val="00883D56"/>
    <w:rsid w:val="00883E3B"/>
    <w:rsid w:val="00884A30"/>
    <w:rsid w:val="00886278"/>
    <w:rsid w:val="008867B6"/>
    <w:rsid w:val="008877FF"/>
    <w:rsid w:val="0088783D"/>
    <w:rsid w:val="008879B4"/>
    <w:rsid w:val="008905C3"/>
    <w:rsid w:val="008916A4"/>
    <w:rsid w:val="0089358A"/>
    <w:rsid w:val="00897C47"/>
    <w:rsid w:val="008A0098"/>
    <w:rsid w:val="008A150B"/>
    <w:rsid w:val="008A2321"/>
    <w:rsid w:val="008A3B1A"/>
    <w:rsid w:val="008A5E4B"/>
    <w:rsid w:val="008A66E2"/>
    <w:rsid w:val="008A71C1"/>
    <w:rsid w:val="008B030D"/>
    <w:rsid w:val="008B0679"/>
    <w:rsid w:val="008B1BDE"/>
    <w:rsid w:val="008B2698"/>
    <w:rsid w:val="008B2DBC"/>
    <w:rsid w:val="008B5E10"/>
    <w:rsid w:val="008B5E35"/>
    <w:rsid w:val="008B63AE"/>
    <w:rsid w:val="008B75A4"/>
    <w:rsid w:val="008B7778"/>
    <w:rsid w:val="008C05D5"/>
    <w:rsid w:val="008C22C7"/>
    <w:rsid w:val="008C2449"/>
    <w:rsid w:val="008C28E9"/>
    <w:rsid w:val="008C3F78"/>
    <w:rsid w:val="008C45A8"/>
    <w:rsid w:val="008C5710"/>
    <w:rsid w:val="008C7467"/>
    <w:rsid w:val="008C7ADB"/>
    <w:rsid w:val="008D0AE7"/>
    <w:rsid w:val="008D14D7"/>
    <w:rsid w:val="008D1DED"/>
    <w:rsid w:val="008D2821"/>
    <w:rsid w:val="008D4A90"/>
    <w:rsid w:val="008D5EC0"/>
    <w:rsid w:val="008D69AD"/>
    <w:rsid w:val="008D7438"/>
    <w:rsid w:val="008E0031"/>
    <w:rsid w:val="008E28D4"/>
    <w:rsid w:val="008E29B4"/>
    <w:rsid w:val="008E3ADF"/>
    <w:rsid w:val="008E3BE0"/>
    <w:rsid w:val="008E3FD0"/>
    <w:rsid w:val="008E3FE7"/>
    <w:rsid w:val="008E4D8D"/>
    <w:rsid w:val="008E5B9B"/>
    <w:rsid w:val="008F0C6F"/>
    <w:rsid w:val="008F1084"/>
    <w:rsid w:val="008F1409"/>
    <w:rsid w:val="008F175E"/>
    <w:rsid w:val="008F2C57"/>
    <w:rsid w:val="008F33AE"/>
    <w:rsid w:val="008F448A"/>
    <w:rsid w:val="008F4EF2"/>
    <w:rsid w:val="008F595F"/>
    <w:rsid w:val="008F7307"/>
    <w:rsid w:val="00901AF5"/>
    <w:rsid w:val="00901E04"/>
    <w:rsid w:val="009045B3"/>
    <w:rsid w:val="009054DE"/>
    <w:rsid w:val="00905958"/>
    <w:rsid w:val="00905F32"/>
    <w:rsid w:val="009067F2"/>
    <w:rsid w:val="00910FAC"/>
    <w:rsid w:val="00911F53"/>
    <w:rsid w:val="00913FCA"/>
    <w:rsid w:val="00914404"/>
    <w:rsid w:val="0091638B"/>
    <w:rsid w:val="00917892"/>
    <w:rsid w:val="0092460B"/>
    <w:rsid w:val="00924CD3"/>
    <w:rsid w:val="00926185"/>
    <w:rsid w:val="00926CB3"/>
    <w:rsid w:val="00926F09"/>
    <w:rsid w:val="00930518"/>
    <w:rsid w:val="0093136A"/>
    <w:rsid w:val="0093239A"/>
    <w:rsid w:val="00933281"/>
    <w:rsid w:val="00933ED7"/>
    <w:rsid w:val="00934B5F"/>
    <w:rsid w:val="0093593D"/>
    <w:rsid w:val="0093620B"/>
    <w:rsid w:val="00937830"/>
    <w:rsid w:val="0094171F"/>
    <w:rsid w:val="00941CF9"/>
    <w:rsid w:val="00942135"/>
    <w:rsid w:val="009427A1"/>
    <w:rsid w:val="00943D23"/>
    <w:rsid w:val="00945E10"/>
    <w:rsid w:val="0094611D"/>
    <w:rsid w:val="00946D85"/>
    <w:rsid w:val="009476DE"/>
    <w:rsid w:val="00947B59"/>
    <w:rsid w:val="00947D6D"/>
    <w:rsid w:val="00947ED7"/>
    <w:rsid w:val="00951420"/>
    <w:rsid w:val="00956589"/>
    <w:rsid w:val="00956910"/>
    <w:rsid w:val="009574F1"/>
    <w:rsid w:val="0095784F"/>
    <w:rsid w:val="0096087D"/>
    <w:rsid w:val="0096176F"/>
    <w:rsid w:val="00962C00"/>
    <w:rsid w:val="009637A5"/>
    <w:rsid w:val="0096557D"/>
    <w:rsid w:val="009664E5"/>
    <w:rsid w:val="00967DAC"/>
    <w:rsid w:val="00970367"/>
    <w:rsid w:val="00970842"/>
    <w:rsid w:val="00970E51"/>
    <w:rsid w:val="009712CC"/>
    <w:rsid w:val="0097148F"/>
    <w:rsid w:val="00971697"/>
    <w:rsid w:val="00973157"/>
    <w:rsid w:val="00974070"/>
    <w:rsid w:val="00975EF5"/>
    <w:rsid w:val="00977B4B"/>
    <w:rsid w:val="00981EF8"/>
    <w:rsid w:val="00982936"/>
    <w:rsid w:val="009833EC"/>
    <w:rsid w:val="009936EF"/>
    <w:rsid w:val="009A06BF"/>
    <w:rsid w:val="009A0FD3"/>
    <w:rsid w:val="009A190C"/>
    <w:rsid w:val="009A1EA6"/>
    <w:rsid w:val="009A2634"/>
    <w:rsid w:val="009A2B76"/>
    <w:rsid w:val="009A54E0"/>
    <w:rsid w:val="009A582E"/>
    <w:rsid w:val="009B11AB"/>
    <w:rsid w:val="009B1221"/>
    <w:rsid w:val="009B26AB"/>
    <w:rsid w:val="009B3080"/>
    <w:rsid w:val="009B4396"/>
    <w:rsid w:val="009B45BB"/>
    <w:rsid w:val="009B48F0"/>
    <w:rsid w:val="009B592A"/>
    <w:rsid w:val="009B66D8"/>
    <w:rsid w:val="009B6E09"/>
    <w:rsid w:val="009C13E4"/>
    <w:rsid w:val="009C1FE8"/>
    <w:rsid w:val="009D4831"/>
    <w:rsid w:val="009D52D3"/>
    <w:rsid w:val="009D6F75"/>
    <w:rsid w:val="009D71BB"/>
    <w:rsid w:val="009E2407"/>
    <w:rsid w:val="009E279B"/>
    <w:rsid w:val="009E3128"/>
    <w:rsid w:val="009E58F7"/>
    <w:rsid w:val="009E75AC"/>
    <w:rsid w:val="009E7636"/>
    <w:rsid w:val="009F0B8C"/>
    <w:rsid w:val="009F0E52"/>
    <w:rsid w:val="009F335F"/>
    <w:rsid w:val="009F34C8"/>
    <w:rsid w:val="009F44AA"/>
    <w:rsid w:val="009F4831"/>
    <w:rsid w:val="009F51F2"/>
    <w:rsid w:val="009F5735"/>
    <w:rsid w:val="009F57F5"/>
    <w:rsid w:val="009F5B57"/>
    <w:rsid w:val="009F6AF3"/>
    <w:rsid w:val="00A009BE"/>
    <w:rsid w:val="00A03696"/>
    <w:rsid w:val="00A04DEB"/>
    <w:rsid w:val="00A100CD"/>
    <w:rsid w:val="00A10347"/>
    <w:rsid w:val="00A124DD"/>
    <w:rsid w:val="00A133D1"/>
    <w:rsid w:val="00A13DDB"/>
    <w:rsid w:val="00A1415F"/>
    <w:rsid w:val="00A14687"/>
    <w:rsid w:val="00A155B1"/>
    <w:rsid w:val="00A21C87"/>
    <w:rsid w:val="00A22600"/>
    <w:rsid w:val="00A23A14"/>
    <w:rsid w:val="00A247ED"/>
    <w:rsid w:val="00A25FB7"/>
    <w:rsid w:val="00A26A44"/>
    <w:rsid w:val="00A2733A"/>
    <w:rsid w:val="00A33ADA"/>
    <w:rsid w:val="00A33C8B"/>
    <w:rsid w:val="00A35D51"/>
    <w:rsid w:val="00A36C24"/>
    <w:rsid w:val="00A36C74"/>
    <w:rsid w:val="00A40AFB"/>
    <w:rsid w:val="00A4412A"/>
    <w:rsid w:val="00A44172"/>
    <w:rsid w:val="00A46FCA"/>
    <w:rsid w:val="00A47043"/>
    <w:rsid w:val="00A47DBE"/>
    <w:rsid w:val="00A50F2D"/>
    <w:rsid w:val="00A513B6"/>
    <w:rsid w:val="00A53C95"/>
    <w:rsid w:val="00A560C1"/>
    <w:rsid w:val="00A56A0B"/>
    <w:rsid w:val="00A60505"/>
    <w:rsid w:val="00A60614"/>
    <w:rsid w:val="00A63465"/>
    <w:rsid w:val="00A637E9"/>
    <w:rsid w:val="00A63E45"/>
    <w:rsid w:val="00A64F76"/>
    <w:rsid w:val="00A66BA1"/>
    <w:rsid w:val="00A66E4C"/>
    <w:rsid w:val="00A70B34"/>
    <w:rsid w:val="00A7282F"/>
    <w:rsid w:val="00A745C7"/>
    <w:rsid w:val="00A7551E"/>
    <w:rsid w:val="00A75A31"/>
    <w:rsid w:val="00A76124"/>
    <w:rsid w:val="00A76552"/>
    <w:rsid w:val="00A77D85"/>
    <w:rsid w:val="00A81546"/>
    <w:rsid w:val="00A835C5"/>
    <w:rsid w:val="00A8644C"/>
    <w:rsid w:val="00A86A40"/>
    <w:rsid w:val="00A87255"/>
    <w:rsid w:val="00A87344"/>
    <w:rsid w:val="00A8754B"/>
    <w:rsid w:val="00A920EF"/>
    <w:rsid w:val="00A93906"/>
    <w:rsid w:val="00A93F2B"/>
    <w:rsid w:val="00A95DAB"/>
    <w:rsid w:val="00A96B01"/>
    <w:rsid w:val="00A97FB9"/>
    <w:rsid w:val="00AA0714"/>
    <w:rsid w:val="00AA0799"/>
    <w:rsid w:val="00AA275B"/>
    <w:rsid w:val="00AA442C"/>
    <w:rsid w:val="00AA693B"/>
    <w:rsid w:val="00AB03BC"/>
    <w:rsid w:val="00AB2356"/>
    <w:rsid w:val="00AB23F0"/>
    <w:rsid w:val="00AB2B6F"/>
    <w:rsid w:val="00AB3CBC"/>
    <w:rsid w:val="00AB5D18"/>
    <w:rsid w:val="00AB5EA1"/>
    <w:rsid w:val="00AB6D6D"/>
    <w:rsid w:val="00AC1329"/>
    <w:rsid w:val="00AC2D2D"/>
    <w:rsid w:val="00AC4D46"/>
    <w:rsid w:val="00AD10C5"/>
    <w:rsid w:val="00AD1A10"/>
    <w:rsid w:val="00AD657B"/>
    <w:rsid w:val="00AD74BC"/>
    <w:rsid w:val="00AD78D3"/>
    <w:rsid w:val="00AD7DD6"/>
    <w:rsid w:val="00AE01F6"/>
    <w:rsid w:val="00AE1882"/>
    <w:rsid w:val="00AE2255"/>
    <w:rsid w:val="00AE245C"/>
    <w:rsid w:val="00AE314E"/>
    <w:rsid w:val="00AE4E8C"/>
    <w:rsid w:val="00AE7071"/>
    <w:rsid w:val="00AE7A55"/>
    <w:rsid w:val="00AF048C"/>
    <w:rsid w:val="00AF2719"/>
    <w:rsid w:val="00AF2806"/>
    <w:rsid w:val="00AF38D7"/>
    <w:rsid w:val="00AF3DF4"/>
    <w:rsid w:val="00AF4B78"/>
    <w:rsid w:val="00AF7BA7"/>
    <w:rsid w:val="00B000A4"/>
    <w:rsid w:val="00B01A5B"/>
    <w:rsid w:val="00B01F89"/>
    <w:rsid w:val="00B02F1C"/>
    <w:rsid w:val="00B0303B"/>
    <w:rsid w:val="00B045DC"/>
    <w:rsid w:val="00B05BB6"/>
    <w:rsid w:val="00B101EC"/>
    <w:rsid w:val="00B1100D"/>
    <w:rsid w:val="00B1207C"/>
    <w:rsid w:val="00B144E6"/>
    <w:rsid w:val="00B151A7"/>
    <w:rsid w:val="00B15518"/>
    <w:rsid w:val="00B24FC2"/>
    <w:rsid w:val="00B2542E"/>
    <w:rsid w:val="00B272B4"/>
    <w:rsid w:val="00B27DCA"/>
    <w:rsid w:val="00B307DB"/>
    <w:rsid w:val="00B3386D"/>
    <w:rsid w:val="00B34018"/>
    <w:rsid w:val="00B34344"/>
    <w:rsid w:val="00B354EA"/>
    <w:rsid w:val="00B37290"/>
    <w:rsid w:val="00B3796C"/>
    <w:rsid w:val="00B41046"/>
    <w:rsid w:val="00B416DA"/>
    <w:rsid w:val="00B4205C"/>
    <w:rsid w:val="00B448E5"/>
    <w:rsid w:val="00B47E0E"/>
    <w:rsid w:val="00B513B2"/>
    <w:rsid w:val="00B53822"/>
    <w:rsid w:val="00B5432B"/>
    <w:rsid w:val="00B558D0"/>
    <w:rsid w:val="00B61138"/>
    <w:rsid w:val="00B6175E"/>
    <w:rsid w:val="00B61F2B"/>
    <w:rsid w:val="00B626D3"/>
    <w:rsid w:val="00B62BFD"/>
    <w:rsid w:val="00B63263"/>
    <w:rsid w:val="00B64820"/>
    <w:rsid w:val="00B650F6"/>
    <w:rsid w:val="00B654FC"/>
    <w:rsid w:val="00B6565A"/>
    <w:rsid w:val="00B677D9"/>
    <w:rsid w:val="00B67CB8"/>
    <w:rsid w:val="00B702D3"/>
    <w:rsid w:val="00B70D6B"/>
    <w:rsid w:val="00B71CEE"/>
    <w:rsid w:val="00B72150"/>
    <w:rsid w:val="00B72186"/>
    <w:rsid w:val="00B72539"/>
    <w:rsid w:val="00B748AD"/>
    <w:rsid w:val="00B74BB7"/>
    <w:rsid w:val="00B757DE"/>
    <w:rsid w:val="00B75B87"/>
    <w:rsid w:val="00B811CD"/>
    <w:rsid w:val="00B813F9"/>
    <w:rsid w:val="00B81AB5"/>
    <w:rsid w:val="00B81F81"/>
    <w:rsid w:val="00B8310C"/>
    <w:rsid w:val="00B8313F"/>
    <w:rsid w:val="00B836B1"/>
    <w:rsid w:val="00B84329"/>
    <w:rsid w:val="00B8481F"/>
    <w:rsid w:val="00B857BB"/>
    <w:rsid w:val="00B87419"/>
    <w:rsid w:val="00B87A16"/>
    <w:rsid w:val="00B910EE"/>
    <w:rsid w:val="00B9220C"/>
    <w:rsid w:val="00B93B85"/>
    <w:rsid w:val="00B93C37"/>
    <w:rsid w:val="00B94DF6"/>
    <w:rsid w:val="00B94FC8"/>
    <w:rsid w:val="00B95187"/>
    <w:rsid w:val="00BA21BF"/>
    <w:rsid w:val="00BA270F"/>
    <w:rsid w:val="00BA2C30"/>
    <w:rsid w:val="00BA3FBA"/>
    <w:rsid w:val="00BA5BA2"/>
    <w:rsid w:val="00BA60C6"/>
    <w:rsid w:val="00BA6909"/>
    <w:rsid w:val="00BA7A69"/>
    <w:rsid w:val="00BA7D9A"/>
    <w:rsid w:val="00BA7F12"/>
    <w:rsid w:val="00BA7FB6"/>
    <w:rsid w:val="00BB0137"/>
    <w:rsid w:val="00BB07F1"/>
    <w:rsid w:val="00BB241E"/>
    <w:rsid w:val="00BB2EFA"/>
    <w:rsid w:val="00BB3F1F"/>
    <w:rsid w:val="00BB40BF"/>
    <w:rsid w:val="00BB434C"/>
    <w:rsid w:val="00BB57C0"/>
    <w:rsid w:val="00BB5845"/>
    <w:rsid w:val="00BB5CFF"/>
    <w:rsid w:val="00BB6694"/>
    <w:rsid w:val="00BB768F"/>
    <w:rsid w:val="00BC06C5"/>
    <w:rsid w:val="00BC245E"/>
    <w:rsid w:val="00BC3A3F"/>
    <w:rsid w:val="00BC3BF8"/>
    <w:rsid w:val="00BC6700"/>
    <w:rsid w:val="00BC6D8F"/>
    <w:rsid w:val="00BC7117"/>
    <w:rsid w:val="00BC72F4"/>
    <w:rsid w:val="00BD00DD"/>
    <w:rsid w:val="00BD0EAF"/>
    <w:rsid w:val="00BD1AEB"/>
    <w:rsid w:val="00BD266C"/>
    <w:rsid w:val="00BD2FB8"/>
    <w:rsid w:val="00BD5311"/>
    <w:rsid w:val="00BD58BF"/>
    <w:rsid w:val="00BD7E8A"/>
    <w:rsid w:val="00BE1AB6"/>
    <w:rsid w:val="00BE334F"/>
    <w:rsid w:val="00BE41C2"/>
    <w:rsid w:val="00BE426E"/>
    <w:rsid w:val="00BF1678"/>
    <w:rsid w:val="00BF32A8"/>
    <w:rsid w:val="00BF7DC1"/>
    <w:rsid w:val="00C0096B"/>
    <w:rsid w:val="00C013EA"/>
    <w:rsid w:val="00C0296A"/>
    <w:rsid w:val="00C03DB8"/>
    <w:rsid w:val="00C0428B"/>
    <w:rsid w:val="00C044D8"/>
    <w:rsid w:val="00C05593"/>
    <w:rsid w:val="00C12D4E"/>
    <w:rsid w:val="00C13308"/>
    <w:rsid w:val="00C1492A"/>
    <w:rsid w:val="00C1559F"/>
    <w:rsid w:val="00C15B7D"/>
    <w:rsid w:val="00C17AF3"/>
    <w:rsid w:val="00C200D4"/>
    <w:rsid w:val="00C2070F"/>
    <w:rsid w:val="00C21667"/>
    <w:rsid w:val="00C218DB"/>
    <w:rsid w:val="00C224A2"/>
    <w:rsid w:val="00C2375D"/>
    <w:rsid w:val="00C23A25"/>
    <w:rsid w:val="00C245CE"/>
    <w:rsid w:val="00C247FB"/>
    <w:rsid w:val="00C24E56"/>
    <w:rsid w:val="00C27791"/>
    <w:rsid w:val="00C30015"/>
    <w:rsid w:val="00C30187"/>
    <w:rsid w:val="00C30D24"/>
    <w:rsid w:val="00C315D2"/>
    <w:rsid w:val="00C3355C"/>
    <w:rsid w:val="00C342EF"/>
    <w:rsid w:val="00C40F5D"/>
    <w:rsid w:val="00C4131B"/>
    <w:rsid w:val="00C41C9E"/>
    <w:rsid w:val="00C4224D"/>
    <w:rsid w:val="00C42976"/>
    <w:rsid w:val="00C43AA9"/>
    <w:rsid w:val="00C44DA2"/>
    <w:rsid w:val="00C4578D"/>
    <w:rsid w:val="00C4603D"/>
    <w:rsid w:val="00C471BC"/>
    <w:rsid w:val="00C47D63"/>
    <w:rsid w:val="00C50694"/>
    <w:rsid w:val="00C50F36"/>
    <w:rsid w:val="00C519D5"/>
    <w:rsid w:val="00C5267E"/>
    <w:rsid w:val="00C5397E"/>
    <w:rsid w:val="00C53E0F"/>
    <w:rsid w:val="00C55E7D"/>
    <w:rsid w:val="00C560B3"/>
    <w:rsid w:val="00C57BE4"/>
    <w:rsid w:val="00C57D4F"/>
    <w:rsid w:val="00C62A78"/>
    <w:rsid w:val="00C632D8"/>
    <w:rsid w:val="00C6344A"/>
    <w:rsid w:val="00C64474"/>
    <w:rsid w:val="00C64FBC"/>
    <w:rsid w:val="00C654A9"/>
    <w:rsid w:val="00C66CA3"/>
    <w:rsid w:val="00C67C47"/>
    <w:rsid w:val="00C72776"/>
    <w:rsid w:val="00C72E39"/>
    <w:rsid w:val="00C7330D"/>
    <w:rsid w:val="00C73DEF"/>
    <w:rsid w:val="00C746A1"/>
    <w:rsid w:val="00C759D1"/>
    <w:rsid w:val="00C76DFD"/>
    <w:rsid w:val="00C825B6"/>
    <w:rsid w:val="00C82660"/>
    <w:rsid w:val="00C82D13"/>
    <w:rsid w:val="00C84A81"/>
    <w:rsid w:val="00C85F78"/>
    <w:rsid w:val="00C86AB5"/>
    <w:rsid w:val="00C86E51"/>
    <w:rsid w:val="00C906E0"/>
    <w:rsid w:val="00C935CC"/>
    <w:rsid w:val="00C9388B"/>
    <w:rsid w:val="00C93923"/>
    <w:rsid w:val="00C93F6D"/>
    <w:rsid w:val="00C94C92"/>
    <w:rsid w:val="00C9516E"/>
    <w:rsid w:val="00C95903"/>
    <w:rsid w:val="00C960F0"/>
    <w:rsid w:val="00C96520"/>
    <w:rsid w:val="00C978E9"/>
    <w:rsid w:val="00CA0360"/>
    <w:rsid w:val="00CA04BB"/>
    <w:rsid w:val="00CA1CC6"/>
    <w:rsid w:val="00CA2BB6"/>
    <w:rsid w:val="00CA2C01"/>
    <w:rsid w:val="00CA34E0"/>
    <w:rsid w:val="00CA76D9"/>
    <w:rsid w:val="00CB0DD1"/>
    <w:rsid w:val="00CB1F92"/>
    <w:rsid w:val="00CB2BAF"/>
    <w:rsid w:val="00CB597E"/>
    <w:rsid w:val="00CB721F"/>
    <w:rsid w:val="00CB7C7F"/>
    <w:rsid w:val="00CB7FFE"/>
    <w:rsid w:val="00CC0569"/>
    <w:rsid w:val="00CC1380"/>
    <w:rsid w:val="00CC2BBE"/>
    <w:rsid w:val="00CC764D"/>
    <w:rsid w:val="00CD1D4B"/>
    <w:rsid w:val="00CD290B"/>
    <w:rsid w:val="00CD4CD9"/>
    <w:rsid w:val="00CD5B4C"/>
    <w:rsid w:val="00CD6254"/>
    <w:rsid w:val="00CD677B"/>
    <w:rsid w:val="00CD68E4"/>
    <w:rsid w:val="00CD6A6E"/>
    <w:rsid w:val="00CD7350"/>
    <w:rsid w:val="00CD7D62"/>
    <w:rsid w:val="00CE0B3B"/>
    <w:rsid w:val="00CE14DD"/>
    <w:rsid w:val="00CE1B3F"/>
    <w:rsid w:val="00CE498D"/>
    <w:rsid w:val="00CE4EB3"/>
    <w:rsid w:val="00CE7322"/>
    <w:rsid w:val="00CE7E52"/>
    <w:rsid w:val="00CF18F4"/>
    <w:rsid w:val="00CF1A70"/>
    <w:rsid w:val="00CF4F61"/>
    <w:rsid w:val="00CF5F27"/>
    <w:rsid w:val="00CF6DA3"/>
    <w:rsid w:val="00CF761E"/>
    <w:rsid w:val="00D000F5"/>
    <w:rsid w:val="00D0187A"/>
    <w:rsid w:val="00D034EC"/>
    <w:rsid w:val="00D0456D"/>
    <w:rsid w:val="00D04603"/>
    <w:rsid w:val="00D04DC8"/>
    <w:rsid w:val="00D061E2"/>
    <w:rsid w:val="00D062E0"/>
    <w:rsid w:val="00D1153C"/>
    <w:rsid w:val="00D11FE2"/>
    <w:rsid w:val="00D142EC"/>
    <w:rsid w:val="00D145BD"/>
    <w:rsid w:val="00D1613F"/>
    <w:rsid w:val="00D20C50"/>
    <w:rsid w:val="00D21182"/>
    <w:rsid w:val="00D22EE3"/>
    <w:rsid w:val="00D23B5F"/>
    <w:rsid w:val="00D26381"/>
    <w:rsid w:val="00D27B07"/>
    <w:rsid w:val="00D30A16"/>
    <w:rsid w:val="00D330AA"/>
    <w:rsid w:val="00D33359"/>
    <w:rsid w:val="00D34749"/>
    <w:rsid w:val="00D351DC"/>
    <w:rsid w:val="00D35D41"/>
    <w:rsid w:val="00D4049B"/>
    <w:rsid w:val="00D43DE0"/>
    <w:rsid w:val="00D45702"/>
    <w:rsid w:val="00D510AC"/>
    <w:rsid w:val="00D51141"/>
    <w:rsid w:val="00D535A9"/>
    <w:rsid w:val="00D543D5"/>
    <w:rsid w:val="00D60EC9"/>
    <w:rsid w:val="00D63288"/>
    <w:rsid w:val="00D6420C"/>
    <w:rsid w:val="00D6482B"/>
    <w:rsid w:val="00D64902"/>
    <w:rsid w:val="00D652A1"/>
    <w:rsid w:val="00D66B74"/>
    <w:rsid w:val="00D66E36"/>
    <w:rsid w:val="00D71445"/>
    <w:rsid w:val="00D7339A"/>
    <w:rsid w:val="00D75ADD"/>
    <w:rsid w:val="00D82955"/>
    <w:rsid w:val="00D82EC7"/>
    <w:rsid w:val="00D8367A"/>
    <w:rsid w:val="00D84A37"/>
    <w:rsid w:val="00D85B46"/>
    <w:rsid w:val="00D86FF0"/>
    <w:rsid w:val="00D901B0"/>
    <w:rsid w:val="00D90E79"/>
    <w:rsid w:val="00D91A5C"/>
    <w:rsid w:val="00D920BD"/>
    <w:rsid w:val="00D96FB9"/>
    <w:rsid w:val="00DA26CE"/>
    <w:rsid w:val="00DA4CED"/>
    <w:rsid w:val="00DA4FCF"/>
    <w:rsid w:val="00DA6642"/>
    <w:rsid w:val="00DA6657"/>
    <w:rsid w:val="00DA72A5"/>
    <w:rsid w:val="00DA7ACF"/>
    <w:rsid w:val="00DB364E"/>
    <w:rsid w:val="00DB3F33"/>
    <w:rsid w:val="00DB5E84"/>
    <w:rsid w:val="00DC1F6D"/>
    <w:rsid w:val="00DC2B77"/>
    <w:rsid w:val="00DC4A82"/>
    <w:rsid w:val="00DC4C10"/>
    <w:rsid w:val="00DC520C"/>
    <w:rsid w:val="00DC595C"/>
    <w:rsid w:val="00DC6155"/>
    <w:rsid w:val="00DC79AF"/>
    <w:rsid w:val="00DD2A44"/>
    <w:rsid w:val="00DD3763"/>
    <w:rsid w:val="00DD3770"/>
    <w:rsid w:val="00DD58D3"/>
    <w:rsid w:val="00DD5B77"/>
    <w:rsid w:val="00DE050A"/>
    <w:rsid w:val="00DE20AB"/>
    <w:rsid w:val="00DE20E3"/>
    <w:rsid w:val="00DE270F"/>
    <w:rsid w:val="00DE2E14"/>
    <w:rsid w:val="00DE327C"/>
    <w:rsid w:val="00DE39C2"/>
    <w:rsid w:val="00DE4161"/>
    <w:rsid w:val="00DE6493"/>
    <w:rsid w:val="00DE6736"/>
    <w:rsid w:val="00DE675D"/>
    <w:rsid w:val="00DE7AE6"/>
    <w:rsid w:val="00DF0FC4"/>
    <w:rsid w:val="00DF109F"/>
    <w:rsid w:val="00DF2CD4"/>
    <w:rsid w:val="00DF30F2"/>
    <w:rsid w:val="00DF5093"/>
    <w:rsid w:val="00DF61BD"/>
    <w:rsid w:val="00DF63D2"/>
    <w:rsid w:val="00DF7B21"/>
    <w:rsid w:val="00E01F7C"/>
    <w:rsid w:val="00E02C69"/>
    <w:rsid w:val="00E048AB"/>
    <w:rsid w:val="00E05E94"/>
    <w:rsid w:val="00E05F41"/>
    <w:rsid w:val="00E06E9A"/>
    <w:rsid w:val="00E06FAB"/>
    <w:rsid w:val="00E06FFF"/>
    <w:rsid w:val="00E136E8"/>
    <w:rsid w:val="00E13906"/>
    <w:rsid w:val="00E150AB"/>
    <w:rsid w:val="00E1522C"/>
    <w:rsid w:val="00E16ADC"/>
    <w:rsid w:val="00E174BD"/>
    <w:rsid w:val="00E203A6"/>
    <w:rsid w:val="00E214FB"/>
    <w:rsid w:val="00E21C3F"/>
    <w:rsid w:val="00E21CE0"/>
    <w:rsid w:val="00E243CE"/>
    <w:rsid w:val="00E245A0"/>
    <w:rsid w:val="00E2538C"/>
    <w:rsid w:val="00E269E0"/>
    <w:rsid w:val="00E315DA"/>
    <w:rsid w:val="00E31D9B"/>
    <w:rsid w:val="00E31FC4"/>
    <w:rsid w:val="00E33806"/>
    <w:rsid w:val="00E3395B"/>
    <w:rsid w:val="00E34088"/>
    <w:rsid w:val="00E34311"/>
    <w:rsid w:val="00E3446B"/>
    <w:rsid w:val="00E34566"/>
    <w:rsid w:val="00E3479C"/>
    <w:rsid w:val="00E34838"/>
    <w:rsid w:val="00E37AF4"/>
    <w:rsid w:val="00E40D35"/>
    <w:rsid w:val="00E424EE"/>
    <w:rsid w:val="00E438A1"/>
    <w:rsid w:val="00E4610F"/>
    <w:rsid w:val="00E51478"/>
    <w:rsid w:val="00E51F58"/>
    <w:rsid w:val="00E54CD5"/>
    <w:rsid w:val="00E55AA0"/>
    <w:rsid w:val="00E56C19"/>
    <w:rsid w:val="00E5732E"/>
    <w:rsid w:val="00E57DF9"/>
    <w:rsid w:val="00E60537"/>
    <w:rsid w:val="00E60F91"/>
    <w:rsid w:val="00E612D5"/>
    <w:rsid w:val="00E61D9B"/>
    <w:rsid w:val="00E62222"/>
    <w:rsid w:val="00E62F28"/>
    <w:rsid w:val="00E63645"/>
    <w:rsid w:val="00E63D76"/>
    <w:rsid w:val="00E64333"/>
    <w:rsid w:val="00E6644F"/>
    <w:rsid w:val="00E666C6"/>
    <w:rsid w:val="00E67946"/>
    <w:rsid w:val="00E67E8F"/>
    <w:rsid w:val="00E70AF9"/>
    <w:rsid w:val="00E73D12"/>
    <w:rsid w:val="00E74AD2"/>
    <w:rsid w:val="00E760F9"/>
    <w:rsid w:val="00E77453"/>
    <w:rsid w:val="00E8038C"/>
    <w:rsid w:val="00E8518F"/>
    <w:rsid w:val="00E855D2"/>
    <w:rsid w:val="00E85B3C"/>
    <w:rsid w:val="00E9011E"/>
    <w:rsid w:val="00E90570"/>
    <w:rsid w:val="00E9064B"/>
    <w:rsid w:val="00E9069B"/>
    <w:rsid w:val="00E91275"/>
    <w:rsid w:val="00E916FC"/>
    <w:rsid w:val="00E9186C"/>
    <w:rsid w:val="00E91B98"/>
    <w:rsid w:val="00E925D2"/>
    <w:rsid w:val="00E92BC3"/>
    <w:rsid w:val="00E92BE2"/>
    <w:rsid w:val="00E92C61"/>
    <w:rsid w:val="00E9467D"/>
    <w:rsid w:val="00E94F12"/>
    <w:rsid w:val="00E97503"/>
    <w:rsid w:val="00EA07EF"/>
    <w:rsid w:val="00EA25A0"/>
    <w:rsid w:val="00EA2E1E"/>
    <w:rsid w:val="00EA372C"/>
    <w:rsid w:val="00EA3BD8"/>
    <w:rsid w:val="00EA5E0C"/>
    <w:rsid w:val="00EA7DB4"/>
    <w:rsid w:val="00EB022A"/>
    <w:rsid w:val="00EB55EA"/>
    <w:rsid w:val="00EB7D7C"/>
    <w:rsid w:val="00EB7DA2"/>
    <w:rsid w:val="00EB7FF2"/>
    <w:rsid w:val="00EC1597"/>
    <w:rsid w:val="00EC16E5"/>
    <w:rsid w:val="00EC2D65"/>
    <w:rsid w:val="00EC4819"/>
    <w:rsid w:val="00EC65D7"/>
    <w:rsid w:val="00EC68FB"/>
    <w:rsid w:val="00EC6E8B"/>
    <w:rsid w:val="00EC6FE0"/>
    <w:rsid w:val="00EC7780"/>
    <w:rsid w:val="00ED01BB"/>
    <w:rsid w:val="00ED29BB"/>
    <w:rsid w:val="00ED31B1"/>
    <w:rsid w:val="00ED418B"/>
    <w:rsid w:val="00ED4DE8"/>
    <w:rsid w:val="00ED4E03"/>
    <w:rsid w:val="00ED6458"/>
    <w:rsid w:val="00ED76CD"/>
    <w:rsid w:val="00EE19C2"/>
    <w:rsid w:val="00EE2D79"/>
    <w:rsid w:val="00EE2F08"/>
    <w:rsid w:val="00EE332E"/>
    <w:rsid w:val="00EE5551"/>
    <w:rsid w:val="00EE5AE1"/>
    <w:rsid w:val="00EE735F"/>
    <w:rsid w:val="00EE78B1"/>
    <w:rsid w:val="00EE7B32"/>
    <w:rsid w:val="00EF33EA"/>
    <w:rsid w:val="00EF657B"/>
    <w:rsid w:val="00EF7306"/>
    <w:rsid w:val="00EF789A"/>
    <w:rsid w:val="00EF7A50"/>
    <w:rsid w:val="00EF7E7C"/>
    <w:rsid w:val="00F01246"/>
    <w:rsid w:val="00F019BA"/>
    <w:rsid w:val="00F021BC"/>
    <w:rsid w:val="00F04396"/>
    <w:rsid w:val="00F04E05"/>
    <w:rsid w:val="00F059B5"/>
    <w:rsid w:val="00F06AD0"/>
    <w:rsid w:val="00F06FA9"/>
    <w:rsid w:val="00F106E2"/>
    <w:rsid w:val="00F118E9"/>
    <w:rsid w:val="00F13789"/>
    <w:rsid w:val="00F13E98"/>
    <w:rsid w:val="00F14497"/>
    <w:rsid w:val="00F15112"/>
    <w:rsid w:val="00F1582E"/>
    <w:rsid w:val="00F1728D"/>
    <w:rsid w:val="00F216CA"/>
    <w:rsid w:val="00F21D4D"/>
    <w:rsid w:val="00F22F71"/>
    <w:rsid w:val="00F243AE"/>
    <w:rsid w:val="00F249E0"/>
    <w:rsid w:val="00F32CCF"/>
    <w:rsid w:val="00F351DC"/>
    <w:rsid w:val="00F3545C"/>
    <w:rsid w:val="00F358E3"/>
    <w:rsid w:val="00F36BDA"/>
    <w:rsid w:val="00F3775F"/>
    <w:rsid w:val="00F379F3"/>
    <w:rsid w:val="00F41020"/>
    <w:rsid w:val="00F42623"/>
    <w:rsid w:val="00F43114"/>
    <w:rsid w:val="00F43889"/>
    <w:rsid w:val="00F442C9"/>
    <w:rsid w:val="00F44B22"/>
    <w:rsid w:val="00F45193"/>
    <w:rsid w:val="00F46B7C"/>
    <w:rsid w:val="00F46D1D"/>
    <w:rsid w:val="00F57440"/>
    <w:rsid w:val="00F61EB7"/>
    <w:rsid w:val="00F64330"/>
    <w:rsid w:val="00F6487C"/>
    <w:rsid w:val="00F64A81"/>
    <w:rsid w:val="00F64CA8"/>
    <w:rsid w:val="00F651F2"/>
    <w:rsid w:val="00F66646"/>
    <w:rsid w:val="00F70BFD"/>
    <w:rsid w:val="00F742A3"/>
    <w:rsid w:val="00F74635"/>
    <w:rsid w:val="00F7603D"/>
    <w:rsid w:val="00F76172"/>
    <w:rsid w:val="00F763EE"/>
    <w:rsid w:val="00F7658C"/>
    <w:rsid w:val="00F76665"/>
    <w:rsid w:val="00F7678E"/>
    <w:rsid w:val="00F77063"/>
    <w:rsid w:val="00F80A77"/>
    <w:rsid w:val="00F81261"/>
    <w:rsid w:val="00F81330"/>
    <w:rsid w:val="00F81730"/>
    <w:rsid w:val="00F83802"/>
    <w:rsid w:val="00F85993"/>
    <w:rsid w:val="00F914D1"/>
    <w:rsid w:val="00F94608"/>
    <w:rsid w:val="00F94E43"/>
    <w:rsid w:val="00F95119"/>
    <w:rsid w:val="00F95169"/>
    <w:rsid w:val="00F9730D"/>
    <w:rsid w:val="00F974A6"/>
    <w:rsid w:val="00F976E6"/>
    <w:rsid w:val="00FA18C0"/>
    <w:rsid w:val="00FA26ED"/>
    <w:rsid w:val="00FA288C"/>
    <w:rsid w:val="00FA327A"/>
    <w:rsid w:val="00FA3A3A"/>
    <w:rsid w:val="00FA3BFC"/>
    <w:rsid w:val="00FA6450"/>
    <w:rsid w:val="00FA6677"/>
    <w:rsid w:val="00FB3036"/>
    <w:rsid w:val="00FB5A4D"/>
    <w:rsid w:val="00FB5B63"/>
    <w:rsid w:val="00FB6B15"/>
    <w:rsid w:val="00FC03BC"/>
    <w:rsid w:val="00FC076C"/>
    <w:rsid w:val="00FC1603"/>
    <w:rsid w:val="00FC1BCB"/>
    <w:rsid w:val="00FC1D2D"/>
    <w:rsid w:val="00FC2A9E"/>
    <w:rsid w:val="00FC2EDF"/>
    <w:rsid w:val="00FC6270"/>
    <w:rsid w:val="00FC63A2"/>
    <w:rsid w:val="00FC77CE"/>
    <w:rsid w:val="00FD0F27"/>
    <w:rsid w:val="00FD0F6E"/>
    <w:rsid w:val="00FD18DC"/>
    <w:rsid w:val="00FD2064"/>
    <w:rsid w:val="00FD2176"/>
    <w:rsid w:val="00FD323A"/>
    <w:rsid w:val="00FD45C4"/>
    <w:rsid w:val="00FD6551"/>
    <w:rsid w:val="00FD6955"/>
    <w:rsid w:val="00FE1001"/>
    <w:rsid w:val="00FE631F"/>
    <w:rsid w:val="00FE6AD4"/>
    <w:rsid w:val="00FE6AE7"/>
    <w:rsid w:val="00FF0956"/>
    <w:rsid w:val="00FF0F32"/>
    <w:rsid w:val="00FF154E"/>
    <w:rsid w:val="00FF2169"/>
    <w:rsid w:val="00FF217F"/>
    <w:rsid w:val="00FF3A8D"/>
    <w:rsid w:val="00FF4750"/>
    <w:rsid w:val="00FF49C8"/>
    <w:rsid w:val="00FF5017"/>
    <w:rsid w:val="00FF5B3E"/>
    <w:rsid w:val="00FF6A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7339EF"/>
  <w15:docId w15:val="{DBE73CED-B9FA-4CC6-9F81-BE1E34E80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438D"/>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link w:val="Heading1Char"/>
    <w:uiPriority w:val="9"/>
    <w:qFormat/>
    <w:rsid w:val="001A2E9D"/>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6859C8"/>
    <w:pPr>
      <w:spacing w:before="100" w:beforeAutospacing="1" w:after="100" w:afterAutospacing="1"/>
    </w:pPr>
  </w:style>
  <w:style w:type="paragraph" w:styleId="FootnoteText">
    <w:name w:val="footnote text"/>
    <w:aliases w:val="Footnote,Fußnote,Fußnote Char Char,Fußnote Char Char Char Char Char Char"/>
    <w:basedOn w:val="Normal"/>
    <w:link w:val="FootnoteTextChar"/>
    <w:uiPriority w:val="99"/>
    <w:unhideWhenUsed/>
    <w:rsid w:val="006859C8"/>
    <w:rPr>
      <w:sz w:val="20"/>
      <w:szCs w:val="20"/>
    </w:rPr>
  </w:style>
  <w:style w:type="character" w:customStyle="1" w:styleId="FootnoteTextChar">
    <w:name w:val="Footnote Text Char"/>
    <w:aliases w:val="Footnote Char,Fußnote Char,Fußnote Char Char Char,Fußnote Char Char Char Char Char Char Char"/>
    <w:basedOn w:val="DefaultParagraphFont"/>
    <w:link w:val="FootnoteText"/>
    <w:uiPriority w:val="99"/>
    <w:rsid w:val="006859C8"/>
    <w:rPr>
      <w:rFonts w:ascii="Times New Roman" w:eastAsia="Times New Roman" w:hAnsi="Times New Roman" w:cs="Times New Roman"/>
      <w:sz w:val="20"/>
      <w:szCs w:val="20"/>
      <w:lang w:eastAsia="lv-LV"/>
    </w:rPr>
  </w:style>
  <w:style w:type="character" w:styleId="FootnoteReference">
    <w:name w:val="footnote reference"/>
    <w:aliases w:val="Footnote symbol,Footnote Reference Number"/>
    <w:basedOn w:val="DefaultParagraphFont"/>
    <w:uiPriority w:val="99"/>
    <w:unhideWhenUsed/>
    <w:rsid w:val="006859C8"/>
    <w:rPr>
      <w:vertAlign w:val="superscript"/>
    </w:rPr>
  </w:style>
  <w:style w:type="paragraph" w:styleId="ListParagraph">
    <w:name w:val="List Paragraph"/>
    <w:aliases w:val="2,Strip,LP1.,Numbered Para 1,Dot pt,No Spacing1,List Paragraph Char Char Char,Indicator Text,List Paragraph1,Bullet 1,Bullet Points,MAIN CONTENT,IFCL - List Paragraph,List Paragraph12,OBC Bullet,F5 List Paragraph,Párrafo de lista"/>
    <w:basedOn w:val="Normal"/>
    <w:link w:val="ListParagraphChar"/>
    <w:uiPriority w:val="34"/>
    <w:qFormat/>
    <w:rsid w:val="005A0DC2"/>
    <w:pPr>
      <w:ind w:left="720"/>
      <w:contextualSpacing/>
    </w:pPr>
  </w:style>
  <w:style w:type="character" w:styleId="CommentReference">
    <w:name w:val="annotation reference"/>
    <w:basedOn w:val="DefaultParagraphFont"/>
    <w:uiPriority w:val="99"/>
    <w:semiHidden/>
    <w:unhideWhenUsed/>
    <w:rsid w:val="001F0869"/>
    <w:rPr>
      <w:sz w:val="16"/>
      <w:szCs w:val="16"/>
    </w:rPr>
  </w:style>
  <w:style w:type="paragraph" w:styleId="CommentText">
    <w:name w:val="annotation text"/>
    <w:basedOn w:val="Normal"/>
    <w:link w:val="CommentTextChar"/>
    <w:uiPriority w:val="99"/>
    <w:unhideWhenUsed/>
    <w:rsid w:val="001F0869"/>
    <w:rPr>
      <w:sz w:val="20"/>
      <w:szCs w:val="20"/>
    </w:rPr>
  </w:style>
  <w:style w:type="character" w:customStyle="1" w:styleId="CommentTextChar">
    <w:name w:val="Comment Text Char"/>
    <w:basedOn w:val="DefaultParagraphFont"/>
    <w:link w:val="CommentText"/>
    <w:uiPriority w:val="99"/>
    <w:rsid w:val="001F0869"/>
    <w:rPr>
      <w:sz w:val="20"/>
      <w:szCs w:val="20"/>
    </w:rPr>
  </w:style>
  <w:style w:type="paragraph" w:styleId="CommentSubject">
    <w:name w:val="annotation subject"/>
    <w:basedOn w:val="CommentText"/>
    <w:next w:val="CommentText"/>
    <w:link w:val="CommentSubjectChar"/>
    <w:uiPriority w:val="99"/>
    <w:semiHidden/>
    <w:unhideWhenUsed/>
    <w:rsid w:val="001F0869"/>
    <w:rPr>
      <w:b/>
      <w:bCs/>
    </w:rPr>
  </w:style>
  <w:style w:type="character" w:customStyle="1" w:styleId="CommentSubjectChar">
    <w:name w:val="Comment Subject Char"/>
    <w:basedOn w:val="CommentTextChar"/>
    <w:link w:val="CommentSubject"/>
    <w:uiPriority w:val="99"/>
    <w:semiHidden/>
    <w:rsid w:val="001F0869"/>
    <w:rPr>
      <w:b/>
      <w:bCs/>
      <w:sz w:val="20"/>
      <w:szCs w:val="20"/>
    </w:rPr>
  </w:style>
  <w:style w:type="paragraph" w:styleId="BalloonText">
    <w:name w:val="Balloon Text"/>
    <w:basedOn w:val="Normal"/>
    <w:link w:val="BalloonTextChar"/>
    <w:uiPriority w:val="99"/>
    <w:semiHidden/>
    <w:unhideWhenUsed/>
    <w:rsid w:val="001F086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0869"/>
    <w:rPr>
      <w:rFonts w:ascii="Segoe UI" w:hAnsi="Segoe UI" w:cs="Segoe UI"/>
      <w:sz w:val="18"/>
      <w:szCs w:val="18"/>
    </w:rPr>
  </w:style>
  <w:style w:type="table" w:styleId="TableGrid">
    <w:name w:val="Table Grid"/>
    <w:basedOn w:val="TableNormal"/>
    <w:uiPriority w:val="59"/>
    <w:rsid w:val="001F0869"/>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630AD"/>
    <w:rPr>
      <w:b/>
      <w:bCs/>
    </w:rPr>
  </w:style>
  <w:style w:type="character" w:styleId="Hyperlink">
    <w:name w:val="Hyperlink"/>
    <w:basedOn w:val="DefaultParagraphFont"/>
    <w:uiPriority w:val="99"/>
    <w:unhideWhenUsed/>
    <w:rsid w:val="004D3ADC"/>
    <w:rPr>
      <w:color w:val="0000FF"/>
      <w:u w:val="single"/>
    </w:rPr>
  </w:style>
  <w:style w:type="character" w:customStyle="1" w:styleId="Neatrisintapieminana1">
    <w:name w:val="Neatrisināta pieminēšana1"/>
    <w:basedOn w:val="DefaultParagraphFont"/>
    <w:uiPriority w:val="99"/>
    <w:semiHidden/>
    <w:unhideWhenUsed/>
    <w:rsid w:val="00BC6700"/>
    <w:rPr>
      <w:color w:val="605E5C"/>
      <w:shd w:val="clear" w:color="auto" w:fill="E1DFDD"/>
    </w:rPr>
  </w:style>
  <w:style w:type="paragraph" w:styleId="Header">
    <w:name w:val="header"/>
    <w:basedOn w:val="Normal"/>
    <w:link w:val="HeaderChar"/>
    <w:uiPriority w:val="99"/>
    <w:unhideWhenUsed/>
    <w:rsid w:val="009A582E"/>
    <w:pPr>
      <w:tabs>
        <w:tab w:val="center" w:pos="4153"/>
        <w:tab w:val="right" w:pos="8306"/>
      </w:tabs>
    </w:pPr>
  </w:style>
  <w:style w:type="character" w:customStyle="1" w:styleId="HeaderChar">
    <w:name w:val="Header Char"/>
    <w:basedOn w:val="DefaultParagraphFont"/>
    <w:link w:val="Header"/>
    <w:uiPriority w:val="99"/>
    <w:rsid w:val="009A582E"/>
  </w:style>
  <w:style w:type="paragraph" w:styleId="Footer">
    <w:name w:val="footer"/>
    <w:basedOn w:val="Normal"/>
    <w:link w:val="FooterChar"/>
    <w:uiPriority w:val="99"/>
    <w:unhideWhenUsed/>
    <w:rsid w:val="009A582E"/>
    <w:pPr>
      <w:tabs>
        <w:tab w:val="center" w:pos="4153"/>
        <w:tab w:val="right" w:pos="8306"/>
      </w:tabs>
    </w:pPr>
  </w:style>
  <w:style w:type="character" w:customStyle="1" w:styleId="FooterChar">
    <w:name w:val="Footer Char"/>
    <w:basedOn w:val="DefaultParagraphFont"/>
    <w:link w:val="Footer"/>
    <w:uiPriority w:val="99"/>
    <w:rsid w:val="009A582E"/>
  </w:style>
  <w:style w:type="paragraph" w:styleId="Revision">
    <w:name w:val="Revision"/>
    <w:hidden/>
    <w:uiPriority w:val="99"/>
    <w:semiHidden/>
    <w:rsid w:val="00386A97"/>
    <w:pPr>
      <w:spacing w:after="0" w:line="240" w:lineRule="auto"/>
    </w:pPr>
  </w:style>
  <w:style w:type="paragraph" w:styleId="EndnoteText">
    <w:name w:val="endnote text"/>
    <w:basedOn w:val="Normal"/>
    <w:link w:val="EndnoteTextChar"/>
    <w:uiPriority w:val="99"/>
    <w:semiHidden/>
    <w:unhideWhenUsed/>
    <w:rsid w:val="00ED01BB"/>
    <w:rPr>
      <w:sz w:val="20"/>
      <w:szCs w:val="20"/>
    </w:rPr>
  </w:style>
  <w:style w:type="character" w:customStyle="1" w:styleId="EndnoteTextChar">
    <w:name w:val="Endnote Text Char"/>
    <w:basedOn w:val="DefaultParagraphFont"/>
    <w:link w:val="EndnoteText"/>
    <w:uiPriority w:val="99"/>
    <w:semiHidden/>
    <w:rsid w:val="00ED01BB"/>
    <w:rPr>
      <w:sz w:val="20"/>
      <w:szCs w:val="20"/>
    </w:rPr>
  </w:style>
  <w:style w:type="character" w:styleId="EndnoteReference">
    <w:name w:val="endnote reference"/>
    <w:basedOn w:val="DefaultParagraphFont"/>
    <w:uiPriority w:val="99"/>
    <w:semiHidden/>
    <w:unhideWhenUsed/>
    <w:rsid w:val="00ED01BB"/>
    <w:rPr>
      <w:vertAlign w:val="superscript"/>
    </w:rPr>
  </w:style>
  <w:style w:type="paragraph" w:customStyle="1" w:styleId="naisf">
    <w:name w:val="naisf"/>
    <w:basedOn w:val="Normal"/>
    <w:rsid w:val="00A920EF"/>
    <w:pPr>
      <w:spacing w:before="75" w:after="75"/>
      <w:ind w:firstLine="375"/>
      <w:jc w:val="both"/>
    </w:pPr>
  </w:style>
  <w:style w:type="character" w:customStyle="1" w:styleId="UnresolvedMention1">
    <w:name w:val="Unresolved Mention1"/>
    <w:basedOn w:val="DefaultParagraphFont"/>
    <w:uiPriority w:val="99"/>
    <w:semiHidden/>
    <w:unhideWhenUsed/>
    <w:rsid w:val="00E6644F"/>
    <w:rPr>
      <w:color w:val="605E5C"/>
      <w:shd w:val="clear" w:color="auto" w:fill="E1DFDD"/>
    </w:rPr>
  </w:style>
  <w:style w:type="paragraph" w:styleId="NoSpacing">
    <w:name w:val="No Spacing"/>
    <w:link w:val="NoSpacingChar"/>
    <w:uiPriority w:val="1"/>
    <w:qFormat/>
    <w:rsid w:val="000247C3"/>
    <w:pPr>
      <w:spacing w:after="0" w:line="240" w:lineRule="auto"/>
    </w:pPr>
    <w:rPr>
      <w:rFonts w:ascii="Times New Roman" w:eastAsia="Calibri" w:hAnsi="Times New Roman" w:cs="Times New Roman"/>
    </w:rPr>
  </w:style>
  <w:style w:type="character" w:customStyle="1" w:styleId="NoSpacingChar">
    <w:name w:val="No Spacing Char"/>
    <w:basedOn w:val="DefaultParagraphFont"/>
    <w:link w:val="NoSpacing"/>
    <w:uiPriority w:val="1"/>
    <w:rsid w:val="000247C3"/>
    <w:rPr>
      <w:rFonts w:ascii="Times New Roman" w:eastAsia="Calibri" w:hAnsi="Times New Roman" w:cs="Times New Roman"/>
    </w:rPr>
  </w:style>
  <w:style w:type="paragraph" w:styleId="NormalWeb">
    <w:name w:val="Normal (Web)"/>
    <w:basedOn w:val="Normal"/>
    <w:uiPriority w:val="99"/>
    <w:semiHidden/>
    <w:unhideWhenUsed/>
    <w:rsid w:val="009936EF"/>
    <w:pPr>
      <w:spacing w:before="100" w:beforeAutospacing="1" w:after="100" w:afterAutospacing="1"/>
    </w:pPr>
  </w:style>
  <w:style w:type="character" w:styleId="Emphasis">
    <w:name w:val="Emphasis"/>
    <w:basedOn w:val="DefaultParagraphFont"/>
    <w:uiPriority w:val="20"/>
    <w:qFormat/>
    <w:rsid w:val="00413F4F"/>
    <w:rPr>
      <w:i/>
      <w:iCs/>
    </w:rPr>
  </w:style>
  <w:style w:type="character" w:customStyle="1" w:styleId="UnresolvedMention2">
    <w:name w:val="Unresolved Mention2"/>
    <w:basedOn w:val="DefaultParagraphFont"/>
    <w:uiPriority w:val="99"/>
    <w:semiHidden/>
    <w:unhideWhenUsed/>
    <w:rsid w:val="00A64F76"/>
    <w:rPr>
      <w:color w:val="605E5C"/>
      <w:shd w:val="clear" w:color="auto" w:fill="E1DFDD"/>
    </w:rPr>
  </w:style>
  <w:style w:type="paragraph" w:styleId="BodyText">
    <w:name w:val="Body Text"/>
    <w:basedOn w:val="Normal"/>
    <w:link w:val="BodyTextChar"/>
    <w:uiPriority w:val="99"/>
    <w:unhideWhenUsed/>
    <w:rsid w:val="00147B52"/>
    <w:rPr>
      <w:rFonts w:eastAsia="Calibri"/>
      <w:b/>
      <w:bCs/>
    </w:rPr>
  </w:style>
  <w:style w:type="character" w:customStyle="1" w:styleId="BodyTextChar">
    <w:name w:val="Body Text Char"/>
    <w:basedOn w:val="DefaultParagraphFont"/>
    <w:link w:val="BodyText"/>
    <w:uiPriority w:val="99"/>
    <w:rsid w:val="00147B52"/>
    <w:rPr>
      <w:rFonts w:ascii="Times New Roman" w:eastAsia="Calibri" w:hAnsi="Times New Roman" w:cs="Times New Roman"/>
      <w:b/>
      <w:bCs/>
      <w:sz w:val="24"/>
      <w:szCs w:val="24"/>
      <w:lang w:eastAsia="lv-LV"/>
    </w:rPr>
  </w:style>
  <w:style w:type="character" w:styleId="UnresolvedMention">
    <w:name w:val="Unresolved Mention"/>
    <w:basedOn w:val="DefaultParagraphFont"/>
    <w:uiPriority w:val="99"/>
    <w:semiHidden/>
    <w:unhideWhenUsed/>
    <w:rsid w:val="00C560B3"/>
    <w:rPr>
      <w:color w:val="605E5C"/>
      <w:shd w:val="clear" w:color="auto" w:fill="E1DFDD"/>
    </w:rPr>
  </w:style>
  <w:style w:type="character" w:customStyle="1" w:styleId="contentpasted0">
    <w:name w:val="contentpasted0"/>
    <w:basedOn w:val="DefaultParagraphFont"/>
    <w:rsid w:val="00E3479C"/>
  </w:style>
  <w:style w:type="character" w:customStyle="1" w:styleId="ListParagraphChar">
    <w:name w:val="List Paragraph Char"/>
    <w:aliases w:val="2 Char,Strip Char,LP1. Char,Numbered Para 1 Char,Dot pt Char,No Spacing1 Char,List Paragraph Char Char Char Char,Indicator Text Char,List Paragraph1 Char,Bullet 1 Char,Bullet Points Char,MAIN CONTENT Char,IFCL - List Paragraph Char"/>
    <w:basedOn w:val="DefaultParagraphFont"/>
    <w:link w:val="ListParagraph"/>
    <w:uiPriority w:val="34"/>
    <w:locked/>
    <w:rsid w:val="00C72E39"/>
    <w:rPr>
      <w:rFonts w:ascii="Times New Roman" w:eastAsia="Times New Roman" w:hAnsi="Times New Roman" w:cs="Times New Roman"/>
      <w:sz w:val="24"/>
      <w:szCs w:val="24"/>
      <w:lang w:eastAsia="lv-LV"/>
    </w:rPr>
  </w:style>
  <w:style w:type="character" w:customStyle="1" w:styleId="markedcontent">
    <w:name w:val="markedcontent"/>
    <w:basedOn w:val="DefaultParagraphFont"/>
    <w:rsid w:val="00E33806"/>
  </w:style>
  <w:style w:type="paragraph" w:customStyle="1" w:styleId="pf0">
    <w:name w:val="pf0"/>
    <w:basedOn w:val="Normal"/>
    <w:rsid w:val="00AB23F0"/>
    <w:pPr>
      <w:spacing w:before="100" w:beforeAutospacing="1" w:after="100" w:afterAutospacing="1"/>
    </w:pPr>
  </w:style>
  <w:style w:type="character" w:customStyle="1" w:styleId="cf01">
    <w:name w:val="cf01"/>
    <w:basedOn w:val="DefaultParagraphFont"/>
    <w:rsid w:val="00AB23F0"/>
    <w:rPr>
      <w:rFonts w:ascii="Segoe UI" w:hAnsi="Segoe UI" w:cs="Segoe UI" w:hint="default"/>
      <w:sz w:val="18"/>
      <w:szCs w:val="18"/>
    </w:rPr>
  </w:style>
  <w:style w:type="character" w:customStyle="1" w:styleId="cf11">
    <w:name w:val="cf11"/>
    <w:basedOn w:val="DefaultParagraphFont"/>
    <w:rsid w:val="00AB23F0"/>
    <w:rPr>
      <w:rFonts w:ascii="Segoe UI" w:hAnsi="Segoe UI" w:cs="Segoe UI" w:hint="default"/>
      <w:i/>
      <w:iCs/>
      <w:sz w:val="18"/>
      <w:szCs w:val="18"/>
    </w:rPr>
  </w:style>
  <w:style w:type="character" w:customStyle="1" w:styleId="cf21">
    <w:name w:val="cf21"/>
    <w:basedOn w:val="DefaultParagraphFont"/>
    <w:rsid w:val="00AB23F0"/>
    <w:rPr>
      <w:rFonts w:ascii="Segoe UI" w:hAnsi="Segoe UI" w:cs="Segoe UI" w:hint="default"/>
      <w:b/>
      <w:bCs/>
      <w:sz w:val="18"/>
      <w:szCs w:val="18"/>
    </w:rPr>
  </w:style>
  <w:style w:type="character" w:customStyle="1" w:styleId="cf41">
    <w:name w:val="cf41"/>
    <w:basedOn w:val="DefaultParagraphFont"/>
    <w:rsid w:val="00AB23F0"/>
    <w:rPr>
      <w:rFonts w:ascii="Segoe UI" w:hAnsi="Segoe UI" w:cs="Segoe UI" w:hint="default"/>
      <w:b/>
      <w:bCs/>
      <w:i/>
      <w:iCs/>
      <w:sz w:val="18"/>
      <w:szCs w:val="18"/>
    </w:rPr>
  </w:style>
  <w:style w:type="character" w:customStyle="1" w:styleId="Heading1Char">
    <w:name w:val="Heading 1 Char"/>
    <w:basedOn w:val="DefaultParagraphFont"/>
    <w:link w:val="Heading1"/>
    <w:uiPriority w:val="9"/>
    <w:rsid w:val="001A2E9D"/>
    <w:rPr>
      <w:rFonts w:ascii="Times New Roman" w:eastAsia="Times New Roman" w:hAnsi="Times New Roman" w:cs="Times New Roman"/>
      <w:b/>
      <w:bCs/>
      <w:kern w:val="36"/>
      <w:sz w:val="48"/>
      <w:szCs w:val="48"/>
      <w:lang w:eastAsia="lv-LV"/>
    </w:rPr>
  </w:style>
  <w:style w:type="paragraph" w:styleId="BodyTextIndent2">
    <w:name w:val="Body Text Indent 2"/>
    <w:basedOn w:val="Normal"/>
    <w:link w:val="BodyTextIndent2Char"/>
    <w:uiPriority w:val="99"/>
    <w:semiHidden/>
    <w:unhideWhenUsed/>
    <w:rsid w:val="0061785A"/>
    <w:pPr>
      <w:spacing w:after="120" w:line="480" w:lineRule="auto"/>
      <w:ind w:left="283"/>
    </w:pPr>
  </w:style>
  <w:style w:type="character" w:customStyle="1" w:styleId="BodyTextIndent2Char">
    <w:name w:val="Body Text Indent 2 Char"/>
    <w:basedOn w:val="DefaultParagraphFont"/>
    <w:link w:val="BodyTextIndent2"/>
    <w:uiPriority w:val="99"/>
    <w:semiHidden/>
    <w:rsid w:val="0061785A"/>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4362">
      <w:bodyDiv w:val="1"/>
      <w:marLeft w:val="0"/>
      <w:marRight w:val="0"/>
      <w:marTop w:val="0"/>
      <w:marBottom w:val="0"/>
      <w:divBdr>
        <w:top w:val="none" w:sz="0" w:space="0" w:color="auto"/>
        <w:left w:val="none" w:sz="0" w:space="0" w:color="auto"/>
        <w:bottom w:val="none" w:sz="0" w:space="0" w:color="auto"/>
        <w:right w:val="none" w:sz="0" w:space="0" w:color="auto"/>
      </w:divBdr>
    </w:div>
    <w:div w:id="15012463">
      <w:bodyDiv w:val="1"/>
      <w:marLeft w:val="0"/>
      <w:marRight w:val="0"/>
      <w:marTop w:val="0"/>
      <w:marBottom w:val="0"/>
      <w:divBdr>
        <w:top w:val="none" w:sz="0" w:space="0" w:color="auto"/>
        <w:left w:val="none" w:sz="0" w:space="0" w:color="auto"/>
        <w:bottom w:val="none" w:sz="0" w:space="0" w:color="auto"/>
        <w:right w:val="none" w:sz="0" w:space="0" w:color="auto"/>
      </w:divBdr>
    </w:div>
    <w:div w:id="18552917">
      <w:bodyDiv w:val="1"/>
      <w:marLeft w:val="0"/>
      <w:marRight w:val="0"/>
      <w:marTop w:val="0"/>
      <w:marBottom w:val="0"/>
      <w:divBdr>
        <w:top w:val="none" w:sz="0" w:space="0" w:color="auto"/>
        <w:left w:val="none" w:sz="0" w:space="0" w:color="auto"/>
        <w:bottom w:val="none" w:sz="0" w:space="0" w:color="auto"/>
        <w:right w:val="none" w:sz="0" w:space="0" w:color="auto"/>
      </w:divBdr>
    </w:div>
    <w:div w:id="34015372">
      <w:bodyDiv w:val="1"/>
      <w:marLeft w:val="0"/>
      <w:marRight w:val="0"/>
      <w:marTop w:val="0"/>
      <w:marBottom w:val="0"/>
      <w:divBdr>
        <w:top w:val="none" w:sz="0" w:space="0" w:color="auto"/>
        <w:left w:val="none" w:sz="0" w:space="0" w:color="auto"/>
        <w:bottom w:val="none" w:sz="0" w:space="0" w:color="auto"/>
        <w:right w:val="none" w:sz="0" w:space="0" w:color="auto"/>
      </w:divBdr>
    </w:div>
    <w:div w:id="64648572">
      <w:bodyDiv w:val="1"/>
      <w:marLeft w:val="0"/>
      <w:marRight w:val="0"/>
      <w:marTop w:val="0"/>
      <w:marBottom w:val="0"/>
      <w:divBdr>
        <w:top w:val="none" w:sz="0" w:space="0" w:color="auto"/>
        <w:left w:val="none" w:sz="0" w:space="0" w:color="auto"/>
        <w:bottom w:val="none" w:sz="0" w:space="0" w:color="auto"/>
        <w:right w:val="none" w:sz="0" w:space="0" w:color="auto"/>
      </w:divBdr>
    </w:div>
    <w:div w:id="70081343">
      <w:bodyDiv w:val="1"/>
      <w:marLeft w:val="0"/>
      <w:marRight w:val="0"/>
      <w:marTop w:val="0"/>
      <w:marBottom w:val="0"/>
      <w:divBdr>
        <w:top w:val="none" w:sz="0" w:space="0" w:color="auto"/>
        <w:left w:val="none" w:sz="0" w:space="0" w:color="auto"/>
        <w:bottom w:val="none" w:sz="0" w:space="0" w:color="auto"/>
        <w:right w:val="none" w:sz="0" w:space="0" w:color="auto"/>
      </w:divBdr>
    </w:div>
    <w:div w:id="107244392">
      <w:bodyDiv w:val="1"/>
      <w:marLeft w:val="0"/>
      <w:marRight w:val="0"/>
      <w:marTop w:val="0"/>
      <w:marBottom w:val="0"/>
      <w:divBdr>
        <w:top w:val="none" w:sz="0" w:space="0" w:color="auto"/>
        <w:left w:val="none" w:sz="0" w:space="0" w:color="auto"/>
        <w:bottom w:val="none" w:sz="0" w:space="0" w:color="auto"/>
        <w:right w:val="none" w:sz="0" w:space="0" w:color="auto"/>
      </w:divBdr>
    </w:div>
    <w:div w:id="123353532">
      <w:bodyDiv w:val="1"/>
      <w:marLeft w:val="0"/>
      <w:marRight w:val="0"/>
      <w:marTop w:val="0"/>
      <w:marBottom w:val="0"/>
      <w:divBdr>
        <w:top w:val="none" w:sz="0" w:space="0" w:color="auto"/>
        <w:left w:val="none" w:sz="0" w:space="0" w:color="auto"/>
        <w:bottom w:val="none" w:sz="0" w:space="0" w:color="auto"/>
        <w:right w:val="none" w:sz="0" w:space="0" w:color="auto"/>
      </w:divBdr>
    </w:div>
    <w:div w:id="169489147">
      <w:bodyDiv w:val="1"/>
      <w:marLeft w:val="0"/>
      <w:marRight w:val="0"/>
      <w:marTop w:val="0"/>
      <w:marBottom w:val="0"/>
      <w:divBdr>
        <w:top w:val="none" w:sz="0" w:space="0" w:color="auto"/>
        <w:left w:val="none" w:sz="0" w:space="0" w:color="auto"/>
        <w:bottom w:val="none" w:sz="0" w:space="0" w:color="auto"/>
        <w:right w:val="none" w:sz="0" w:space="0" w:color="auto"/>
      </w:divBdr>
    </w:div>
    <w:div w:id="198246483">
      <w:bodyDiv w:val="1"/>
      <w:marLeft w:val="0"/>
      <w:marRight w:val="0"/>
      <w:marTop w:val="0"/>
      <w:marBottom w:val="0"/>
      <w:divBdr>
        <w:top w:val="none" w:sz="0" w:space="0" w:color="auto"/>
        <w:left w:val="none" w:sz="0" w:space="0" w:color="auto"/>
        <w:bottom w:val="none" w:sz="0" w:space="0" w:color="auto"/>
        <w:right w:val="none" w:sz="0" w:space="0" w:color="auto"/>
      </w:divBdr>
    </w:div>
    <w:div w:id="237446194">
      <w:bodyDiv w:val="1"/>
      <w:marLeft w:val="0"/>
      <w:marRight w:val="0"/>
      <w:marTop w:val="0"/>
      <w:marBottom w:val="0"/>
      <w:divBdr>
        <w:top w:val="none" w:sz="0" w:space="0" w:color="auto"/>
        <w:left w:val="none" w:sz="0" w:space="0" w:color="auto"/>
        <w:bottom w:val="none" w:sz="0" w:space="0" w:color="auto"/>
        <w:right w:val="none" w:sz="0" w:space="0" w:color="auto"/>
      </w:divBdr>
    </w:div>
    <w:div w:id="258222892">
      <w:bodyDiv w:val="1"/>
      <w:marLeft w:val="0"/>
      <w:marRight w:val="0"/>
      <w:marTop w:val="0"/>
      <w:marBottom w:val="0"/>
      <w:divBdr>
        <w:top w:val="none" w:sz="0" w:space="0" w:color="auto"/>
        <w:left w:val="none" w:sz="0" w:space="0" w:color="auto"/>
        <w:bottom w:val="none" w:sz="0" w:space="0" w:color="auto"/>
        <w:right w:val="none" w:sz="0" w:space="0" w:color="auto"/>
      </w:divBdr>
    </w:div>
    <w:div w:id="294066384">
      <w:bodyDiv w:val="1"/>
      <w:marLeft w:val="0"/>
      <w:marRight w:val="0"/>
      <w:marTop w:val="0"/>
      <w:marBottom w:val="0"/>
      <w:divBdr>
        <w:top w:val="none" w:sz="0" w:space="0" w:color="auto"/>
        <w:left w:val="none" w:sz="0" w:space="0" w:color="auto"/>
        <w:bottom w:val="none" w:sz="0" w:space="0" w:color="auto"/>
        <w:right w:val="none" w:sz="0" w:space="0" w:color="auto"/>
      </w:divBdr>
    </w:div>
    <w:div w:id="311131962">
      <w:bodyDiv w:val="1"/>
      <w:marLeft w:val="0"/>
      <w:marRight w:val="0"/>
      <w:marTop w:val="0"/>
      <w:marBottom w:val="0"/>
      <w:divBdr>
        <w:top w:val="none" w:sz="0" w:space="0" w:color="auto"/>
        <w:left w:val="none" w:sz="0" w:space="0" w:color="auto"/>
        <w:bottom w:val="none" w:sz="0" w:space="0" w:color="auto"/>
        <w:right w:val="none" w:sz="0" w:space="0" w:color="auto"/>
      </w:divBdr>
      <w:divsChild>
        <w:div w:id="1743943445">
          <w:marLeft w:val="547"/>
          <w:marRight w:val="0"/>
          <w:marTop w:val="96"/>
          <w:marBottom w:val="0"/>
          <w:divBdr>
            <w:top w:val="none" w:sz="0" w:space="0" w:color="auto"/>
            <w:left w:val="none" w:sz="0" w:space="0" w:color="auto"/>
            <w:bottom w:val="none" w:sz="0" w:space="0" w:color="auto"/>
            <w:right w:val="none" w:sz="0" w:space="0" w:color="auto"/>
          </w:divBdr>
        </w:div>
        <w:div w:id="1191189259">
          <w:marLeft w:val="547"/>
          <w:marRight w:val="0"/>
          <w:marTop w:val="96"/>
          <w:marBottom w:val="0"/>
          <w:divBdr>
            <w:top w:val="none" w:sz="0" w:space="0" w:color="auto"/>
            <w:left w:val="none" w:sz="0" w:space="0" w:color="auto"/>
            <w:bottom w:val="none" w:sz="0" w:space="0" w:color="auto"/>
            <w:right w:val="none" w:sz="0" w:space="0" w:color="auto"/>
          </w:divBdr>
        </w:div>
      </w:divsChild>
    </w:div>
    <w:div w:id="311519416">
      <w:bodyDiv w:val="1"/>
      <w:marLeft w:val="0"/>
      <w:marRight w:val="0"/>
      <w:marTop w:val="0"/>
      <w:marBottom w:val="0"/>
      <w:divBdr>
        <w:top w:val="none" w:sz="0" w:space="0" w:color="auto"/>
        <w:left w:val="none" w:sz="0" w:space="0" w:color="auto"/>
        <w:bottom w:val="none" w:sz="0" w:space="0" w:color="auto"/>
        <w:right w:val="none" w:sz="0" w:space="0" w:color="auto"/>
      </w:divBdr>
    </w:div>
    <w:div w:id="370541355">
      <w:bodyDiv w:val="1"/>
      <w:marLeft w:val="0"/>
      <w:marRight w:val="0"/>
      <w:marTop w:val="0"/>
      <w:marBottom w:val="0"/>
      <w:divBdr>
        <w:top w:val="none" w:sz="0" w:space="0" w:color="auto"/>
        <w:left w:val="none" w:sz="0" w:space="0" w:color="auto"/>
        <w:bottom w:val="none" w:sz="0" w:space="0" w:color="auto"/>
        <w:right w:val="none" w:sz="0" w:space="0" w:color="auto"/>
      </w:divBdr>
      <w:divsChild>
        <w:div w:id="906257726">
          <w:marLeft w:val="0"/>
          <w:marRight w:val="0"/>
          <w:marTop w:val="0"/>
          <w:marBottom w:val="0"/>
          <w:divBdr>
            <w:top w:val="none" w:sz="0" w:space="0" w:color="auto"/>
            <w:left w:val="none" w:sz="0" w:space="0" w:color="auto"/>
            <w:bottom w:val="none" w:sz="0" w:space="0" w:color="auto"/>
            <w:right w:val="none" w:sz="0" w:space="0" w:color="auto"/>
          </w:divBdr>
          <w:divsChild>
            <w:div w:id="27681270">
              <w:marLeft w:val="0"/>
              <w:marRight w:val="0"/>
              <w:marTop w:val="0"/>
              <w:marBottom w:val="0"/>
              <w:divBdr>
                <w:top w:val="none" w:sz="0" w:space="0" w:color="auto"/>
                <w:left w:val="none" w:sz="0" w:space="0" w:color="auto"/>
                <w:bottom w:val="none" w:sz="0" w:space="0" w:color="auto"/>
                <w:right w:val="none" w:sz="0" w:space="0" w:color="auto"/>
              </w:divBdr>
              <w:divsChild>
                <w:div w:id="369186855">
                  <w:marLeft w:val="0"/>
                  <w:marRight w:val="0"/>
                  <w:marTop w:val="0"/>
                  <w:marBottom w:val="0"/>
                  <w:divBdr>
                    <w:top w:val="none" w:sz="0" w:space="0" w:color="auto"/>
                    <w:left w:val="none" w:sz="0" w:space="0" w:color="auto"/>
                    <w:bottom w:val="none" w:sz="0" w:space="0" w:color="auto"/>
                    <w:right w:val="none" w:sz="0" w:space="0" w:color="auto"/>
                  </w:divBdr>
                  <w:divsChild>
                    <w:div w:id="1707218005">
                      <w:marLeft w:val="0"/>
                      <w:marRight w:val="0"/>
                      <w:marTop w:val="0"/>
                      <w:marBottom w:val="0"/>
                      <w:divBdr>
                        <w:top w:val="none" w:sz="0" w:space="0" w:color="auto"/>
                        <w:left w:val="none" w:sz="0" w:space="0" w:color="auto"/>
                        <w:bottom w:val="none" w:sz="0" w:space="0" w:color="auto"/>
                        <w:right w:val="none" w:sz="0" w:space="0" w:color="auto"/>
                      </w:divBdr>
                      <w:divsChild>
                        <w:div w:id="1567061263">
                          <w:marLeft w:val="0"/>
                          <w:marRight w:val="0"/>
                          <w:marTop w:val="0"/>
                          <w:marBottom w:val="0"/>
                          <w:divBdr>
                            <w:top w:val="none" w:sz="0" w:space="0" w:color="auto"/>
                            <w:left w:val="none" w:sz="0" w:space="0" w:color="auto"/>
                            <w:bottom w:val="none" w:sz="0" w:space="0" w:color="auto"/>
                            <w:right w:val="none" w:sz="0" w:space="0" w:color="auto"/>
                          </w:divBdr>
                          <w:divsChild>
                            <w:div w:id="137384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4154636">
      <w:bodyDiv w:val="1"/>
      <w:marLeft w:val="0"/>
      <w:marRight w:val="0"/>
      <w:marTop w:val="0"/>
      <w:marBottom w:val="0"/>
      <w:divBdr>
        <w:top w:val="none" w:sz="0" w:space="0" w:color="auto"/>
        <w:left w:val="none" w:sz="0" w:space="0" w:color="auto"/>
        <w:bottom w:val="none" w:sz="0" w:space="0" w:color="auto"/>
        <w:right w:val="none" w:sz="0" w:space="0" w:color="auto"/>
      </w:divBdr>
    </w:div>
    <w:div w:id="433093156">
      <w:bodyDiv w:val="1"/>
      <w:marLeft w:val="0"/>
      <w:marRight w:val="0"/>
      <w:marTop w:val="0"/>
      <w:marBottom w:val="0"/>
      <w:divBdr>
        <w:top w:val="none" w:sz="0" w:space="0" w:color="auto"/>
        <w:left w:val="none" w:sz="0" w:space="0" w:color="auto"/>
        <w:bottom w:val="none" w:sz="0" w:space="0" w:color="auto"/>
        <w:right w:val="none" w:sz="0" w:space="0" w:color="auto"/>
      </w:divBdr>
    </w:div>
    <w:div w:id="500196562">
      <w:bodyDiv w:val="1"/>
      <w:marLeft w:val="0"/>
      <w:marRight w:val="0"/>
      <w:marTop w:val="0"/>
      <w:marBottom w:val="0"/>
      <w:divBdr>
        <w:top w:val="none" w:sz="0" w:space="0" w:color="auto"/>
        <w:left w:val="none" w:sz="0" w:space="0" w:color="auto"/>
        <w:bottom w:val="none" w:sz="0" w:space="0" w:color="auto"/>
        <w:right w:val="none" w:sz="0" w:space="0" w:color="auto"/>
      </w:divBdr>
    </w:div>
    <w:div w:id="516040488">
      <w:bodyDiv w:val="1"/>
      <w:marLeft w:val="0"/>
      <w:marRight w:val="0"/>
      <w:marTop w:val="0"/>
      <w:marBottom w:val="0"/>
      <w:divBdr>
        <w:top w:val="none" w:sz="0" w:space="0" w:color="auto"/>
        <w:left w:val="none" w:sz="0" w:space="0" w:color="auto"/>
        <w:bottom w:val="none" w:sz="0" w:space="0" w:color="auto"/>
        <w:right w:val="none" w:sz="0" w:space="0" w:color="auto"/>
      </w:divBdr>
    </w:div>
    <w:div w:id="553930132">
      <w:bodyDiv w:val="1"/>
      <w:marLeft w:val="0"/>
      <w:marRight w:val="0"/>
      <w:marTop w:val="0"/>
      <w:marBottom w:val="0"/>
      <w:divBdr>
        <w:top w:val="none" w:sz="0" w:space="0" w:color="auto"/>
        <w:left w:val="none" w:sz="0" w:space="0" w:color="auto"/>
        <w:bottom w:val="none" w:sz="0" w:space="0" w:color="auto"/>
        <w:right w:val="none" w:sz="0" w:space="0" w:color="auto"/>
      </w:divBdr>
    </w:div>
    <w:div w:id="560797754">
      <w:bodyDiv w:val="1"/>
      <w:marLeft w:val="0"/>
      <w:marRight w:val="0"/>
      <w:marTop w:val="0"/>
      <w:marBottom w:val="0"/>
      <w:divBdr>
        <w:top w:val="none" w:sz="0" w:space="0" w:color="auto"/>
        <w:left w:val="none" w:sz="0" w:space="0" w:color="auto"/>
        <w:bottom w:val="none" w:sz="0" w:space="0" w:color="auto"/>
        <w:right w:val="none" w:sz="0" w:space="0" w:color="auto"/>
      </w:divBdr>
    </w:div>
    <w:div w:id="591596849">
      <w:bodyDiv w:val="1"/>
      <w:marLeft w:val="0"/>
      <w:marRight w:val="0"/>
      <w:marTop w:val="0"/>
      <w:marBottom w:val="0"/>
      <w:divBdr>
        <w:top w:val="none" w:sz="0" w:space="0" w:color="auto"/>
        <w:left w:val="none" w:sz="0" w:space="0" w:color="auto"/>
        <w:bottom w:val="none" w:sz="0" w:space="0" w:color="auto"/>
        <w:right w:val="none" w:sz="0" w:space="0" w:color="auto"/>
      </w:divBdr>
    </w:div>
    <w:div w:id="614602210">
      <w:bodyDiv w:val="1"/>
      <w:marLeft w:val="0"/>
      <w:marRight w:val="0"/>
      <w:marTop w:val="0"/>
      <w:marBottom w:val="0"/>
      <w:divBdr>
        <w:top w:val="none" w:sz="0" w:space="0" w:color="auto"/>
        <w:left w:val="none" w:sz="0" w:space="0" w:color="auto"/>
        <w:bottom w:val="none" w:sz="0" w:space="0" w:color="auto"/>
        <w:right w:val="none" w:sz="0" w:space="0" w:color="auto"/>
      </w:divBdr>
    </w:div>
    <w:div w:id="628317460">
      <w:bodyDiv w:val="1"/>
      <w:marLeft w:val="0"/>
      <w:marRight w:val="0"/>
      <w:marTop w:val="0"/>
      <w:marBottom w:val="0"/>
      <w:divBdr>
        <w:top w:val="none" w:sz="0" w:space="0" w:color="auto"/>
        <w:left w:val="none" w:sz="0" w:space="0" w:color="auto"/>
        <w:bottom w:val="none" w:sz="0" w:space="0" w:color="auto"/>
        <w:right w:val="none" w:sz="0" w:space="0" w:color="auto"/>
      </w:divBdr>
    </w:div>
    <w:div w:id="699014750">
      <w:bodyDiv w:val="1"/>
      <w:marLeft w:val="0"/>
      <w:marRight w:val="0"/>
      <w:marTop w:val="0"/>
      <w:marBottom w:val="0"/>
      <w:divBdr>
        <w:top w:val="none" w:sz="0" w:space="0" w:color="auto"/>
        <w:left w:val="none" w:sz="0" w:space="0" w:color="auto"/>
        <w:bottom w:val="none" w:sz="0" w:space="0" w:color="auto"/>
        <w:right w:val="none" w:sz="0" w:space="0" w:color="auto"/>
      </w:divBdr>
    </w:div>
    <w:div w:id="703100161">
      <w:bodyDiv w:val="1"/>
      <w:marLeft w:val="0"/>
      <w:marRight w:val="0"/>
      <w:marTop w:val="0"/>
      <w:marBottom w:val="0"/>
      <w:divBdr>
        <w:top w:val="none" w:sz="0" w:space="0" w:color="auto"/>
        <w:left w:val="none" w:sz="0" w:space="0" w:color="auto"/>
        <w:bottom w:val="none" w:sz="0" w:space="0" w:color="auto"/>
        <w:right w:val="none" w:sz="0" w:space="0" w:color="auto"/>
      </w:divBdr>
    </w:div>
    <w:div w:id="707022939">
      <w:bodyDiv w:val="1"/>
      <w:marLeft w:val="0"/>
      <w:marRight w:val="0"/>
      <w:marTop w:val="0"/>
      <w:marBottom w:val="0"/>
      <w:divBdr>
        <w:top w:val="none" w:sz="0" w:space="0" w:color="auto"/>
        <w:left w:val="none" w:sz="0" w:space="0" w:color="auto"/>
        <w:bottom w:val="none" w:sz="0" w:space="0" w:color="auto"/>
        <w:right w:val="none" w:sz="0" w:space="0" w:color="auto"/>
      </w:divBdr>
    </w:div>
    <w:div w:id="712731811">
      <w:bodyDiv w:val="1"/>
      <w:marLeft w:val="0"/>
      <w:marRight w:val="0"/>
      <w:marTop w:val="0"/>
      <w:marBottom w:val="0"/>
      <w:divBdr>
        <w:top w:val="none" w:sz="0" w:space="0" w:color="auto"/>
        <w:left w:val="none" w:sz="0" w:space="0" w:color="auto"/>
        <w:bottom w:val="none" w:sz="0" w:space="0" w:color="auto"/>
        <w:right w:val="none" w:sz="0" w:space="0" w:color="auto"/>
      </w:divBdr>
    </w:div>
    <w:div w:id="763308641">
      <w:bodyDiv w:val="1"/>
      <w:marLeft w:val="0"/>
      <w:marRight w:val="0"/>
      <w:marTop w:val="0"/>
      <w:marBottom w:val="0"/>
      <w:divBdr>
        <w:top w:val="none" w:sz="0" w:space="0" w:color="auto"/>
        <w:left w:val="none" w:sz="0" w:space="0" w:color="auto"/>
        <w:bottom w:val="none" w:sz="0" w:space="0" w:color="auto"/>
        <w:right w:val="none" w:sz="0" w:space="0" w:color="auto"/>
      </w:divBdr>
    </w:div>
    <w:div w:id="765006233">
      <w:bodyDiv w:val="1"/>
      <w:marLeft w:val="0"/>
      <w:marRight w:val="0"/>
      <w:marTop w:val="0"/>
      <w:marBottom w:val="0"/>
      <w:divBdr>
        <w:top w:val="none" w:sz="0" w:space="0" w:color="auto"/>
        <w:left w:val="none" w:sz="0" w:space="0" w:color="auto"/>
        <w:bottom w:val="none" w:sz="0" w:space="0" w:color="auto"/>
        <w:right w:val="none" w:sz="0" w:space="0" w:color="auto"/>
      </w:divBdr>
    </w:div>
    <w:div w:id="842205894">
      <w:bodyDiv w:val="1"/>
      <w:marLeft w:val="0"/>
      <w:marRight w:val="0"/>
      <w:marTop w:val="0"/>
      <w:marBottom w:val="0"/>
      <w:divBdr>
        <w:top w:val="none" w:sz="0" w:space="0" w:color="auto"/>
        <w:left w:val="none" w:sz="0" w:space="0" w:color="auto"/>
        <w:bottom w:val="none" w:sz="0" w:space="0" w:color="auto"/>
        <w:right w:val="none" w:sz="0" w:space="0" w:color="auto"/>
      </w:divBdr>
    </w:div>
    <w:div w:id="892929092">
      <w:bodyDiv w:val="1"/>
      <w:marLeft w:val="0"/>
      <w:marRight w:val="0"/>
      <w:marTop w:val="0"/>
      <w:marBottom w:val="0"/>
      <w:divBdr>
        <w:top w:val="none" w:sz="0" w:space="0" w:color="auto"/>
        <w:left w:val="none" w:sz="0" w:space="0" w:color="auto"/>
        <w:bottom w:val="none" w:sz="0" w:space="0" w:color="auto"/>
        <w:right w:val="none" w:sz="0" w:space="0" w:color="auto"/>
      </w:divBdr>
    </w:div>
    <w:div w:id="962224326">
      <w:bodyDiv w:val="1"/>
      <w:marLeft w:val="0"/>
      <w:marRight w:val="0"/>
      <w:marTop w:val="0"/>
      <w:marBottom w:val="0"/>
      <w:divBdr>
        <w:top w:val="none" w:sz="0" w:space="0" w:color="auto"/>
        <w:left w:val="none" w:sz="0" w:space="0" w:color="auto"/>
        <w:bottom w:val="none" w:sz="0" w:space="0" w:color="auto"/>
        <w:right w:val="none" w:sz="0" w:space="0" w:color="auto"/>
      </w:divBdr>
    </w:div>
    <w:div w:id="964191350">
      <w:bodyDiv w:val="1"/>
      <w:marLeft w:val="0"/>
      <w:marRight w:val="0"/>
      <w:marTop w:val="0"/>
      <w:marBottom w:val="0"/>
      <w:divBdr>
        <w:top w:val="none" w:sz="0" w:space="0" w:color="auto"/>
        <w:left w:val="none" w:sz="0" w:space="0" w:color="auto"/>
        <w:bottom w:val="none" w:sz="0" w:space="0" w:color="auto"/>
        <w:right w:val="none" w:sz="0" w:space="0" w:color="auto"/>
      </w:divBdr>
    </w:div>
    <w:div w:id="988826463">
      <w:bodyDiv w:val="1"/>
      <w:marLeft w:val="0"/>
      <w:marRight w:val="0"/>
      <w:marTop w:val="0"/>
      <w:marBottom w:val="0"/>
      <w:divBdr>
        <w:top w:val="none" w:sz="0" w:space="0" w:color="auto"/>
        <w:left w:val="none" w:sz="0" w:space="0" w:color="auto"/>
        <w:bottom w:val="none" w:sz="0" w:space="0" w:color="auto"/>
        <w:right w:val="none" w:sz="0" w:space="0" w:color="auto"/>
      </w:divBdr>
    </w:div>
    <w:div w:id="1030960426">
      <w:bodyDiv w:val="1"/>
      <w:marLeft w:val="0"/>
      <w:marRight w:val="0"/>
      <w:marTop w:val="0"/>
      <w:marBottom w:val="0"/>
      <w:divBdr>
        <w:top w:val="none" w:sz="0" w:space="0" w:color="auto"/>
        <w:left w:val="none" w:sz="0" w:space="0" w:color="auto"/>
        <w:bottom w:val="none" w:sz="0" w:space="0" w:color="auto"/>
        <w:right w:val="none" w:sz="0" w:space="0" w:color="auto"/>
      </w:divBdr>
    </w:div>
    <w:div w:id="1102451376">
      <w:bodyDiv w:val="1"/>
      <w:marLeft w:val="0"/>
      <w:marRight w:val="0"/>
      <w:marTop w:val="0"/>
      <w:marBottom w:val="0"/>
      <w:divBdr>
        <w:top w:val="none" w:sz="0" w:space="0" w:color="auto"/>
        <w:left w:val="none" w:sz="0" w:space="0" w:color="auto"/>
        <w:bottom w:val="none" w:sz="0" w:space="0" w:color="auto"/>
        <w:right w:val="none" w:sz="0" w:space="0" w:color="auto"/>
      </w:divBdr>
    </w:div>
    <w:div w:id="1136221724">
      <w:bodyDiv w:val="1"/>
      <w:marLeft w:val="0"/>
      <w:marRight w:val="0"/>
      <w:marTop w:val="0"/>
      <w:marBottom w:val="0"/>
      <w:divBdr>
        <w:top w:val="none" w:sz="0" w:space="0" w:color="auto"/>
        <w:left w:val="none" w:sz="0" w:space="0" w:color="auto"/>
        <w:bottom w:val="none" w:sz="0" w:space="0" w:color="auto"/>
        <w:right w:val="none" w:sz="0" w:space="0" w:color="auto"/>
      </w:divBdr>
    </w:div>
    <w:div w:id="1160921119">
      <w:bodyDiv w:val="1"/>
      <w:marLeft w:val="0"/>
      <w:marRight w:val="0"/>
      <w:marTop w:val="0"/>
      <w:marBottom w:val="0"/>
      <w:divBdr>
        <w:top w:val="none" w:sz="0" w:space="0" w:color="auto"/>
        <w:left w:val="none" w:sz="0" w:space="0" w:color="auto"/>
        <w:bottom w:val="none" w:sz="0" w:space="0" w:color="auto"/>
        <w:right w:val="none" w:sz="0" w:space="0" w:color="auto"/>
      </w:divBdr>
    </w:div>
    <w:div w:id="1193568424">
      <w:bodyDiv w:val="1"/>
      <w:marLeft w:val="0"/>
      <w:marRight w:val="0"/>
      <w:marTop w:val="0"/>
      <w:marBottom w:val="0"/>
      <w:divBdr>
        <w:top w:val="none" w:sz="0" w:space="0" w:color="auto"/>
        <w:left w:val="none" w:sz="0" w:space="0" w:color="auto"/>
        <w:bottom w:val="none" w:sz="0" w:space="0" w:color="auto"/>
        <w:right w:val="none" w:sz="0" w:space="0" w:color="auto"/>
      </w:divBdr>
    </w:div>
    <w:div w:id="1208420058">
      <w:bodyDiv w:val="1"/>
      <w:marLeft w:val="0"/>
      <w:marRight w:val="0"/>
      <w:marTop w:val="0"/>
      <w:marBottom w:val="0"/>
      <w:divBdr>
        <w:top w:val="none" w:sz="0" w:space="0" w:color="auto"/>
        <w:left w:val="none" w:sz="0" w:space="0" w:color="auto"/>
        <w:bottom w:val="none" w:sz="0" w:space="0" w:color="auto"/>
        <w:right w:val="none" w:sz="0" w:space="0" w:color="auto"/>
      </w:divBdr>
    </w:div>
    <w:div w:id="1321273209">
      <w:bodyDiv w:val="1"/>
      <w:marLeft w:val="0"/>
      <w:marRight w:val="0"/>
      <w:marTop w:val="0"/>
      <w:marBottom w:val="0"/>
      <w:divBdr>
        <w:top w:val="none" w:sz="0" w:space="0" w:color="auto"/>
        <w:left w:val="none" w:sz="0" w:space="0" w:color="auto"/>
        <w:bottom w:val="none" w:sz="0" w:space="0" w:color="auto"/>
        <w:right w:val="none" w:sz="0" w:space="0" w:color="auto"/>
      </w:divBdr>
    </w:div>
    <w:div w:id="1323045008">
      <w:bodyDiv w:val="1"/>
      <w:marLeft w:val="0"/>
      <w:marRight w:val="0"/>
      <w:marTop w:val="0"/>
      <w:marBottom w:val="0"/>
      <w:divBdr>
        <w:top w:val="none" w:sz="0" w:space="0" w:color="auto"/>
        <w:left w:val="none" w:sz="0" w:space="0" w:color="auto"/>
        <w:bottom w:val="none" w:sz="0" w:space="0" w:color="auto"/>
        <w:right w:val="none" w:sz="0" w:space="0" w:color="auto"/>
      </w:divBdr>
    </w:div>
    <w:div w:id="1331250702">
      <w:bodyDiv w:val="1"/>
      <w:marLeft w:val="0"/>
      <w:marRight w:val="0"/>
      <w:marTop w:val="0"/>
      <w:marBottom w:val="0"/>
      <w:divBdr>
        <w:top w:val="none" w:sz="0" w:space="0" w:color="auto"/>
        <w:left w:val="none" w:sz="0" w:space="0" w:color="auto"/>
        <w:bottom w:val="none" w:sz="0" w:space="0" w:color="auto"/>
        <w:right w:val="none" w:sz="0" w:space="0" w:color="auto"/>
      </w:divBdr>
    </w:div>
    <w:div w:id="1393697848">
      <w:bodyDiv w:val="1"/>
      <w:marLeft w:val="0"/>
      <w:marRight w:val="0"/>
      <w:marTop w:val="0"/>
      <w:marBottom w:val="0"/>
      <w:divBdr>
        <w:top w:val="none" w:sz="0" w:space="0" w:color="auto"/>
        <w:left w:val="none" w:sz="0" w:space="0" w:color="auto"/>
        <w:bottom w:val="none" w:sz="0" w:space="0" w:color="auto"/>
        <w:right w:val="none" w:sz="0" w:space="0" w:color="auto"/>
      </w:divBdr>
    </w:div>
    <w:div w:id="1431241328">
      <w:bodyDiv w:val="1"/>
      <w:marLeft w:val="0"/>
      <w:marRight w:val="0"/>
      <w:marTop w:val="0"/>
      <w:marBottom w:val="0"/>
      <w:divBdr>
        <w:top w:val="none" w:sz="0" w:space="0" w:color="auto"/>
        <w:left w:val="none" w:sz="0" w:space="0" w:color="auto"/>
        <w:bottom w:val="none" w:sz="0" w:space="0" w:color="auto"/>
        <w:right w:val="none" w:sz="0" w:space="0" w:color="auto"/>
      </w:divBdr>
    </w:div>
    <w:div w:id="1432773322">
      <w:bodyDiv w:val="1"/>
      <w:marLeft w:val="0"/>
      <w:marRight w:val="0"/>
      <w:marTop w:val="0"/>
      <w:marBottom w:val="0"/>
      <w:divBdr>
        <w:top w:val="none" w:sz="0" w:space="0" w:color="auto"/>
        <w:left w:val="none" w:sz="0" w:space="0" w:color="auto"/>
        <w:bottom w:val="none" w:sz="0" w:space="0" w:color="auto"/>
        <w:right w:val="none" w:sz="0" w:space="0" w:color="auto"/>
      </w:divBdr>
    </w:div>
    <w:div w:id="1490368438">
      <w:bodyDiv w:val="1"/>
      <w:marLeft w:val="0"/>
      <w:marRight w:val="0"/>
      <w:marTop w:val="0"/>
      <w:marBottom w:val="0"/>
      <w:divBdr>
        <w:top w:val="none" w:sz="0" w:space="0" w:color="auto"/>
        <w:left w:val="none" w:sz="0" w:space="0" w:color="auto"/>
        <w:bottom w:val="none" w:sz="0" w:space="0" w:color="auto"/>
        <w:right w:val="none" w:sz="0" w:space="0" w:color="auto"/>
      </w:divBdr>
    </w:div>
    <w:div w:id="1493762159">
      <w:bodyDiv w:val="1"/>
      <w:marLeft w:val="0"/>
      <w:marRight w:val="0"/>
      <w:marTop w:val="0"/>
      <w:marBottom w:val="0"/>
      <w:divBdr>
        <w:top w:val="none" w:sz="0" w:space="0" w:color="auto"/>
        <w:left w:val="none" w:sz="0" w:space="0" w:color="auto"/>
        <w:bottom w:val="none" w:sz="0" w:space="0" w:color="auto"/>
        <w:right w:val="none" w:sz="0" w:space="0" w:color="auto"/>
      </w:divBdr>
    </w:div>
    <w:div w:id="1558008846">
      <w:bodyDiv w:val="1"/>
      <w:marLeft w:val="0"/>
      <w:marRight w:val="0"/>
      <w:marTop w:val="0"/>
      <w:marBottom w:val="0"/>
      <w:divBdr>
        <w:top w:val="none" w:sz="0" w:space="0" w:color="auto"/>
        <w:left w:val="none" w:sz="0" w:space="0" w:color="auto"/>
        <w:bottom w:val="none" w:sz="0" w:space="0" w:color="auto"/>
        <w:right w:val="none" w:sz="0" w:space="0" w:color="auto"/>
      </w:divBdr>
    </w:div>
    <w:div w:id="1595162880">
      <w:bodyDiv w:val="1"/>
      <w:marLeft w:val="0"/>
      <w:marRight w:val="0"/>
      <w:marTop w:val="0"/>
      <w:marBottom w:val="0"/>
      <w:divBdr>
        <w:top w:val="none" w:sz="0" w:space="0" w:color="auto"/>
        <w:left w:val="none" w:sz="0" w:space="0" w:color="auto"/>
        <w:bottom w:val="none" w:sz="0" w:space="0" w:color="auto"/>
        <w:right w:val="none" w:sz="0" w:space="0" w:color="auto"/>
      </w:divBdr>
    </w:div>
    <w:div w:id="1613978600">
      <w:bodyDiv w:val="1"/>
      <w:marLeft w:val="0"/>
      <w:marRight w:val="0"/>
      <w:marTop w:val="0"/>
      <w:marBottom w:val="0"/>
      <w:divBdr>
        <w:top w:val="none" w:sz="0" w:space="0" w:color="auto"/>
        <w:left w:val="none" w:sz="0" w:space="0" w:color="auto"/>
        <w:bottom w:val="none" w:sz="0" w:space="0" w:color="auto"/>
        <w:right w:val="none" w:sz="0" w:space="0" w:color="auto"/>
      </w:divBdr>
    </w:div>
    <w:div w:id="1631325504">
      <w:bodyDiv w:val="1"/>
      <w:marLeft w:val="0"/>
      <w:marRight w:val="0"/>
      <w:marTop w:val="0"/>
      <w:marBottom w:val="0"/>
      <w:divBdr>
        <w:top w:val="none" w:sz="0" w:space="0" w:color="auto"/>
        <w:left w:val="none" w:sz="0" w:space="0" w:color="auto"/>
        <w:bottom w:val="none" w:sz="0" w:space="0" w:color="auto"/>
        <w:right w:val="none" w:sz="0" w:space="0" w:color="auto"/>
      </w:divBdr>
    </w:div>
    <w:div w:id="1636133460">
      <w:bodyDiv w:val="1"/>
      <w:marLeft w:val="0"/>
      <w:marRight w:val="0"/>
      <w:marTop w:val="0"/>
      <w:marBottom w:val="0"/>
      <w:divBdr>
        <w:top w:val="none" w:sz="0" w:space="0" w:color="auto"/>
        <w:left w:val="none" w:sz="0" w:space="0" w:color="auto"/>
        <w:bottom w:val="none" w:sz="0" w:space="0" w:color="auto"/>
        <w:right w:val="none" w:sz="0" w:space="0" w:color="auto"/>
      </w:divBdr>
    </w:div>
    <w:div w:id="1654216511">
      <w:bodyDiv w:val="1"/>
      <w:marLeft w:val="0"/>
      <w:marRight w:val="0"/>
      <w:marTop w:val="0"/>
      <w:marBottom w:val="0"/>
      <w:divBdr>
        <w:top w:val="none" w:sz="0" w:space="0" w:color="auto"/>
        <w:left w:val="none" w:sz="0" w:space="0" w:color="auto"/>
        <w:bottom w:val="none" w:sz="0" w:space="0" w:color="auto"/>
        <w:right w:val="none" w:sz="0" w:space="0" w:color="auto"/>
      </w:divBdr>
    </w:div>
    <w:div w:id="1657149712">
      <w:bodyDiv w:val="1"/>
      <w:marLeft w:val="0"/>
      <w:marRight w:val="0"/>
      <w:marTop w:val="0"/>
      <w:marBottom w:val="0"/>
      <w:divBdr>
        <w:top w:val="none" w:sz="0" w:space="0" w:color="auto"/>
        <w:left w:val="none" w:sz="0" w:space="0" w:color="auto"/>
        <w:bottom w:val="none" w:sz="0" w:space="0" w:color="auto"/>
        <w:right w:val="none" w:sz="0" w:space="0" w:color="auto"/>
      </w:divBdr>
    </w:div>
    <w:div w:id="1660577924">
      <w:bodyDiv w:val="1"/>
      <w:marLeft w:val="0"/>
      <w:marRight w:val="0"/>
      <w:marTop w:val="0"/>
      <w:marBottom w:val="0"/>
      <w:divBdr>
        <w:top w:val="none" w:sz="0" w:space="0" w:color="auto"/>
        <w:left w:val="none" w:sz="0" w:space="0" w:color="auto"/>
        <w:bottom w:val="none" w:sz="0" w:space="0" w:color="auto"/>
        <w:right w:val="none" w:sz="0" w:space="0" w:color="auto"/>
      </w:divBdr>
    </w:div>
    <w:div w:id="1712264439">
      <w:bodyDiv w:val="1"/>
      <w:marLeft w:val="0"/>
      <w:marRight w:val="0"/>
      <w:marTop w:val="0"/>
      <w:marBottom w:val="0"/>
      <w:divBdr>
        <w:top w:val="none" w:sz="0" w:space="0" w:color="auto"/>
        <w:left w:val="none" w:sz="0" w:space="0" w:color="auto"/>
        <w:bottom w:val="none" w:sz="0" w:space="0" w:color="auto"/>
        <w:right w:val="none" w:sz="0" w:space="0" w:color="auto"/>
      </w:divBdr>
    </w:div>
    <w:div w:id="1719166352">
      <w:bodyDiv w:val="1"/>
      <w:marLeft w:val="0"/>
      <w:marRight w:val="0"/>
      <w:marTop w:val="0"/>
      <w:marBottom w:val="0"/>
      <w:divBdr>
        <w:top w:val="none" w:sz="0" w:space="0" w:color="auto"/>
        <w:left w:val="none" w:sz="0" w:space="0" w:color="auto"/>
        <w:bottom w:val="none" w:sz="0" w:space="0" w:color="auto"/>
        <w:right w:val="none" w:sz="0" w:space="0" w:color="auto"/>
      </w:divBdr>
    </w:div>
    <w:div w:id="1801798758">
      <w:bodyDiv w:val="1"/>
      <w:marLeft w:val="0"/>
      <w:marRight w:val="0"/>
      <w:marTop w:val="0"/>
      <w:marBottom w:val="0"/>
      <w:divBdr>
        <w:top w:val="none" w:sz="0" w:space="0" w:color="auto"/>
        <w:left w:val="none" w:sz="0" w:space="0" w:color="auto"/>
        <w:bottom w:val="none" w:sz="0" w:space="0" w:color="auto"/>
        <w:right w:val="none" w:sz="0" w:space="0" w:color="auto"/>
      </w:divBdr>
    </w:div>
    <w:div w:id="1803495515">
      <w:bodyDiv w:val="1"/>
      <w:marLeft w:val="0"/>
      <w:marRight w:val="0"/>
      <w:marTop w:val="0"/>
      <w:marBottom w:val="0"/>
      <w:divBdr>
        <w:top w:val="none" w:sz="0" w:space="0" w:color="auto"/>
        <w:left w:val="none" w:sz="0" w:space="0" w:color="auto"/>
        <w:bottom w:val="none" w:sz="0" w:space="0" w:color="auto"/>
        <w:right w:val="none" w:sz="0" w:space="0" w:color="auto"/>
      </w:divBdr>
    </w:div>
    <w:div w:id="1828323351">
      <w:bodyDiv w:val="1"/>
      <w:marLeft w:val="0"/>
      <w:marRight w:val="0"/>
      <w:marTop w:val="0"/>
      <w:marBottom w:val="0"/>
      <w:divBdr>
        <w:top w:val="none" w:sz="0" w:space="0" w:color="auto"/>
        <w:left w:val="none" w:sz="0" w:space="0" w:color="auto"/>
        <w:bottom w:val="none" w:sz="0" w:space="0" w:color="auto"/>
        <w:right w:val="none" w:sz="0" w:space="0" w:color="auto"/>
      </w:divBdr>
    </w:div>
    <w:div w:id="1858998629">
      <w:bodyDiv w:val="1"/>
      <w:marLeft w:val="0"/>
      <w:marRight w:val="0"/>
      <w:marTop w:val="0"/>
      <w:marBottom w:val="0"/>
      <w:divBdr>
        <w:top w:val="none" w:sz="0" w:space="0" w:color="auto"/>
        <w:left w:val="none" w:sz="0" w:space="0" w:color="auto"/>
        <w:bottom w:val="none" w:sz="0" w:space="0" w:color="auto"/>
        <w:right w:val="none" w:sz="0" w:space="0" w:color="auto"/>
      </w:divBdr>
    </w:div>
    <w:div w:id="1862665127">
      <w:bodyDiv w:val="1"/>
      <w:marLeft w:val="0"/>
      <w:marRight w:val="0"/>
      <w:marTop w:val="0"/>
      <w:marBottom w:val="0"/>
      <w:divBdr>
        <w:top w:val="none" w:sz="0" w:space="0" w:color="auto"/>
        <w:left w:val="none" w:sz="0" w:space="0" w:color="auto"/>
        <w:bottom w:val="none" w:sz="0" w:space="0" w:color="auto"/>
        <w:right w:val="none" w:sz="0" w:space="0" w:color="auto"/>
      </w:divBdr>
    </w:div>
    <w:div w:id="1881475228">
      <w:bodyDiv w:val="1"/>
      <w:marLeft w:val="0"/>
      <w:marRight w:val="0"/>
      <w:marTop w:val="0"/>
      <w:marBottom w:val="0"/>
      <w:divBdr>
        <w:top w:val="none" w:sz="0" w:space="0" w:color="auto"/>
        <w:left w:val="none" w:sz="0" w:space="0" w:color="auto"/>
        <w:bottom w:val="none" w:sz="0" w:space="0" w:color="auto"/>
        <w:right w:val="none" w:sz="0" w:space="0" w:color="auto"/>
      </w:divBdr>
    </w:div>
    <w:div w:id="1883321176">
      <w:bodyDiv w:val="1"/>
      <w:marLeft w:val="0"/>
      <w:marRight w:val="0"/>
      <w:marTop w:val="0"/>
      <w:marBottom w:val="0"/>
      <w:divBdr>
        <w:top w:val="none" w:sz="0" w:space="0" w:color="auto"/>
        <w:left w:val="none" w:sz="0" w:space="0" w:color="auto"/>
        <w:bottom w:val="none" w:sz="0" w:space="0" w:color="auto"/>
        <w:right w:val="none" w:sz="0" w:space="0" w:color="auto"/>
      </w:divBdr>
    </w:div>
    <w:div w:id="1916472339">
      <w:bodyDiv w:val="1"/>
      <w:marLeft w:val="0"/>
      <w:marRight w:val="0"/>
      <w:marTop w:val="0"/>
      <w:marBottom w:val="0"/>
      <w:divBdr>
        <w:top w:val="none" w:sz="0" w:space="0" w:color="auto"/>
        <w:left w:val="none" w:sz="0" w:space="0" w:color="auto"/>
        <w:bottom w:val="none" w:sz="0" w:space="0" w:color="auto"/>
        <w:right w:val="none" w:sz="0" w:space="0" w:color="auto"/>
      </w:divBdr>
    </w:div>
    <w:div w:id="1960911736">
      <w:bodyDiv w:val="1"/>
      <w:marLeft w:val="0"/>
      <w:marRight w:val="0"/>
      <w:marTop w:val="0"/>
      <w:marBottom w:val="0"/>
      <w:divBdr>
        <w:top w:val="none" w:sz="0" w:space="0" w:color="auto"/>
        <w:left w:val="none" w:sz="0" w:space="0" w:color="auto"/>
        <w:bottom w:val="none" w:sz="0" w:space="0" w:color="auto"/>
        <w:right w:val="none" w:sz="0" w:space="0" w:color="auto"/>
      </w:divBdr>
    </w:div>
    <w:div w:id="1990596187">
      <w:bodyDiv w:val="1"/>
      <w:marLeft w:val="0"/>
      <w:marRight w:val="0"/>
      <w:marTop w:val="0"/>
      <w:marBottom w:val="0"/>
      <w:divBdr>
        <w:top w:val="none" w:sz="0" w:space="0" w:color="auto"/>
        <w:left w:val="none" w:sz="0" w:space="0" w:color="auto"/>
        <w:bottom w:val="none" w:sz="0" w:space="0" w:color="auto"/>
        <w:right w:val="none" w:sz="0" w:space="0" w:color="auto"/>
      </w:divBdr>
    </w:div>
    <w:div w:id="1997144405">
      <w:bodyDiv w:val="1"/>
      <w:marLeft w:val="0"/>
      <w:marRight w:val="0"/>
      <w:marTop w:val="0"/>
      <w:marBottom w:val="0"/>
      <w:divBdr>
        <w:top w:val="none" w:sz="0" w:space="0" w:color="auto"/>
        <w:left w:val="none" w:sz="0" w:space="0" w:color="auto"/>
        <w:bottom w:val="none" w:sz="0" w:space="0" w:color="auto"/>
        <w:right w:val="none" w:sz="0" w:space="0" w:color="auto"/>
      </w:divBdr>
    </w:div>
    <w:div w:id="2002276367">
      <w:bodyDiv w:val="1"/>
      <w:marLeft w:val="0"/>
      <w:marRight w:val="0"/>
      <w:marTop w:val="0"/>
      <w:marBottom w:val="0"/>
      <w:divBdr>
        <w:top w:val="none" w:sz="0" w:space="0" w:color="auto"/>
        <w:left w:val="none" w:sz="0" w:space="0" w:color="auto"/>
        <w:bottom w:val="none" w:sz="0" w:space="0" w:color="auto"/>
        <w:right w:val="none" w:sz="0" w:space="0" w:color="auto"/>
      </w:divBdr>
    </w:div>
    <w:div w:id="2007900439">
      <w:bodyDiv w:val="1"/>
      <w:marLeft w:val="0"/>
      <w:marRight w:val="0"/>
      <w:marTop w:val="0"/>
      <w:marBottom w:val="0"/>
      <w:divBdr>
        <w:top w:val="none" w:sz="0" w:space="0" w:color="auto"/>
        <w:left w:val="none" w:sz="0" w:space="0" w:color="auto"/>
        <w:bottom w:val="none" w:sz="0" w:space="0" w:color="auto"/>
        <w:right w:val="none" w:sz="0" w:space="0" w:color="auto"/>
      </w:divBdr>
    </w:div>
    <w:div w:id="2038507683">
      <w:bodyDiv w:val="1"/>
      <w:marLeft w:val="0"/>
      <w:marRight w:val="0"/>
      <w:marTop w:val="0"/>
      <w:marBottom w:val="0"/>
      <w:divBdr>
        <w:top w:val="none" w:sz="0" w:space="0" w:color="auto"/>
        <w:left w:val="none" w:sz="0" w:space="0" w:color="auto"/>
        <w:bottom w:val="none" w:sz="0" w:space="0" w:color="auto"/>
        <w:right w:val="none" w:sz="0" w:space="0" w:color="auto"/>
      </w:divBdr>
    </w:div>
    <w:div w:id="2056352352">
      <w:bodyDiv w:val="1"/>
      <w:marLeft w:val="0"/>
      <w:marRight w:val="0"/>
      <w:marTop w:val="0"/>
      <w:marBottom w:val="0"/>
      <w:divBdr>
        <w:top w:val="none" w:sz="0" w:space="0" w:color="auto"/>
        <w:left w:val="none" w:sz="0" w:space="0" w:color="auto"/>
        <w:bottom w:val="none" w:sz="0" w:space="0" w:color="auto"/>
        <w:right w:val="none" w:sz="0" w:space="0" w:color="auto"/>
      </w:divBdr>
    </w:div>
    <w:div w:id="2091342007">
      <w:bodyDiv w:val="1"/>
      <w:marLeft w:val="0"/>
      <w:marRight w:val="0"/>
      <w:marTop w:val="0"/>
      <w:marBottom w:val="0"/>
      <w:divBdr>
        <w:top w:val="none" w:sz="0" w:space="0" w:color="auto"/>
        <w:left w:val="none" w:sz="0" w:space="0" w:color="auto"/>
        <w:bottom w:val="none" w:sz="0" w:space="0" w:color="auto"/>
        <w:right w:val="none" w:sz="0" w:space="0" w:color="auto"/>
      </w:divBdr>
    </w:div>
    <w:div w:id="2130514266">
      <w:bodyDiv w:val="1"/>
      <w:marLeft w:val="0"/>
      <w:marRight w:val="0"/>
      <w:marTop w:val="0"/>
      <w:marBottom w:val="0"/>
      <w:divBdr>
        <w:top w:val="none" w:sz="0" w:space="0" w:color="auto"/>
        <w:left w:val="none" w:sz="0" w:space="0" w:color="auto"/>
        <w:bottom w:val="none" w:sz="0" w:space="0" w:color="auto"/>
        <w:right w:val="none" w:sz="0" w:space="0" w:color="auto"/>
      </w:divBdr>
    </w:div>
    <w:div w:id="2135782329">
      <w:bodyDiv w:val="1"/>
      <w:marLeft w:val="0"/>
      <w:marRight w:val="0"/>
      <w:marTop w:val="0"/>
      <w:marBottom w:val="0"/>
      <w:divBdr>
        <w:top w:val="none" w:sz="0" w:space="0" w:color="auto"/>
        <w:left w:val="none" w:sz="0" w:space="0" w:color="auto"/>
        <w:bottom w:val="none" w:sz="0" w:space="0" w:color="auto"/>
        <w:right w:val="none" w:sz="0" w:space="0" w:color="auto"/>
      </w:divBdr>
    </w:div>
    <w:div w:id="2142720546">
      <w:bodyDiv w:val="1"/>
      <w:marLeft w:val="0"/>
      <w:marRight w:val="0"/>
      <w:marTop w:val="0"/>
      <w:marBottom w:val="0"/>
      <w:divBdr>
        <w:top w:val="none" w:sz="0" w:space="0" w:color="auto"/>
        <w:left w:val="none" w:sz="0" w:space="0" w:color="auto"/>
        <w:bottom w:val="none" w:sz="0" w:space="0" w:color="auto"/>
        <w:right w:val="none" w:sz="0" w:space="0" w:color="auto"/>
      </w:divBdr>
    </w:div>
    <w:div w:id="2143114493">
      <w:bodyDiv w:val="1"/>
      <w:marLeft w:val="0"/>
      <w:marRight w:val="0"/>
      <w:marTop w:val="0"/>
      <w:marBottom w:val="0"/>
      <w:divBdr>
        <w:top w:val="none" w:sz="0" w:space="0" w:color="auto"/>
        <w:left w:val="none" w:sz="0" w:space="0" w:color="auto"/>
        <w:bottom w:val="none" w:sz="0" w:space="0" w:color="auto"/>
        <w:right w:val="none" w:sz="0" w:space="0" w:color="auto"/>
      </w:divBdr>
    </w:div>
    <w:div w:id="2143307184">
      <w:bodyDiv w:val="1"/>
      <w:marLeft w:val="0"/>
      <w:marRight w:val="0"/>
      <w:marTop w:val="0"/>
      <w:marBottom w:val="0"/>
      <w:divBdr>
        <w:top w:val="none" w:sz="0" w:space="0" w:color="auto"/>
        <w:left w:val="none" w:sz="0" w:space="0" w:color="auto"/>
        <w:bottom w:val="none" w:sz="0" w:space="0" w:color="auto"/>
        <w:right w:val="none" w:sz="0" w:space="0" w:color="auto"/>
      </w:divBdr>
      <w:divsChild>
        <w:div w:id="616177468">
          <w:marLeft w:val="0"/>
          <w:marRight w:val="0"/>
          <w:marTop w:val="0"/>
          <w:marBottom w:val="0"/>
          <w:divBdr>
            <w:top w:val="none" w:sz="0" w:space="0" w:color="auto"/>
            <w:left w:val="none" w:sz="0" w:space="0" w:color="auto"/>
            <w:bottom w:val="none" w:sz="0" w:space="0" w:color="auto"/>
            <w:right w:val="none" w:sz="0" w:space="0" w:color="auto"/>
          </w:divBdr>
        </w:div>
        <w:div w:id="11590821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4.xm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8.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chart" Target="charts/chart6.xml"/><Relationship Id="rId10" Type="http://schemas.openxmlformats.org/officeDocument/2006/relationships/image" Target="media/image2.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chart" Target="charts/chart5.xml"/></Relationships>
</file>

<file path=word/_rels/footnotes.xml.rels><?xml version="1.0" encoding="UTF-8" standalone="yes"?>
<Relationships xmlns="http://schemas.openxmlformats.org/package/2006/relationships"><Relationship Id="rId1" Type="http://schemas.openxmlformats.org/officeDocument/2006/relationships/hyperlink" Target="https://data.stat.gov.lv/pxweb/lv/OSP_PUB/START__VEK__PC__PCC/PCC010m"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ATDfile.atd.lv\Dotacijas\SM%20dokumenti\ATD%20vadibas%20zinojumi\ATD%20vad&#299;bas%20zinojumi\2022\Vad_zin_dotacijas_2022.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ATDfile.atd.lv\Dotacijas\2023_gads_zaud.komp\PROGNOZES_2023\Tarifi\Statistika_2022_12_men_pr_01022023.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4.xml"/><Relationship Id="rId1" Type="http://schemas.microsoft.com/office/2011/relationships/chartStyle" Target="style4.xml"/><Relationship Id="rId5" Type="http://schemas.openxmlformats.org/officeDocument/2006/relationships/chartUserShapes" Target="../drawings/drawing1.xml"/><Relationship Id="rId4" Type="http://schemas.openxmlformats.org/officeDocument/2006/relationships/package" Target="../embeddings/Microsoft_Excel_Worksheet1.xlsx"/></Relationships>
</file>

<file path=word/charts/_rels/chart5.xml.rels><?xml version="1.0" encoding="UTF-8" standalone="yes"?>
<Relationships xmlns="http://schemas.openxmlformats.org/package/2006/relationships"><Relationship Id="rId3" Type="http://schemas.openxmlformats.org/officeDocument/2006/relationships/oleObject" Target="file:///\\ATDfile.atd.lv\Dotacijas\2023_gads_zaud.komp\PROGNOZES_2023\Zaudejumu_mazinasanas_plans\zaudejumi_2023_.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ATDfile.atd.lv\Dotacijas\2023_gads_zaud.komp\PROGNOZES_2023\Zaudejumu_mazinasanas_plans\zaudejumi_2023_.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ATDfile.atd.lv\Dotacijas\2023_gads_zaud.komp\PROGNOZES_2023\Zaudejumu_mazinasanas_plans\zaudejumi_2023_.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ATDfile.atd.lv\Dotacijas\2023_gads_zaud.komp\PROGNOZES_2023\Zaudejumu_mazinasanas_plans\BMA_kompensac_samazin.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453371569294579"/>
          <c:y val="2.8375362231300612E-2"/>
          <c:w val="0.77982145750299736"/>
          <c:h val="0.60452124671660779"/>
        </c:manualLayout>
      </c:layout>
      <c:areaChart>
        <c:grouping val="standard"/>
        <c:varyColors val="0"/>
        <c:ser>
          <c:idx val="2"/>
          <c:order val="2"/>
          <c:tx>
            <c:strRef>
              <c:f>Nobraukums!$C$59</c:f>
              <c:strCache>
                <c:ptCount val="1"/>
                <c:pt idx="0">
                  <c:v>Vilcienu pārvadājumu īpatsvars reģionālā maršrutu tīklā, %-tos</c:v>
                </c:pt>
              </c:strCache>
            </c:strRef>
          </c:tx>
          <c:spPr>
            <a:solidFill>
              <a:schemeClr val="accent1">
                <a:lumMod val="20000"/>
                <a:lumOff val="80000"/>
              </a:schemeClr>
            </a:solidFill>
            <a:ln>
              <a:solidFill>
                <a:schemeClr val="accent1">
                  <a:lumMod val="20000"/>
                  <a:lumOff val="80000"/>
                </a:schemeClr>
              </a:solidFill>
            </a:ln>
            <a:effectLst/>
          </c:spPr>
          <c:dLbls>
            <c:dLbl>
              <c:idx val="0"/>
              <c:layout>
                <c:manualLayout>
                  <c:x val="-3.3333333333333381E-2"/>
                  <c:y val="-6.94444444444444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1C9-4861-B853-436F4CEBB25D}"/>
                </c:ext>
              </c:extLst>
            </c:dLbl>
            <c:dLbl>
              <c:idx val="1"/>
              <c:layout>
                <c:manualLayout>
                  <c:x val="-3.6111111111111108E-2"/>
                  <c:y val="-0.1249999999999999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1C9-4861-B853-436F4CEBB25D}"/>
                </c:ext>
              </c:extLst>
            </c:dLbl>
            <c:dLbl>
              <c:idx val="2"/>
              <c:layout>
                <c:manualLayout>
                  <c:x val="-1.6666666666666666E-2"/>
                  <c:y val="-0.1388888888888889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1C9-4861-B853-436F4CEBB25D}"/>
                </c:ext>
              </c:extLst>
            </c:dLbl>
            <c:dLbl>
              <c:idx val="3"/>
              <c:layout>
                <c:manualLayout>
                  <c:x val="-3.0452674897119343E-2"/>
                  <c:y val="-0.1939166431557619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1C9-4861-B853-436F4CEBB25D}"/>
                </c:ext>
              </c:extLst>
            </c:dLbl>
            <c:spPr>
              <a:solidFill>
                <a:schemeClr val="lt1"/>
              </a:solidFill>
              <a:ln w="12700" cap="flat" cmpd="sng" algn="ctr">
                <a:solidFill>
                  <a:schemeClr val="accent4"/>
                </a:solidFill>
                <a:prstDash val="solid"/>
                <a:miter lim="800000"/>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Nobraukums!$G$56:$J$56</c:f>
              <c:strCache>
                <c:ptCount val="4"/>
                <c:pt idx="0">
                  <c:v>2019</c:v>
                </c:pt>
                <c:pt idx="1">
                  <c:v>2020</c:v>
                </c:pt>
                <c:pt idx="2">
                  <c:v>2021</c:v>
                </c:pt>
                <c:pt idx="3">
                  <c:v>2022</c:v>
                </c:pt>
              </c:strCache>
            </c:strRef>
          </c:cat>
          <c:val>
            <c:numRef>
              <c:f>Nobraukums!$G$59:$J$59</c:f>
              <c:numCache>
                <c:formatCode>0.0%</c:formatCode>
                <c:ptCount val="4"/>
                <c:pt idx="0">
                  <c:v>0.24830412901411586</c:v>
                </c:pt>
                <c:pt idx="1">
                  <c:v>0.26124322814556739</c:v>
                </c:pt>
                <c:pt idx="2">
                  <c:v>0.27135879360377391</c:v>
                </c:pt>
                <c:pt idx="3">
                  <c:v>0.28258656521980341</c:v>
                </c:pt>
              </c:numCache>
            </c:numRef>
          </c:val>
          <c:extLst>
            <c:ext xmlns:c16="http://schemas.microsoft.com/office/drawing/2014/chart" uri="{C3380CC4-5D6E-409C-BE32-E72D297353CC}">
              <c16:uniqueId val="{00000004-A1C9-4861-B853-436F4CEBB25D}"/>
            </c:ext>
          </c:extLst>
        </c:ser>
        <c:dLbls>
          <c:showLegendKey val="0"/>
          <c:showVal val="0"/>
          <c:showCatName val="0"/>
          <c:showSerName val="0"/>
          <c:showPercent val="0"/>
          <c:showBubbleSize val="0"/>
        </c:dLbls>
        <c:axId val="1884839471"/>
        <c:axId val="1884837807"/>
      </c:areaChart>
      <c:barChart>
        <c:barDir val="col"/>
        <c:grouping val="stacked"/>
        <c:varyColors val="0"/>
        <c:ser>
          <c:idx val="0"/>
          <c:order val="0"/>
          <c:tx>
            <c:strRef>
              <c:f>Nobraukums!$C$57</c:f>
              <c:strCache>
                <c:ptCount val="1"/>
                <c:pt idx="0">
                  <c:v>Reģionālās nozīmes pārvadājumi ar autobusiem, milj. km </c:v>
                </c:pt>
              </c:strCache>
            </c:strRef>
          </c:tx>
          <c:spPr>
            <a:solidFill>
              <a:schemeClr val="tx2">
                <a:lumMod val="40000"/>
                <a:lumOff val="60000"/>
              </a:schemeClr>
            </a:solidFill>
            <a:ln>
              <a:solidFill>
                <a:schemeClr val="tx2">
                  <a:lumMod val="40000"/>
                  <a:lumOff val="60000"/>
                </a:schemeClr>
              </a:solidFill>
            </a:ln>
            <a:effectLst/>
          </c:spPr>
          <c:invertIfNegative val="0"/>
          <c:dPt>
            <c:idx val="0"/>
            <c:invertIfNegative val="0"/>
            <c:bubble3D val="0"/>
            <c:spPr>
              <a:solidFill>
                <a:schemeClr val="tx2">
                  <a:lumMod val="40000"/>
                  <a:lumOff val="60000"/>
                </a:schemeClr>
              </a:solidFill>
              <a:ln>
                <a:solidFill>
                  <a:schemeClr val="tx2">
                    <a:lumMod val="40000"/>
                    <a:lumOff val="60000"/>
                  </a:schemeClr>
                </a:solidFill>
              </a:ln>
              <a:effectLst/>
            </c:spPr>
            <c:extLst>
              <c:ext xmlns:c16="http://schemas.microsoft.com/office/drawing/2014/chart" uri="{C3380CC4-5D6E-409C-BE32-E72D297353CC}">
                <c16:uniqueId val="{00000006-A1C9-4861-B853-436F4CEBB25D}"/>
              </c:ext>
            </c:extLst>
          </c:dPt>
          <c:dPt>
            <c:idx val="1"/>
            <c:invertIfNegative val="0"/>
            <c:bubble3D val="0"/>
            <c:spPr>
              <a:solidFill>
                <a:schemeClr val="tx2">
                  <a:lumMod val="40000"/>
                  <a:lumOff val="60000"/>
                </a:schemeClr>
              </a:solidFill>
              <a:ln>
                <a:solidFill>
                  <a:schemeClr val="tx2">
                    <a:lumMod val="40000"/>
                    <a:lumOff val="60000"/>
                  </a:schemeClr>
                </a:solidFill>
              </a:ln>
              <a:effectLst/>
            </c:spPr>
            <c:extLst>
              <c:ext xmlns:c16="http://schemas.microsoft.com/office/drawing/2014/chart" uri="{C3380CC4-5D6E-409C-BE32-E72D297353CC}">
                <c16:uniqueId val="{00000008-A1C9-4861-B853-436F4CEBB25D}"/>
              </c:ext>
            </c:extLst>
          </c:dPt>
          <c:dPt>
            <c:idx val="2"/>
            <c:invertIfNegative val="0"/>
            <c:bubble3D val="0"/>
            <c:spPr>
              <a:solidFill>
                <a:schemeClr val="tx2">
                  <a:lumMod val="40000"/>
                  <a:lumOff val="60000"/>
                </a:schemeClr>
              </a:solidFill>
              <a:ln>
                <a:solidFill>
                  <a:schemeClr val="tx2">
                    <a:lumMod val="40000"/>
                    <a:lumOff val="60000"/>
                  </a:schemeClr>
                </a:solidFill>
              </a:ln>
              <a:effectLst/>
            </c:spPr>
            <c:extLst>
              <c:ext xmlns:c16="http://schemas.microsoft.com/office/drawing/2014/chart" uri="{C3380CC4-5D6E-409C-BE32-E72D297353CC}">
                <c16:uniqueId val="{0000000A-A1C9-4861-B853-436F4CEBB25D}"/>
              </c:ext>
            </c:extLst>
          </c:dPt>
          <c:dPt>
            <c:idx val="3"/>
            <c:invertIfNegative val="0"/>
            <c:bubble3D val="0"/>
            <c:spPr>
              <a:solidFill>
                <a:schemeClr val="tx2">
                  <a:lumMod val="40000"/>
                  <a:lumOff val="60000"/>
                </a:schemeClr>
              </a:solidFill>
              <a:ln>
                <a:solidFill>
                  <a:schemeClr val="tx2">
                    <a:lumMod val="40000"/>
                    <a:lumOff val="60000"/>
                  </a:schemeClr>
                </a:solidFill>
              </a:ln>
              <a:effectLst/>
            </c:spPr>
            <c:extLst>
              <c:ext xmlns:c16="http://schemas.microsoft.com/office/drawing/2014/chart" uri="{C3380CC4-5D6E-409C-BE32-E72D297353CC}">
                <c16:uniqueId val="{0000000C-A1C9-4861-B853-436F4CEBB25D}"/>
              </c:ext>
            </c:extLst>
          </c:dPt>
          <c:dLbls>
            <c:numFmt formatCode="#,##0.00" sourceLinked="0"/>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Nobraukums!$G$56:$J$56</c:f>
              <c:strCache>
                <c:ptCount val="4"/>
                <c:pt idx="0">
                  <c:v>2019</c:v>
                </c:pt>
                <c:pt idx="1">
                  <c:v>2020</c:v>
                </c:pt>
                <c:pt idx="2">
                  <c:v>2021</c:v>
                </c:pt>
                <c:pt idx="3">
                  <c:v>2022</c:v>
                </c:pt>
              </c:strCache>
            </c:strRef>
          </c:cat>
          <c:val>
            <c:numRef>
              <c:f>Nobraukums!$G$57:$J$57</c:f>
              <c:numCache>
                <c:formatCode>General</c:formatCode>
                <c:ptCount val="4"/>
                <c:pt idx="0">
                  <c:v>78221110.069999993</c:v>
                </c:pt>
                <c:pt idx="1">
                  <c:v>73925773.080000103</c:v>
                </c:pt>
                <c:pt idx="2">
                  <c:v>72801673.640000001</c:v>
                </c:pt>
                <c:pt idx="3" formatCode="#,##0">
                  <c:v>70307229</c:v>
                </c:pt>
              </c:numCache>
            </c:numRef>
          </c:val>
          <c:extLst>
            <c:ext xmlns:c16="http://schemas.microsoft.com/office/drawing/2014/chart" uri="{C3380CC4-5D6E-409C-BE32-E72D297353CC}">
              <c16:uniqueId val="{0000000D-A1C9-4861-B853-436F4CEBB25D}"/>
            </c:ext>
          </c:extLst>
        </c:ser>
        <c:ser>
          <c:idx val="1"/>
          <c:order val="1"/>
          <c:tx>
            <c:strRef>
              <c:f>Nobraukums!$C$58</c:f>
              <c:strCache>
                <c:ptCount val="1"/>
                <c:pt idx="0">
                  <c:v>Reģionālās nozīmes pārvadājumi ar vilcieniem, milj. vagonkm </c:v>
                </c:pt>
              </c:strCache>
            </c:strRef>
          </c:tx>
          <c:spPr>
            <a:solidFill>
              <a:schemeClr val="accent2"/>
            </a:solidFill>
            <a:ln>
              <a:solidFill>
                <a:srgbClr val="FF6600"/>
              </a:solidFill>
            </a:ln>
            <a:effectLst/>
          </c:spPr>
          <c:invertIfNegative val="0"/>
          <c:dLbls>
            <c:numFmt formatCode="#,##0.00" sourceLinked="0"/>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Nobraukums!$G$56:$J$56</c:f>
              <c:strCache>
                <c:ptCount val="4"/>
                <c:pt idx="0">
                  <c:v>2019</c:v>
                </c:pt>
                <c:pt idx="1">
                  <c:v>2020</c:v>
                </c:pt>
                <c:pt idx="2">
                  <c:v>2021</c:v>
                </c:pt>
                <c:pt idx="3">
                  <c:v>2022</c:v>
                </c:pt>
              </c:strCache>
            </c:strRef>
          </c:cat>
          <c:val>
            <c:numRef>
              <c:f>Nobraukums!$G$58:$J$58</c:f>
              <c:numCache>
                <c:formatCode>General</c:formatCode>
                <c:ptCount val="4"/>
                <c:pt idx="0">
                  <c:v>25838408</c:v>
                </c:pt>
                <c:pt idx="1">
                  <c:v>26142038</c:v>
                </c:pt>
                <c:pt idx="2">
                  <c:v>27112623</c:v>
                </c:pt>
                <c:pt idx="3" formatCode="#,##0">
                  <c:v>27693764</c:v>
                </c:pt>
              </c:numCache>
            </c:numRef>
          </c:val>
          <c:extLst>
            <c:ext xmlns:c16="http://schemas.microsoft.com/office/drawing/2014/chart" uri="{C3380CC4-5D6E-409C-BE32-E72D297353CC}">
              <c16:uniqueId val="{0000000E-A1C9-4861-B853-436F4CEBB25D}"/>
            </c:ext>
          </c:extLst>
        </c:ser>
        <c:dLbls>
          <c:showLegendKey val="0"/>
          <c:showVal val="0"/>
          <c:showCatName val="0"/>
          <c:showSerName val="0"/>
          <c:showPercent val="0"/>
          <c:showBubbleSize val="0"/>
        </c:dLbls>
        <c:gapWidth val="219"/>
        <c:overlap val="100"/>
        <c:axId val="1884815343"/>
        <c:axId val="1884810767"/>
      </c:barChart>
      <c:catAx>
        <c:axId val="18848153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84810767"/>
        <c:crosses val="autoZero"/>
        <c:auto val="1"/>
        <c:lblAlgn val="ctr"/>
        <c:lblOffset val="100"/>
        <c:noMultiLvlLbl val="0"/>
      </c:catAx>
      <c:valAx>
        <c:axId val="188481076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84815343"/>
        <c:crosses val="autoZero"/>
        <c:crossBetween val="between"/>
        <c:dispUnits>
          <c:builtInUnit val="millions"/>
          <c:dispUnitsLbl>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dispUnitsLbl>
        </c:dispUnits>
      </c:valAx>
      <c:valAx>
        <c:axId val="1884837807"/>
        <c:scaling>
          <c:orientation val="minMax"/>
          <c:max val="0.35000000000000003"/>
          <c:min val="0.22000000000000003"/>
        </c:scaling>
        <c:delete val="0"/>
        <c:axPos val="r"/>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84839471"/>
        <c:crosses val="max"/>
        <c:crossBetween val="between"/>
      </c:valAx>
      <c:catAx>
        <c:axId val="1884839471"/>
        <c:scaling>
          <c:orientation val="minMax"/>
        </c:scaling>
        <c:delete val="1"/>
        <c:axPos val="b"/>
        <c:numFmt formatCode="General" sourceLinked="1"/>
        <c:majorTickMark val="out"/>
        <c:minorTickMark val="none"/>
        <c:tickLblPos val="nextTo"/>
        <c:crossAx val="1884837807"/>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1"/>
          <c:tx>
            <c:strRef>
              <c:f>rentabil!$C$3</c:f>
              <c:strCache>
                <c:ptCount val="1"/>
                <c:pt idx="0">
                  <c:v>Nobraukums (km)</c:v>
                </c:pt>
              </c:strCache>
            </c:strRef>
          </c:tx>
          <c:spPr>
            <a:solidFill>
              <a:schemeClr val="accent2">
                <a:lumMod val="40000"/>
                <a:lumOff val="60000"/>
              </a:schemeClr>
            </a:solidFill>
            <a:ln>
              <a:noFill/>
            </a:ln>
            <a:effectLst/>
          </c:spPr>
          <c:invertIfNegative val="0"/>
          <c:cat>
            <c:strRef>
              <c:f>rentabil!$A$4:$A$10</c:f>
              <c:strCache>
                <c:ptCount val="7"/>
                <c:pt idx="0">
                  <c:v>0%-9.99%</c:v>
                </c:pt>
                <c:pt idx="1">
                  <c:v>10%-19.99%</c:v>
                </c:pt>
                <c:pt idx="2">
                  <c:v>20%-29.99%</c:v>
                </c:pt>
                <c:pt idx="3">
                  <c:v>30%-39.99%</c:v>
                </c:pt>
                <c:pt idx="4">
                  <c:v>40%-49.99%</c:v>
                </c:pt>
                <c:pt idx="5">
                  <c:v>50%-59.99%</c:v>
                </c:pt>
                <c:pt idx="6">
                  <c:v>60%-100%</c:v>
                </c:pt>
              </c:strCache>
            </c:strRef>
          </c:cat>
          <c:val>
            <c:numRef>
              <c:f>rentabil!$C$4:$C$10</c:f>
              <c:numCache>
                <c:formatCode>#,##0</c:formatCode>
                <c:ptCount val="7"/>
                <c:pt idx="0">
                  <c:v>3441016.3399999994</c:v>
                </c:pt>
                <c:pt idx="1">
                  <c:v>16197299.740000002</c:v>
                </c:pt>
                <c:pt idx="2">
                  <c:v>18079951.989999998</c:v>
                </c:pt>
                <c:pt idx="3">
                  <c:v>14521557.590000005</c:v>
                </c:pt>
                <c:pt idx="4">
                  <c:v>12688463.030000001</c:v>
                </c:pt>
                <c:pt idx="5">
                  <c:v>2089849.33</c:v>
                </c:pt>
                <c:pt idx="6">
                  <c:v>3284464.2299999995</c:v>
                </c:pt>
              </c:numCache>
            </c:numRef>
          </c:val>
          <c:extLst>
            <c:ext xmlns:c16="http://schemas.microsoft.com/office/drawing/2014/chart" uri="{C3380CC4-5D6E-409C-BE32-E72D297353CC}">
              <c16:uniqueId val="{00000000-74EA-43FE-83A6-16793513EFB1}"/>
            </c:ext>
          </c:extLst>
        </c:ser>
        <c:dLbls>
          <c:showLegendKey val="0"/>
          <c:showVal val="0"/>
          <c:showCatName val="0"/>
          <c:showSerName val="0"/>
          <c:showPercent val="0"/>
          <c:showBubbleSize val="0"/>
        </c:dLbls>
        <c:gapWidth val="219"/>
        <c:axId val="571890824"/>
        <c:axId val="571893776"/>
      </c:barChart>
      <c:scatterChart>
        <c:scatterStyle val="lineMarker"/>
        <c:varyColors val="0"/>
        <c:ser>
          <c:idx val="2"/>
          <c:order val="2"/>
          <c:tx>
            <c:strRef>
              <c:f>rentabil!$E$3</c:f>
              <c:strCache>
                <c:ptCount val="1"/>
                <c:pt idx="0">
                  <c:v>Maršrutu skaits</c:v>
                </c:pt>
              </c:strCache>
            </c:strRef>
          </c:tx>
          <c:spPr>
            <a:ln w="25400" cap="rnd">
              <a:noFill/>
              <a:round/>
            </a:ln>
            <a:effectLst/>
          </c:spPr>
          <c:marker>
            <c:symbol val="circle"/>
            <c:size val="5"/>
            <c:spPr>
              <a:solidFill>
                <a:schemeClr val="accent3"/>
              </a:solidFill>
              <a:ln w="9525">
                <a:solidFill>
                  <a:schemeClr val="accent3"/>
                </a:solidFill>
              </a:ln>
              <a:effectLst/>
            </c:spPr>
          </c:marker>
          <c:dLbls>
            <c:numFmt formatCode="#,##0.00" sourceLinked="0"/>
            <c:spPr>
              <a:solidFill>
                <a:schemeClr val="bg2"/>
              </a:solid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strRef>
              <c:f>rentabil!$A$4:$A$10</c:f>
              <c:strCache>
                <c:ptCount val="7"/>
                <c:pt idx="0">
                  <c:v>0%-9.99%</c:v>
                </c:pt>
                <c:pt idx="1">
                  <c:v>10%-19.99%</c:v>
                </c:pt>
                <c:pt idx="2">
                  <c:v>20%-29.99%</c:v>
                </c:pt>
                <c:pt idx="3">
                  <c:v>30%-39.99%</c:v>
                </c:pt>
                <c:pt idx="4">
                  <c:v>40%-49.99%</c:v>
                </c:pt>
                <c:pt idx="5">
                  <c:v>50%-59.99%</c:v>
                </c:pt>
                <c:pt idx="6">
                  <c:v>60%-100%</c:v>
                </c:pt>
              </c:strCache>
            </c:strRef>
          </c:xVal>
          <c:yVal>
            <c:numRef>
              <c:f>rentabil!$E$4:$E$10</c:f>
              <c:numCache>
                <c:formatCode>General</c:formatCode>
                <c:ptCount val="7"/>
                <c:pt idx="0">
                  <c:v>280</c:v>
                </c:pt>
                <c:pt idx="1">
                  <c:v>567</c:v>
                </c:pt>
                <c:pt idx="2">
                  <c:v>394</c:v>
                </c:pt>
                <c:pt idx="3">
                  <c:v>156</c:v>
                </c:pt>
                <c:pt idx="4">
                  <c:v>79</c:v>
                </c:pt>
                <c:pt idx="5">
                  <c:v>17</c:v>
                </c:pt>
                <c:pt idx="6">
                  <c:v>28</c:v>
                </c:pt>
              </c:numCache>
            </c:numRef>
          </c:yVal>
          <c:smooth val="0"/>
          <c:extLst>
            <c:ext xmlns:c16="http://schemas.microsoft.com/office/drawing/2014/chart" uri="{C3380CC4-5D6E-409C-BE32-E72D297353CC}">
              <c16:uniqueId val="{00000001-74EA-43FE-83A6-16793513EFB1}"/>
            </c:ext>
          </c:extLst>
        </c:ser>
        <c:dLbls>
          <c:showLegendKey val="0"/>
          <c:showVal val="0"/>
          <c:showCatName val="0"/>
          <c:showSerName val="0"/>
          <c:showPercent val="0"/>
          <c:showBubbleSize val="0"/>
        </c:dLbls>
        <c:axId val="571890824"/>
        <c:axId val="571893776"/>
      </c:scatterChart>
      <c:scatterChart>
        <c:scatterStyle val="lineMarker"/>
        <c:varyColors val="0"/>
        <c:ser>
          <c:idx val="0"/>
          <c:order val="0"/>
          <c:tx>
            <c:strRef>
              <c:f>rentabil!$F$3</c:f>
              <c:strCache>
                <c:ptCount val="1"/>
                <c:pt idx="0">
                  <c:v>Autobusu noslodze (maksājošie pasažieri)</c:v>
                </c:pt>
              </c:strCache>
            </c:strRef>
          </c:tx>
          <c:spPr>
            <a:ln w="25400" cap="rnd">
              <a:noFill/>
              <a:round/>
            </a:ln>
            <a:effectLst/>
          </c:spPr>
          <c:marker>
            <c:symbol val="circle"/>
            <c:size val="5"/>
            <c:spPr>
              <a:solidFill>
                <a:srgbClr val="00B050"/>
              </a:solidFill>
              <a:ln w="9525">
                <a:noFill/>
              </a:ln>
              <a:effectLst/>
            </c:spPr>
          </c:marker>
          <c:dLbls>
            <c:numFmt formatCode="#,##0.00" sourceLinked="0"/>
            <c:spPr>
              <a:solidFill>
                <a:schemeClr val="accent6">
                  <a:lumMod val="20000"/>
                  <a:lumOff val="80000"/>
                </a:schemeClr>
              </a:solid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strRef>
              <c:f>rentabil!$A$4:$A$10</c:f>
              <c:strCache>
                <c:ptCount val="7"/>
                <c:pt idx="0">
                  <c:v>0%-9.99%</c:v>
                </c:pt>
                <c:pt idx="1">
                  <c:v>10%-19.99%</c:v>
                </c:pt>
                <c:pt idx="2">
                  <c:v>20%-29.99%</c:v>
                </c:pt>
                <c:pt idx="3">
                  <c:v>30%-39.99%</c:v>
                </c:pt>
                <c:pt idx="4">
                  <c:v>40%-49.99%</c:v>
                </c:pt>
                <c:pt idx="5">
                  <c:v>50%-59.99%</c:v>
                </c:pt>
                <c:pt idx="6">
                  <c:v>60%-100%</c:v>
                </c:pt>
              </c:strCache>
            </c:strRef>
          </c:xVal>
          <c:yVal>
            <c:numRef>
              <c:f>rentabil!$F$4:$F$10</c:f>
              <c:numCache>
                <c:formatCode>0.00</c:formatCode>
                <c:ptCount val="7"/>
                <c:pt idx="0">
                  <c:v>1.518308295967608</c:v>
                </c:pt>
                <c:pt idx="1">
                  <c:v>3.5595492935732045</c:v>
                </c:pt>
                <c:pt idx="2">
                  <c:v>5.9021806858002268</c:v>
                </c:pt>
                <c:pt idx="3">
                  <c:v>8.3606611029839861</c:v>
                </c:pt>
                <c:pt idx="4">
                  <c:v>11.534849788743927</c:v>
                </c:pt>
                <c:pt idx="5">
                  <c:v>12.744960522807862</c:v>
                </c:pt>
                <c:pt idx="6">
                  <c:v>15.821746994966173</c:v>
                </c:pt>
              </c:numCache>
            </c:numRef>
          </c:yVal>
          <c:smooth val="0"/>
          <c:extLst>
            <c:ext xmlns:c16="http://schemas.microsoft.com/office/drawing/2014/chart" uri="{C3380CC4-5D6E-409C-BE32-E72D297353CC}">
              <c16:uniqueId val="{00000002-74EA-43FE-83A6-16793513EFB1}"/>
            </c:ext>
          </c:extLst>
        </c:ser>
        <c:dLbls>
          <c:showLegendKey val="0"/>
          <c:showVal val="0"/>
          <c:showCatName val="0"/>
          <c:showSerName val="0"/>
          <c:showPercent val="0"/>
          <c:showBubbleSize val="0"/>
        </c:dLbls>
        <c:axId val="574065680"/>
        <c:axId val="574058464"/>
      </c:scatterChart>
      <c:catAx>
        <c:axId val="5718908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71893776"/>
        <c:crosses val="autoZero"/>
        <c:auto val="1"/>
        <c:lblAlgn val="ctr"/>
        <c:lblOffset val="100"/>
        <c:noMultiLvlLbl val="0"/>
      </c:catAx>
      <c:valAx>
        <c:axId val="5718937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71890824"/>
        <c:crosses val="autoZero"/>
        <c:crossBetween val="between"/>
      </c:valAx>
      <c:valAx>
        <c:axId val="574058464"/>
        <c:scaling>
          <c:orientation val="minMax"/>
        </c:scaling>
        <c:delete val="0"/>
        <c:axPos val="r"/>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74065680"/>
        <c:crosses val="max"/>
        <c:crossBetween val="midCat"/>
      </c:valAx>
      <c:valAx>
        <c:axId val="574065680"/>
        <c:scaling>
          <c:orientation val="minMax"/>
        </c:scaling>
        <c:delete val="1"/>
        <c:axPos val="t"/>
        <c:majorTickMark val="out"/>
        <c:minorTickMark val="none"/>
        <c:tickLblPos val="nextTo"/>
        <c:crossAx val="574058464"/>
        <c:crosses val="max"/>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0684800763540917E-2"/>
          <c:y val="0.16870821379885653"/>
          <c:w val="0.90671632917996192"/>
          <c:h val="0.58059126330138966"/>
        </c:manualLayout>
      </c:layout>
      <c:barChart>
        <c:barDir val="col"/>
        <c:grouping val="clustered"/>
        <c:varyColors val="0"/>
        <c:ser>
          <c:idx val="0"/>
          <c:order val="0"/>
          <c:tx>
            <c:strRef>
              <c:f>grafiks_2021.2022.12.mēn.!$C$27</c:f>
              <c:strCache>
                <c:ptCount val="1"/>
                <c:pt idx="0">
                  <c:v>2021</c:v>
                </c:pt>
              </c:strCache>
            </c:strRef>
          </c:tx>
          <c:spPr>
            <a:solidFill>
              <a:schemeClr val="accent2">
                <a:tint val="77000"/>
              </a:schemeClr>
            </a:solidFill>
            <a:ln>
              <a:noFill/>
            </a:ln>
            <a:effectLst/>
          </c:spPr>
          <c:invertIfNegative val="0"/>
          <c:dLbls>
            <c:dLbl>
              <c:idx val="9"/>
              <c:layout>
                <c:manualLayout>
                  <c:x val="-4.1088854648176684E-3"/>
                  <c:y val="8.605851979345916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EB4-4545-A810-C5C3900011E3}"/>
                </c:ext>
              </c:extLst>
            </c:dLbl>
            <c:dLbl>
              <c:idx val="10"/>
              <c:layout>
                <c:manualLayout>
                  <c:x val="-1.2326656394453005E-2"/>
                  <c:y val="3.872633390705679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EB4-4545-A810-C5C3900011E3}"/>
                </c:ext>
              </c:extLst>
            </c:dLbl>
            <c:spPr>
              <a:noFill/>
              <a:ln>
                <a:noFill/>
              </a:ln>
              <a:effectLst/>
            </c:spPr>
            <c:txPr>
              <a:bodyPr rot="0" spcFirstLastPara="1" vertOverflow="ellipsis" vert="horz" wrap="square" anchor="ctr" anchorCtr="1"/>
              <a:lstStyle/>
              <a:p>
                <a:pPr>
                  <a:defRPr sz="8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grafiks_2021.2022.12.mēn.!$B$28:$B$39</c:f>
              <c:strCache>
                <c:ptCount val="12"/>
                <c:pt idx="0">
                  <c:v>Janvāris</c:v>
                </c:pt>
                <c:pt idx="1">
                  <c:v>Februāris</c:v>
                </c:pt>
                <c:pt idx="2">
                  <c:v>Marts</c:v>
                </c:pt>
                <c:pt idx="3">
                  <c:v>Aprīlis</c:v>
                </c:pt>
                <c:pt idx="4">
                  <c:v>Maijs</c:v>
                </c:pt>
                <c:pt idx="5">
                  <c:v>Jūnijs</c:v>
                </c:pt>
                <c:pt idx="6">
                  <c:v>Jūlijs</c:v>
                </c:pt>
                <c:pt idx="7">
                  <c:v>Augusts</c:v>
                </c:pt>
                <c:pt idx="8">
                  <c:v>Septembris</c:v>
                </c:pt>
                <c:pt idx="9">
                  <c:v>Oktobris</c:v>
                </c:pt>
                <c:pt idx="10">
                  <c:v>Novembris</c:v>
                </c:pt>
                <c:pt idx="11">
                  <c:v>Decembris</c:v>
                </c:pt>
              </c:strCache>
            </c:strRef>
          </c:cat>
          <c:val>
            <c:numRef>
              <c:f>grafiks_2021.2022.12.mēn.!$C$28:$C$39</c:f>
              <c:numCache>
                <c:formatCode>#,##0</c:formatCode>
                <c:ptCount val="12"/>
                <c:pt idx="0">
                  <c:v>1538</c:v>
                </c:pt>
                <c:pt idx="1">
                  <c:v>1555</c:v>
                </c:pt>
                <c:pt idx="2">
                  <c:v>1854</c:v>
                </c:pt>
                <c:pt idx="3">
                  <c:v>1890</c:v>
                </c:pt>
                <c:pt idx="4">
                  <c:v>1973</c:v>
                </c:pt>
                <c:pt idx="5">
                  <c:v>2375</c:v>
                </c:pt>
                <c:pt idx="6">
                  <c:v>2513</c:v>
                </c:pt>
                <c:pt idx="7">
                  <c:v>2466</c:v>
                </c:pt>
                <c:pt idx="8">
                  <c:v>2189</c:v>
                </c:pt>
                <c:pt idx="9">
                  <c:v>2878</c:v>
                </c:pt>
                <c:pt idx="10">
                  <c:v>2573</c:v>
                </c:pt>
                <c:pt idx="11">
                  <c:v>2737</c:v>
                </c:pt>
              </c:numCache>
            </c:numRef>
          </c:val>
          <c:extLst>
            <c:ext xmlns:c16="http://schemas.microsoft.com/office/drawing/2014/chart" uri="{C3380CC4-5D6E-409C-BE32-E72D297353CC}">
              <c16:uniqueId val="{00000002-DEB4-4545-A810-C5C3900011E3}"/>
            </c:ext>
          </c:extLst>
        </c:ser>
        <c:ser>
          <c:idx val="1"/>
          <c:order val="1"/>
          <c:tx>
            <c:strRef>
              <c:f>grafiks_2021.2022.12.mēn.!$D$27</c:f>
              <c:strCache>
                <c:ptCount val="1"/>
                <c:pt idx="0">
                  <c:v>2022</c:v>
                </c:pt>
              </c:strCache>
            </c:strRef>
          </c:tx>
          <c:spPr>
            <a:solidFill>
              <a:schemeClr val="accent2">
                <a:shade val="76000"/>
              </a:schemeClr>
            </a:solidFill>
            <a:ln>
              <a:noFill/>
            </a:ln>
            <a:effectLst/>
          </c:spPr>
          <c:invertIfNegative val="0"/>
          <c:dLbls>
            <c:dLbl>
              <c:idx val="11"/>
              <c:layout>
                <c:manualLayout>
                  <c:x val="1.6435541859270521E-2"/>
                  <c:y val="8.6058519793459545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EB4-4545-A810-C5C3900011E3}"/>
                </c:ext>
              </c:extLst>
            </c:dLbl>
            <c:spPr>
              <a:noFill/>
              <a:ln>
                <a:noFill/>
              </a:ln>
              <a:effectLst/>
            </c:spPr>
            <c:txPr>
              <a:bodyPr rot="0" spcFirstLastPara="1" vertOverflow="ellipsis" vert="horz" wrap="square" anchor="ctr" anchorCtr="1"/>
              <a:lstStyle/>
              <a:p>
                <a:pPr>
                  <a:defRPr sz="8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grafiks_2021.2022.12.mēn.!$B$28:$B$39</c:f>
              <c:strCache>
                <c:ptCount val="12"/>
                <c:pt idx="0">
                  <c:v>Janvāris</c:v>
                </c:pt>
                <c:pt idx="1">
                  <c:v>Februāris</c:v>
                </c:pt>
                <c:pt idx="2">
                  <c:v>Marts</c:v>
                </c:pt>
                <c:pt idx="3">
                  <c:v>Aprīlis</c:v>
                </c:pt>
                <c:pt idx="4">
                  <c:v>Maijs</c:v>
                </c:pt>
                <c:pt idx="5">
                  <c:v>Jūnijs</c:v>
                </c:pt>
                <c:pt idx="6">
                  <c:v>Jūlijs</c:v>
                </c:pt>
                <c:pt idx="7">
                  <c:v>Augusts</c:v>
                </c:pt>
                <c:pt idx="8">
                  <c:v>Septembris</c:v>
                </c:pt>
                <c:pt idx="9">
                  <c:v>Oktobris</c:v>
                </c:pt>
                <c:pt idx="10">
                  <c:v>Novembris</c:v>
                </c:pt>
                <c:pt idx="11">
                  <c:v>Decembris</c:v>
                </c:pt>
              </c:strCache>
            </c:strRef>
          </c:cat>
          <c:val>
            <c:numRef>
              <c:f>grafiks_2021.2022.12.mēn.!$D$28:$D$39</c:f>
              <c:numCache>
                <c:formatCode>#,##0</c:formatCode>
                <c:ptCount val="12"/>
                <c:pt idx="0">
                  <c:v>2628</c:v>
                </c:pt>
                <c:pt idx="1">
                  <c:v>2360</c:v>
                </c:pt>
                <c:pt idx="2">
                  <c:v>3545</c:v>
                </c:pt>
                <c:pt idx="3">
                  <c:v>3456</c:v>
                </c:pt>
                <c:pt idx="4">
                  <c:v>3553</c:v>
                </c:pt>
                <c:pt idx="5">
                  <c:v>4202</c:v>
                </c:pt>
                <c:pt idx="6">
                  <c:v>4646</c:v>
                </c:pt>
                <c:pt idx="7">
                  <c:v>4442</c:v>
                </c:pt>
                <c:pt idx="8">
                  <c:v>3301</c:v>
                </c:pt>
                <c:pt idx="9">
                  <c:v>3166</c:v>
                </c:pt>
                <c:pt idx="10">
                  <c:v>2826</c:v>
                </c:pt>
                <c:pt idx="11">
                  <c:v>2400</c:v>
                </c:pt>
              </c:numCache>
            </c:numRef>
          </c:val>
          <c:extLst>
            <c:ext xmlns:c16="http://schemas.microsoft.com/office/drawing/2014/chart" uri="{C3380CC4-5D6E-409C-BE32-E72D297353CC}">
              <c16:uniqueId val="{00000004-DEB4-4545-A810-C5C3900011E3}"/>
            </c:ext>
          </c:extLst>
        </c:ser>
        <c:dLbls>
          <c:dLblPos val="inEnd"/>
          <c:showLegendKey val="0"/>
          <c:showVal val="1"/>
          <c:showCatName val="0"/>
          <c:showSerName val="0"/>
          <c:showPercent val="0"/>
          <c:showBubbleSize val="0"/>
        </c:dLbls>
        <c:gapWidth val="267"/>
        <c:overlap val="-43"/>
        <c:axId val="1264974208"/>
        <c:axId val="1264960064"/>
      </c:barChart>
      <c:catAx>
        <c:axId val="1264974208"/>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1" i="0" u="none" strike="noStrike" kern="1200" cap="none" spc="0" normalizeH="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264960064"/>
        <c:crosses val="autoZero"/>
        <c:auto val="1"/>
        <c:lblAlgn val="ctr"/>
        <c:lblOffset val="100"/>
        <c:noMultiLvlLbl val="0"/>
      </c:catAx>
      <c:valAx>
        <c:axId val="1264960064"/>
        <c:scaling>
          <c:orientation val="minMax"/>
        </c:scaling>
        <c:delete val="1"/>
        <c:axPos val="l"/>
        <c:majorGridlines>
          <c:spPr>
            <a:ln w="9525" cap="flat" cmpd="sng" algn="ctr">
              <a:solidFill>
                <a:schemeClr val="dk1">
                  <a:lumMod val="15000"/>
                  <a:lumOff val="85000"/>
                </a:schemeClr>
              </a:solidFill>
              <a:round/>
            </a:ln>
            <a:effectLst/>
          </c:spPr>
        </c:majorGridlines>
        <c:numFmt formatCode="#,##0" sourceLinked="1"/>
        <c:majorTickMark val="none"/>
        <c:minorTickMark val="none"/>
        <c:tickLblPos val="nextTo"/>
        <c:crossAx val="1264974208"/>
        <c:crosses val="autoZero"/>
        <c:crossBetween val="between"/>
      </c:valAx>
      <c:spPr>
        <a:pattFill prst="ltDnDiag">
          <a:fgClr>
            <a:schemeClr val="dk1">
              <a:lumMod val="15000"/>
              <a:lumOff val="85000"/>
            </a:schemeClr>
          </a:fgClr>
          <a:bgClr>
            <a:schemeClr val="lt1"/>
          </a:bgClr>
        </a:pattFill>
        <a:ln>
          <a:noFill/>
        </a:ln>
        <a:effectLst/>
      </c:spPr>
    </c:plotArea>
    <c:legend>
      <c:legendPos val="b"/>
      <c:layout>
        <c:manualLayout>
          <c:xMode val="edge"/>
          <c:yMode val="edge"/>
          <c:x val="0.42940473735082035"/>
          <c:y val="0.89571791898105746"/>
          <c:w val="0.13297259260157965"/>
          <c:h val="7.485423133148695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pivotSource>
    <c:name>[Bezmaksas_maršruti_2021_2022_12men_14022023.xlsx]pagasts!PivotTable8</c:name>
    <c:fmtId val="-1"/>
  </c:pivotSource>
  <c:chart>
    <c:autoTitleDeleted val="1"/>
    <c:pivotFmts>
      <c:pivotFmt>
        <c:idx val="0"/>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1"/>
        <c:dLbl>
          <c:idx val="0"/>
          <c:dLblPos val="inBase"/>
          <c:showLegendKey val="0"/>
          <c:showVal val="1"/>
          <c:showCatName val="0"/>
          <c:showSerName val="0"/>
          <c:showPercent val="0"/>
          <c:showBubbleSize val="0"/>
          <c:extLst>
            <c:ext xmlns:c15="http://schemas.microsoft.com/office/drawing/2012/chart" uri="{CE6537A1-D6FC-4f65-9D91-7224C49458BB}"/>
          </c:extLst>
        </c:dLbl>
      </c:pivotFmt>
      <c:pivotFmt>
        <c:idx val="2"/>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3"/>
        <c:dLbl>
          <c:idx val="0"/>
          <c:dLblPos val="inBase"/>
          <c:showLegendKey val="0"/>
          <c:showVal val="1"/>
          <c:showCatName val="0"/>
          <c:showSerName val="0"/>
          <c:showPercent val="0"/>
          <c:showBubbleSize val="0"/>
          <c:extLst>
            <c:ext xmlns:c15="http://schemas.microsoft.com/office/drawing/2012/chart" uri="{CE6537A1-D6FC-4f65-9D91-7224C49458BB}"/>
          </c:extLst>
        </c:dLbl>
      </c:pivotFmt>
      <c:pivotFmt>
        <c:idx val="4"/>
        <c:dLbl>
          <c:idx val="0"/>
          <c:dLblPos val="inBase"/>
          <c:showLegendKey val="0"/>
          <c:showVal val="1"/>
          <c:showCatName val="0"/>
          <c:showSerName val="0"/>
          <c:showPercent val="0"/>
          <c:showBubbleSize val="0"/>
          <c:extLst>
            <c:ext xmlns:c15="http://schemas.microsoft.com/office/drawing/2012/chart" uri="{CE6537A1-D6FC-4f65-9D91-7224C49458BB}"/>
          </c:extLst>
        </c:dLbl>
      </c:pivotFmt>
      <c:pivotFmt>
        <c:idx val="5"/>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6"/>
        <c:spPr>
          <a:solidFill>
            <a:schemeClr val="accent2"/>
          </a:solidFill>
          <a:ln>
            <a:noFill/>
          </a:ln>
          <a:effectLst/>
        </c:spPr>
        <c:marker>
          <c:symbol val="circle"/>
          <c:size val="6"/>
          <c:spPr>
            <a:solidFill>
              <a:schemeClr val="lt1"/>
            </a:solidFill>
            <a:ln w="15875">
              <a:solidFill>
                <a:schemeClr val="accent2"/>
              </a:solidFill>
              <a:round/>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7"/>
        <c:spPr>
          <a:solidFill>
            <a:schemeClr val="accent2"/>
          </a:solidFill>
          <a:ln>
            <a:noFill/>
          </a:ln>
          <a:effectLst/>
        </c:spP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inBase"/>
          <c:showLegendKey val="0"/>
          <c:showVal val="1"/>
          <c:showCatName val="0"/>
          <c:showSerName val="0"/>
          <c:showPercent val="0"/>
          <c:showBubbleSize val="0"/>
          <c:extLst>
            <c:ext xmlns:c15="http://schemas.microsoft.com/office/drawing/2012/chart" uri="{CE6537A1-D6FC-4f65-9D91-7224C49458BB}"/>
          </c:extLst>
        </c:dLbl>
      </c:pivotFmt>
      <c:pivotFmt>
        <c:idx val="8"/>
        <c:spPr>
          <a:solidFill>
            <a:schemeClr val="accent2"/>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9"/>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inBase"/>
          <c:showLegendKey val="0"/>
          <c:showVal val="1"/>
          <c:showCatName val="0"/>
          <c:showSerName val="0"/>
          <c:showPercent val="0"/>
          <c:showBubbleSize val="0"/>
          <c:extLst>
            <c:ext xmlns:c15="http://schemas.microsoft.com/office/drawing/2012/chart" uri="{CE6537A1-D6FC-4f65-9D91-7224C49458BB}"/>
          </c:extLst>
        </c:dLbl>
      </c:pivotFmt>
      <c:pivotFmt>
        <c:idx val="10"/>
        <c:spPr>
          <a:solidFill>
            <a:schemeClr val="accent2"/>
          </a:solidFill>
          <a:ln>
            <a:noFill/>
          </a:ln>
          <a:effectLst/>
        </c:spPr>
        <c:dLbl>
          <c:idx val="0"/>
          <c:layout>
            <c:manualLayout>
              <c:x val="-2.4166246423816399E-17"/>
              <c:y val="-2.1627461358368058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dk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1"/>
        <c:spPr>
          <a:solidFill>
            <a:schemeClr val="accent2"/>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2"/>
        <c:spPr>
          <a:solidFill>
            <a:schemeClr val="accent2"/>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3"/>
      </c:pivotFmt>
      <c:pivotFmt>
        <c:idx val="14"/>
      </c:pivotFmt>
      <c:pivotFmt>
        <c:idx val="15"/>
        <c:spPr>
          <a:solidFill>
            <a:schemeClr val="accent2"/>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6"/>
        <c:spPr>
          <a:solidFill>
            <a:schemeClr val="accent2">
              <a:shade val="65000"/>
            </a:schemeClr>
          </a:solidFill>
          <a:ln>
            <a:noFill/>
          </a:ln>
          <a:effectLst/>
        </c:spPr>
        <c:dLbl>
          <c:idx val="0"/>
          <c:layout>
            <c:manualLayout>
              <c:x val="6.0231895643831001E-3"/>
              <c:y val="2.1299250953980033E-3"/>
            </c:manualLayout>
          </c:layout>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7"/>
      </c:pivotFmt>
      <c:pivotFmt>
        <c:idx val="18"/>
        <c:spPr>
          <a:solidFill>
            <a:schemeClr val="accent2"/>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9"/>
      </c:pivotFmt>
      <c:pivotFmt>
        <c:idx val="20"/>
        <c:spPr>
          <a:solidFill>
            <a:schemeClr val="accent2"/>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1"/>
      </c:pivotFmt>
      <c:pivotFmt>
        <c:idx val="22"/>
        <c:spPr>
          <a:solidFill>
            <a:schemeClr val="accent2"/>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3"/>
        <c:spPr>
          <a:solidFill>
            <a:schemeClr val="accent2"/>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4"/>
        <c:spPr>
          <a:solidFill>
            <a:schemeClr val="accent2"/>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5"/>
        <c:spPr>
          <a:solidFill>
            <a:schemeClr val="accent2"/>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6"/>
        <c:spPr>
          <a:solidFill>
            <a:schemeClr val="accent2"/>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7"/>
        <c:spPr>
          <a:solidFill>
            <a:schemeClr val="accent2"/>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8"/>
        <c:spPr>
          <a:solidFill>
            <a:schemeClr val="accent2"/>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9"/>
        <c:spPr>
          <a:solidFill>
            <a:schemeClr val="accent2"/>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30"/>
        <c:spPr>
          <a:solidFill>
            <a:schemeClr val="accent2"/>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31"/>
        <c:spPr>
          <a:solidFill>
            <a:schemeClr val="accent2"/>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dk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32"/>
        <c:spPr>
          <a:solidFill>
            <a:schemeClr val="accent2"/>
          </a:solidFill>
          <a:ln>
            <a:noFill/>
          </a:ln>
          <a:effectLst/>
        </c:spPr>
        <c:dLbl>
          <c:idx val="0"/>
          <c:layout>
            <c:manualLayout>
              <c:x val="2.4092758257530278E-3"/>
              <c:y val="3.5874982453272999E-3"/>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3"/>
        <c:spPr>
          <a:solidFill>
            <a:schemeClr val="accent2"/>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4"/>
        <c:spPr>
          <a:solidFill>
            <a:schemeClr val="accent2"/>
          </a:solidFill>
          <a:ln>
            <a:noFill/>
          </a:ln>
          <a:effectLst/>
        </c:spPr>
      </c:pivotFmt>
      <c:pivotFmt>
        <c:idx val="35"/>
        <c:spPr>
          <a:solidFill>
            <a:schemeClr val="accent2"/>
          </a:solidFill>
          <a:ln>
            <a:noFill/>
          </a:ln>
          <a:effectLst/>
        </c:spPr>
      </c:pivotFmt>
      <c:pivotFmt>
        <c:idx val="36"/>
        <c:spPr>
          <a:solidFill>
            <a:schemeClr val="accent2"/>
          </a:solidFill>
          <a:ln>
            <a:noFill/>
          </a:ln>
          <a:effectLst/>
        </c:spPr>
      </c:pivotFmt>
      <c:pivotFmt>
        <c:idx val="37"/>
        <c:spPr>
          <a:solidFill>
            <a:schemeClr val="accent2"/>
          </a:solidFill>
          <a:ln>
            <a:noFill/>
          </a:ln>
          <a:effectLst/>
        </c:spPr>
      </c:pivotFmt>
      <c:pivotFmt>
        <c:idx val="38"/>
        <c:spPr>
          <a:solidFill>
            <a:schemeClr val="accent2"/>
          </a:solidFill>
          <a:ln>
            <a:noFill/>
          </a:ln>
          <a:effectLst/>
        </c:spPr>
      </c:pivotFmt>
      <c:pivotFmt>
        <c:idx val="39"/>
        <c:spPr>
          <a:solidFill>
            <a:schemeClr val="accent2"/>
          </a:solidFill>
          <a:ln>
            <a:noFill/>
          </a:ln>
          <a:effectLst/>
        </c:spPr>
      </c:pivotFmt>
      <c:pivotFmt>
        <c:idx val="40"/>
        <c:spPr>
          <a:solidFill>
            <a:schemeClr val="accent2"/>
          </a:solidFill>
          <a:ln>
            <a:noFill/>
          </a:ln>
          <a:effectLst/>
        </c:spPr>
      </c:pivotFmt>
      <c:pivotFmt>
        <c:idx val="41"/>
        <c:spPr>
          <a:solidFill>
            <a:schemeClr val="accent2"/>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2"/>
        <c:spPr>
          <a:solidFill>
            <a:schemeClr val="accent2"/>
          </a:solidFill>
          <a:ln>
            <a:noFill/>
          </a:ln>
          <a:effectLst/>
        </c:spPr>
      </c:pivotFmt>
      <c:pivotFmt>
        <c:idx val="43"/>
        <c:spPr>
          <a:solidFill>
            <a:schemeClr val="accent2"/>
          </a:solidFill>
          <a:ln>
            <a:noFill/>
          </a:ln>
          <a:effectLst/>
        </c:spPr>
      </c:pivotFmt>
      <c:pivotFmt>
        <c:idx val="44"/>
        <c:spPr>
          <a:solidFill>
            <a:schemeClr val="accent2"/>
          </a:solidFill>
          <a:ln>
            <a:noFill/>
          </a:ln>
          <a:effectLst/>
        </c:spPr>
      </c:pivotFmt>
      <c:pivotFmt>
        <c:idx val="45"/>
        <c:spPr>
          <a:solidFill>
            <a:schemeClr val="accent2"/>
          </a:solidFill>
          <a:ln>
            <a:noFill/>
          </a:ln>
          <a:effectLst/>
        </c:spPr>
      </c:pivotFmt>
      <c:pivotFmt>
        <c:idx val="46"/>
        <c:spPr>
          <a:solidFill>
            <a:schemeClr val="accent2"/>
          </a:solidFill>
          <a:ln>
            <a:noFill/>
          </a:ln>
          <a:effectLst/>
        </c:spPr>
      </c:pivotFmt>
      <c:pivotFmt>
        <c:idx val="47"/>
        <c:spPr>
          <a:solidFill>
            <a:schemeClr val="accent2"/>
          </a:solidFill>
          <a:ln>
            <a:noFill/>
          </a:ln>
          <a:effectLst/>
        </c:spPr>
      </c:pivotFmt>
      <c:pivotFmt>
        <c:idx val="48"/>
        <c:spPr>
          <a:solidFill>
            <a:schemeClr val="accent2"/>
          </a:solidFill>
          <a:ln>
            <a:noFill/>
          </a:ln>
          <a:effectLst/>
        </c:spPr>
      </c:pivotFmt>
      <c:pivotFmt>
        <c:idx val="49"/>
        <c:spPr>
          <a:solidFill>
            <a:schemeClr val="accent2"/>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50"/>
        <c:spPr>
          <a:solidFill>
            <a:schemeClr val="accent2"/>
          </a:solidFill>
          <a:ln>
            <a:noFill/>
          </a:ln>
          <a:effectLst/>
        </c:spPr>
      </c:pivotFmt>
      <c:pivotFmt>
        <c:idx val="51"/>
        <c:spPr>
          <a:solidFill>
            <a:schemeClr val="accent2"/>
          </a:solidFill>
          <a:ln>
            <a:noFill/>
          </a:ln>
          <a:effectLst/>
        </c:spPr>
      </c:pivotFmt>
      <c:pivotFmt>
        <c:idx val="52"/>
        <c:spPr>
          <a:solidFill>
            <a:schemeClr val="accent2"/>
          </a:solidFill>
          <a:ln>
            <a:noFill/>
          </a:ln>
          <a:effectLst/>
        </c:spPr>
      </c:pivotFmt>
      <c:pivotFmt>
        <c:idx val="53"/>
        <c:spPr>
          <a:solidFill>
            <a:schemeClr val="accent2"/>
          </a:solidFill>
          <a:ln>
            <a:noFill/>
          </a:ln>
          <a:effectLst/>
        </c:spPr>
      </c:pivotFmt>
      <c:pivotFmt>
        <c:idx val="54"/>
        <c:spPr>
          <a:solidFill>
            <a:schemeClr val="accent2"/>
          </a:solidFill>
          <a:ln>
            <a:noFill/>
          </a:ln>
          <a:effectLst/>
        </c:spPr>
      </c:pivotFmt>
      <c:pivotFmt>
        <c:idx val="55"/>
        <c:spPr>
          <a:solidFill>
            <a:schemeClr val="accent2"/>
          </a:solidFill>
          <a:ln>
            <a:noFill/>
          </a:ln>
          <a:effectLst/>
        </c:spPr>
      </c:pivotFmt>
      <c:pivotFmt>
        <c:idx val="56"/>
        <c:spPr>
          <a:solidFill>
            <a:schemeClr val="accent2"/>
          </a:solidFill>
          <a:ln>
            <a:noFill/>
          </a:ln>
          <a:effectLst/>
        </c:spPr>
      </c:pivotFmt>
    </c:pivotFmts>
    <c:plotArea>
      <c:layout>
        <c:manualLayout>
          <c:layoutTarget val="inner"/>
          <c:xMode val="edge"/>
          <c:yMode val="edge"/>
          <c:x val="4.7699711647056831E-2"/>
          <c:y val="0.14518689410108238"/>
          <c:w val="0.93907847256511079"/>
          <c:h val="0.52215888088298945"/>
        </c:manualLayout>
      </c:layout>
      <c:barChart>
        <c:barDir val="col"/>
        <c:grouping val="clustered"/>
        <c:varyColors val="0"/>
        <c:ser>
          <c:idx val="0"/>
          <c:order val="0"/>
          <c:tx>
            <c:strRef>
              <c:f>pagasts!$B$4</c:f>
              <c:strCache>
                <c:ptCount val="1"/>
                <c:pt idx="0">
                  <c:v>Total</c:v>
                </c:pt>
              </c:strCache>
            </c:strRef>
          </c:tx>
          <c:spPr>
            <a:solidFill>
              <a:schemeClr val="accent2"/>
            </a:solidFill>
            <a:ln>
              <a:noFill/>
            </a:ln>
            <a:effectLst/>
          </c:spPr>
          <c:invertIfNegative val="0"/>
          <c:dPt>
            <c:idx val="1"/>
            <c:invertIfNegative val="0"/>
            <c:bubble3D val="0"/>
            <c:spPr>
              <a:solidFill>
                <a:schemeClr val="accent2"/>
              </a:solidFill>
              <a:ln>
                <a:noFill/>
              </a:ln>
              <a:effectLst/>
            </c:spPr>
            <c:extLst>
              <c:ext xmlns:c16="http://schemas.microsoft.com/office/drawing/2014/chart" uri="{C3380CC4-5D6E-409C-BE32-E72D297353CC}">
                <c16:uniqueId val="{00000001-1ADC-4FC3-8A7A-AC1A3AFF6935}"/>
              </c:ext>
            </c:extLst>
          </c:dPt>
          <c:dPt>
            <c:idx val="5"/>
            <c:invertIfNegative val="0"/>
            <c:bubble3D val="0"/>
            <c:spPr>
              <a:solidFill>
                <a:schemeClr val="accent2"/>
              </a:solidFill>
              <a:ln>
                <a:noFill/>
              </a:ln>
              <a:effectLst/>
            </c:spPr>
            <c:extLst>
              <c:ext xmlns:c16="http://schemas.microsoft.com/office/drawing/2014/chart" uri="{C3380CC4-5D6E-409C-BE32-E72D297353CC}">
                <c16:uniqueId val="{00000003-1ADC-4FC3-8A7A-AC1A3AFF6935}"/>
              </c:ext>
            </c:extLst>
          </c:dPt>
          <c:dPt>
            <c:idx val="6"/>
            <c:invertIfNegative val="0"/>
            <c:bubble3D val="0"/>
            <c:spPr>
              <a:solidFill>
                <a:schemeClr val="accent2"/>
              </a:solidFill>
              <a:ln>
                <a:noFill/>
              </a:ln>
              <a:effectLst/>
            </c:spPr>
            <c:extLst>
              <c:ext xmlns:c16="http://schemas.microsoft.com/office/drawing/2014/chart" uri="{C3380CC4-5D6E-409C-BE32-E72D297353CC}">
                <c16:uniqueId val="{00000005-1ADC-4FC3-8A7A-AC1A3AFF6935}"/>
              </c:ext>
            </c:extLst>
          </c:dPt>
          <c:dPt>
            <c:idx val="8"/>
            <c:invertIfNegative val="0"/>
            <c:bubble3D val="0"/>
            <c:spPr>
              <a:solidFill>
                <a:schemeClr val="accent2"/>
              </a:solidFill>
              <a:ln>
                <a:noFill/>
              </a:ln>
              <a:effectLst/>
            </c:spPr>
            <c:extLst>
              <c:ext xmlns:c16="http://schemas.microsoft.com/office/drawing/2014/chart" uri="{C3380CC4-5D6E-409C-BE32-E72D297353CC}">
                <c16:uniqueId val="{00000007-1ADC-4FC3-8A7A-AC1A3AFF6935}"/>
              </c:ext>
            </c:extLst>
          </c:dPt>
          <c:dPt>
            <c:idx val="11"/>
            <c:invertIfNegative val="0"/>
            <c:bubble3D val="0"/>
            <c:spPr>
              <a:solidFill>
                <a:schemeClr val="accent2"/>
              </a:solidFill>
              <a:ln>
                <a:noFill/>
              </a:ln>
              <a:effectLst/>
            </c:spPr>
            <c:extLst>
              <c:ext xmlns:c16="http://schemas.microsoft.com/office/drawing/2014/chart" uri="{C3380CC4-5D6E-409C-BE32-E72D297353CC}">
                <c16:uniqueId val="{00000009-1ADC-4FC3-8A7A-AC1A3AFF6935}"/>
              </c:ext>
            </c:extLst>
          </c:dPt>
          <c:dPt>
            <c:idx val="13"/>
            <c:invertIfNegative val="0"/>
            <c:bubble3D val="0"/>
            <c:spPr>
              <a:solidFill>
                <a:schemeClr val="accent2"/>
              </a:solidFill>
              <a:ln>
                <a:noFill/>
              </a:ln>
              <a:effectLst/>
            </c:spPr>
            <c:extLst>
              <c:ext xmlns:c16="http://schemas.microsoft.com/office/drawing/2014/chart" uri="{C3380CC4-5D6E-409C-BE32-E72D297353CC}">
                <c16:uniqueId val="{0000000B-1ADC-4FC3-8A7A-AC1A3AFF6935}"/>
              </c:ext>
            </c:extLst>
          </c:dPt>
          <c:dPt>
            <c:idx val="15"/>
            <c:invertIfNegative val="0"/>
            <c:bubble3D val="0"/>
            <c:spPr>
              <a:solidFill>
                <a:schemeClr val="accent2"/>
              </a:solidFill>
              <a:ln>
                <a:noFill/>
              </a:ln>
              <a:effectLst/>
            </c:spPr>
            <c:extLst>
              <c:ext xmlns:c16="http://schemas.microsoft.com/office/drawing/2014/chart" uri="{C3380CC4-5D6E-409C-BE32-E72D297353CC}">
                <c16:uniqueId val="{0000000D-1ADC-4FC3-8A7A-AC1A3AFF6935}"/>
              </c:ext>
            </c:extLst>
          </c:dPt>
          <c:dLbls>
            <c:spPr>
              <a:no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pagasts!$A$5:$A$21</c:f>
              <c:strCache>
                <c:ptCount val="16"/>
                <c:pt idx="0">
                  <c:v>Ipiķu pagasts</c:v>
                </c:pt>
                <c:pt idx="1">
                  <c:v>Istras pagasts</c:v>
                </c:pt>
                <c:pt idx="2">
                  <c:v>Jaunauces pagasts</c:v>
                </c:pt>
                <c:pt idx="3">
                  <c:v>Jērcēnu pagasts</c:v>
                </c:pt>
                <c:pt idx="4">
                  <c:v>Leimaņu pagasts</c:v>
                </c:pt>
                <c:pt idx="5">
                  <c:v>Līdumnieku pagasts</c:v>
                </c:pt>
                <c:pt idx="6">
                  <c:v>Nirzas pagasts</c:v>
                </c:pt>
                <c:pt idx="7">
                  <c:v>Plāņu pagasts</c:v>
                </c:pt>
                <c:pt idx="8">
                  <c:v>Rugāju pagasts</c:v>
                </c:pt>
                <c:pt idx="9">
                  <c:v>Sausnējas pagasts</c:v>
                </c:pt>
                <c:pt idx="10">
                  <c:v>Sunākstes pagasts</c:v>
                </c:pt>
                <c:pt idx="11">
                  <c:v>Šķaunes pagasts</c:v>
                </c:pt>
                <c:pt idx="12">
                  <c:v>Valkas pagasts</c:v>
                </c:pt>
                <c:pt idx="13">
                  <c:v>Vecumu pagasts</c:v>
                </c:pt>
                <c:pt idx="14">
                  <c:v>Mārkalnes pagasts</c:v>
                </c:pt>
                <c:pt idx="15">
                  <c:v>Blontu pagasts</c:v>
                </c:pt>
              </c:strCache>
            </c:strRef>
          </c:cat>
          <c:val>
            <c:numRef>
              <c:f>pagasts!$B$5:$B$21</c:f>
              <c:numCache>
                <c:formatCode>#,##0</c:formatCode>
                <c:ptCount val="16"/>
                <c:pt idx="0">
                  <c:v>996</c:v>
                </c:pt>
                <c:pt idx="1">
                  <c:v>10904</c:v>
                </c:pt>
                <c:pt idx="2">
                  <c:v>1828</c:v>
                </c:pt>
                <c:pt idx="3">
                  <c:v>2821</c:v>
                </c:pt>
                <c:pt idx="4">
                  <c:v>702</c:v>
                </c:pt>
                <c:pt idx="5">
                  <c:v>3309</c:v>
                </c:pt>
                <c:pt idx="6">
                  <c:v>7060</c:v>
                </c:pt>
                <c:pt idx="7">
                  <c:v>1561</c:v>
                </c:pt>
                <c:pt idx="8">
                  <c:v>2591</c:v>
                </c:pt>
                <c:pt idx="9">
                  <c:v>1316</c:v>
                </c:pt>
                <c:pt idx="10">
                  <c:v>113</c:v>
                </c:pt>
                <c:pt idx="11">
                  <c:v>2081</c:v>
                </c:pt>
                <c:pt idx="12">
                  <c:v>4030</c:v>
                </c:pt>
                <c:pt idx="13">
                  <c:v>378</c:v>
                </c:pt>
                <c:pt idx="14">
                  <c:v>363</c:v>
                </c:pt>
                <c:pt idx="15">
                  <c:v>472</c:v>
                </c:pt>
              </c:numCache>
            </c:numRef>
          </c:val>
          <c:extLst>
            <c:ext xmlns:c16="http://schemas.microsoft.com/office/drawing/2014/chart" uri="{C3380CC4-5D6E-409C-BE32-E72D297353CC}">
              <c16:uniqueId val="{0000000E-1ADC-4FC3-8A7A-AC1A3AFF6935}"/>
            </c:ext>
          </c:extLst>
        </c:ser>
        <c:dLbls>
          <c:dLblPos val="ctr"/>
          <c:showLegendKey val="0"/>
          <c:showVal val="1"/>
          <c:showCatName val="0"/>
          <c:showSerName val="0"/>
          <c:showPercent val="0"/>
          <c:showBubbleSize val="0"/>
        </c:dLbls>
        <c:gapWidth val="75"/>
        <c:overlap val="40"/>
        <c:axId val="958469024"/>
        <c:axId val="958471104"/>
      </c:barChart>
      <c:catAx>
        <c:axId val="958469024"/>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58471104"/>
        <c:crosses val="autoZero"/>
        <c:auto val="1"/>
        <c:lblAlgn val="ctr"/>
        <c:lblOffset val="100"/>
        <c:noMultiLvlLbl val="0"/>
      </c:catAx>
      <c:valAx>
        <c:axId val="958471104"/>
        <c:scaling>
          <c:orientation val="minMax"/>
        </c:scaling>
        <c:delete val="0"/>
        <c:axPos val="l"/>
        <c:majorGridlines>
          <c:spPr>
            <a:ln w="9525" cap="flat" cmpd="sng" algn="ctr">
              <a:solidFill>
                <a:schemeClr val="dk1">
                  <a:lumMod val="15000"/>
                  <a:lumOff val="85000"/>
                </a:schemeClr>
              </a:solidFill>
              <a:round/>
            </a:ln>
            <a:effectLst/>
          </c:spPr>
        </c:majorGridlines>
        <c:numFmt formatCode="#,##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58469024"/>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4">
    <c:autoUpdate val="0"/>
  </c:externalData>
  <c:userShapes r:id="rId5"/>
  <c:extLst>
    <c:ext xmlns:c14="http://schemas.microsoft.com/office/drawing/2007/8/2/chart" uri="{781A3756-C4B2-4CAC-9D66-4F8BD8637D16}">
      <c14:pivotOptions>
        <c14:dropZoneFilter val="1"/>
        <c14:dropZoneCategories val="1"/>
        <c14:dropZoneData val="1"/>
      </c14:pivotOptions>
    </c:ext>
    <c:ext xmlns:c16="http://schemas.microsoft.com/office/drawing/2014/chart" uri="{E28EC0CA-F0BB-4C9C-879D-F8772B89E7AC}">
      <c16:pivotOptions16>
        <c16:showExpandCollapseFieldButtons val="1"/>
      </c16:pivotOptions16>
    </c:ext>
  </c:extLst>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sz="1100" b="1"/>
              <a:t>Reģionālās nozīmes pārvadājumi ar autobusiem </a:t>
            </a:r>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segums!$B$4</c:f>
              <c:strCache>
                <c:ptCount val="1"/>
                <c:pt idx="0">
                  <c:v>Kompensējamās izmaksas, milj. EUR</c:v>
                </c:pt>
              </c:strCache>
            </c:strRef>
          </c:tx>
          <c:spPr>
            <a:solidFill>
              <a:schemeClr val="tx2">
                <a:lumMod val="40000"/>
                <a:lumOff val="60000"/>
              </a:schemeClr>
            </a:solidFill>
            <a:ln>
              <a:noFill/>
            </a:ln>
            <a:effectLst/>
          </c:spPr>
          <c:invertIfNegative val="0"/>
          <c:dLbls>
            <c:numFmt formatCode="#,##0.00" sourceLinked="0"/>
            <c:spPr>
              <a:noFill/>
              <a:ln>
                <a:noFill/>
              </a:ln>
              <a:effectLst/>
            </c:spPr>
            <c:txPr>
              <a:bodyPr rot="-5400000" spcFirstLastPara="1" vertOverflow="ellipsis"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segums!$A$5:$A$8</c:f>
              <c:numCache>
                <c:formatCode>General</c:formatCode>
                <c:ptCount val="4"/>
                <c:pt idx="0">
                  <c:v>2019</c:v>
                </c:pt>
                <c:pt idx="1">
                  <c:v>2020</c:v>
                </c:pt>
                <c:pt idx="2">
                  <c:v>2021</c:v>
                </c:pt>
                <c:pt idx="3">
                  <c:v>2022</c:v>
                </c:pt>
              </c:numCache>
            </c:numRef>
          </c:cat>
          <c:val>
            <c:numRef>
              <c:f>segums!$B$5:$B$8</c:f>
              <c:numCache>
                <c:formatCode>General</c:formatCode>
                <c:ptCount val="4"/>
                <c:pt idx="0">
                  <c:v>81221325</c:v>
                </c:pt>
                <c:pt idx="1">
                  <c:v>78421464</c:v>
                </c:pt>
                <c:pt idx="2">
                  <c:v>82031541</c:v>
                </c:pt>
                <c:pt idx="3" formatCode="_-* #\ ##0_-;\-* #\ ##0_-;_-* &quot;-&quot;??_-;_-@_-">
                  <c:v>85003830.462115794</c:v>
                </c:pt>
              </c:numCache>
            </c:numRef>
          </c:val>
          <c:extLst>
            <c:ext xmlns:c16="http://schemas.microsoft.com/office/drawing/2014/chart" uri="{C3380CC4-5D6E-409C-BE32-E72D297353CC}">
              <c16:uniqueId val="{00000000-310A-4293-8649-2EF68E6F2005}"/>
            </c:ext>
          </c:extLst>
        </c:ser>
        <c:ser>
          <c:idx val="1"/>
          <c:order val="1"/>
          <c:tx>
            <c:strRef>
              <c:f>segums!$C$4</c:f>
              <c:strCache>
                <c:ptCount val="1"/>
                <c:pt idx="0">
                  <c:v>Biļešu ieņēmumi, milj. EUR</c:v>
                </c:pt>
              </c:strCache>
            </c:strRef>
          </c:tx>
          <c:spPr>
            <a:solidFill>
              <a:schemeClr val="accent2"/>
            </a:solidFill>
            <a:ln>
              <a:noFill/>
            </a:ln>
            <a:effectLst/>
          </c:spPr>
          <c:invertIfNegative val="0"/>
          <c:dLbls>
            <c:numFmt formatCode="#,##0.00" sourceLinked="0"/>
            <c:spPr>
              <a:noFill/>
              <a:ln>
                <a:noFill/>
              </a:ln>
              <a:effectLst/>
            </c:spPr>
            <c:txPr>
              <a:bodyPr rot="-5400000" spcFirstLastPara="1" vertOverflow="ellipsis"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segums!$A$5:$A$8</c:f>
              <c:numCache>
                <c:formatCode>General</c:formatCode>
                <c:ptCount val="4"/>
                <c:pt idx="0">
                  <c:v>2019</c:v>
                </c:pt>
                <c:pt idx="1">
                  <c:v>2020</c:v>
                </c:pt>
                <c:pt idx="2">
                  <c:v>2021</c:v>
                </c:pt>
                <c:pt idx="3">
                  <c:v>2022</c:v>
                </c:pt>
              </c:numCache>
            </c:numRef>
          </c:cat>
          <c:val>
            <c:numRef>
              <c:f>segums!$C$5:$C$8</c:f>
              <c:numCache>
                <c:formatCode>General</c:formatCode>
                <c:ptCount val="4"/>
                <c:pt idx="0">
                  <c:v>36328585</c:v>
                </c:pt>
                <c:pt idx="1">
                  <c:v>24470242</c:v>
                </c:pt>
                <c:pt idx="2">
                  <c:v>20906191</c:v>
                </c:pt>
                <c:pt idx="3">
                  <c:v>26882990</c:v>
                </c:pt>
              </c:numCache>
            </c:numRef>
          </c:val>
          <c:extLst>
            <c:ext xmlns:c16="http://schemas.microsoft.com/office/drawing/2014/chart" uri="{C3380CC4-5D6E-409C-BE32-E72D297353CC}">
              <c16:uniqueId val="{00000001-310A-4293-8649-2EF68E6F2005}"/>
            </c:ext>
          </c:extLst>
        </c:ser>
        <c:dLbls>
          <c:showLegendKey val="0"/>
          <c:showVal val="0"/>
          <c:showCatName val="0"/>
          <c:showSerName val="0"/>
          <c:showPercent val="0"/>
          <c:showBubbleSize val="0"/>
        </c:dLbls>
        <c:gapWidth val="219"/>
        <c:axId val="961103528"/>
        <c:axId val="961104184"/>
      </c:barChart>
      <c:lineChart>
        <c:grouping val="standard"/>
        <c:varyColors val="0"/>
        <c:ser>
          <c:idx val="2"/>
          <c:order val="2"/>
          <c:tx>
            <c:strRef>
              <c:f>segums!$D$4</c:f>
              <c:strCache>
                <c:ptCount val="1"/>
                <c:pt idx="0">
                  <c:v>Segums, %</c:v>
                </c:pt>
              </c:strCache>
            </c:strRef>
          </c:tx>
          <c:spPr>
            <a:ln w="28575" cap="rnd">
              <a:solidFill>
                <a:schemeClr val="accent3"/>
              </a:solidFill>
              <a:round/>
            </a:ln>
            <a:effectLst/>
          </c:spPr>
          <c:marker>
            <c:symbol val="none"/>
          </c:marke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segums!$A$5:$A$8</c:f>
              <c:numCache>
                <c:formatCode>General</c:formatCode>
                <c:ptCount val="4"/>
                <c:pt idx="0">
                  <c:v>2019</c:v>
                </c:pt>
                <c:pt idx="1">
                  <c:v>2020</c:v>
                </c:pt>
                <c:pt idx="2">
                  <c:v>2021</c:v>
                </c:pt>
                <c:pt idx="3">
                  <c:v>2022</c:v>
                </c:pt>
              </c:numCache>
            </c:numRef>
          </c:cat>
          <c:val>
            <c:numRef>
              <c:f>segums!$D$5:$D$8</c:f>
              <c:numCache>
                <c:formatCode>0%</c:formatCode>
                <c:ptCount val="4"/>
                <c:pt idx="0">
                  <c:v>0.44727890119990038</c:v>
                </c:pt>
                <c:pt idx="1">
                  <c:v>0.31203500613046448</c:v>
                </c:pt>
                <c:pt idx="2">
                  <c:v>0.25485551953729602</c:v>
                </c:pt>
                <c:pt idx="3">
                  <c:v>0.31625621873570881</c:v>
                </c:pt>
              </c:numCache>
            </c:numRef>
          </c:val>
          <c:smooth val="0"/>
          <c:extLst>
            <c:ext xmlns:c16="http://schemas.microsoft.com/office/drawing/2014/chart" uri="{C3380CC4-5D6E-409C-BE32-E72D297353CC}">
              <c16:uniqueId val="{00000002-310A-4293-8649-2EF68E6F2005}"/>
            </c:ext>
          </c:extLst>
        </c:ser>
        <c:dLbls>
          <c:showLegendKey val="0"/>
          <c:showVal val="0"/>
          <c:showCatName val="0"/>
          <c:showSerName val="0"/>
          <c:showPercent val="0"/>
          <c:showBubbleSize val="0"/>
        </c:dLbls>
        <c:marker val="1"/>
        <c:smooth val="0"/>
        <c:axId val="961126488"/>
        <c:axId val="961126160"/>
      </c:lineChart>
      <c:catAx>
        <c:axId val="961103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61104184"/>
        <c:crosses val="autoZero"/>
        <c:auto val="1"/>
        <c:lblAlgn val="ctr"/>
        <c:lblOffset val="100"/>
        <c:noMultiLvlLbl val="0"/>
      </c:catAx>
      <c:valAx>
        <c:axId val="9611041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61103528"/>
        <c:crosses val="autoZero"/>
        <c:crossBetween val="between"/>
        <c:dispUnits>
          <c:builtInUnit val="millions"/>
          <c:dispUnitsLbl>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dispUnitsLbl>
        </c:dispUnits>
      </c:valAx>
      <c:valAx>
        <c:axId val="961126160"/>
        <c:scaling>
          <c:orientation val="minMax"/>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61126488"/>
        <c:crosses val="max"/>
        <c:crossBetween val="between"/>
      </c:valAx>
      <c:catAx>
        <c:axId val="961126488"/>
        <c:scaling>
          <c:orientation val="minMax"/>
        </c:scaling>
        <c:delete val="1"/>
        <c:axPos val="b"/>
        <c:numFmt formatCode="General" sourceLinked="1"/>
        <c:majorTickMark val="out"/>
        <c:minorTickMark val="none"/>
        <c:tickLblPos val="nextTo"/>
        <c:crossAx val="96112616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sz="1100" b="1"/>
              <a:t>Reģionālās nozīmes pārvadājumi ar vilcieniem</a:t>
            </a:r>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segums!$B$11</c:f>
              <c:strCache>
                <c:ptCount val="1"/>
                <c:pt idx="0">
                  <c:v>Kompensējamās izmaksas, milj. EUR</c:v>
                </c:pt>
              </c:strCache>
            </c:strRef>
          </c:tx>
          <c:spPr>
            <a:solidFill>
              <a:schemeClr val="tx2">
                <a:lumMod val="40000"/>
                <a:lumOff val="60000"/>
              </a:schemeClr>
            </a:solidFill>
            <a:ln>
              <a:noFill/>
            </a:ln>
            <a:effectLst/>
          </c:spPr>
          <c:invertIfNegative val="0"/>
          <c:dLbls>
            <c:numFmt formatCode="#,##0.00" sourceLinked="0"/>
            <c:spPr>
              <a:noFill/>
              <a:ln>
                <a:noFill/>
              </a:ln>
              <a:effectLst/>
            </c:spPr>
            <c:txPr>
              <a:bodyPr rot="-5400000" spcFirstLastPara="1" vertOverflow="ellipsis"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segums!$A$12:$A$15</c:f>
              <c:numCache>
                <c:formatCode>General</c:formatCode>
                <c:ptCount val="4"/>
                <c:pt idx="0">
                  <c:v>2019</c:v>
                </c:pt>
                <c:pt idx="1">
                  <c:v>2020</c:v>
                </c:pt>
                <c:pt idx="2">
                  <c:v>2021</c:v>
                </c:pt>
                <c:pt idx="3">
                  <c:v>2022</c:v>
                </c:pt>
              </c:numCache>
            </c:numRef>
          </c:cat>
          <c:val>
            <c:numRef>
              <c:f>segums!$B$12:$B$15</c:f>
              <c:numCache>
                <c:formatCode>General</c:formatCode>
                <c:ptCount val="4"/>
                <c:pt idx="0">
                  <c:v>34116066</c:v>
                </c:pt>
                <c:pt idx="1">
                  <c:v>34465098</c:v>
                </c:pt>
                <c:pt idx="2">
                  <c:v>35840958</c:v>
                </c:pt>
                <c:pt idx="3">
                  <c:v>42790686</c:v>
                </c:pt>
              </c:numCache>
            </c:numRef>
          </c:val>
          <c:extLst>
            <c:ext xmlns:c16="http://schemas.microsoft.com/office/drawing/2014/chart" uri="{C3380CC4-5D6E-409C-BE32-E72D297353CC}">
              <c16:uniqueId val="{00000000-CB49-414A-8C96-C383A9579D5D}"/>
            </c:ext>
          </c:extLst>
        </c:ser>
        <c:ser>
          <c:idx val="1"/>
          <c:order val="1"/>
          <c:tx>
            <c:strRef>
              <c:f>segums!$C$11</c:f>
              <c:strCache>
                <c:ptCount val="1"/>
                <c:pt idx="0">
                  <c:v>Biļešu ieņēmumi, milj. EUR</c:v>
                </c:pt>
              </c:strCache>
            </c:strRef>
          </c:tx>
          <c:spPr>
            <a:solidFill>
              <a:schemeClr val="accent2"/>
            </a:solidFill>
            <a:ln>
              <a:noFill/>
            </a:ln>
            <a:effectLst/>
          </c:spPr>
          <c:invertIfNegative val="0"/>
          <c:dLbls>
            <c:numFmt formatCode="#,##0.00" sourceLinked="0"/>
            <c:spPr>
              <a:noFill/>
              <a:ln>
                <a:noFill/>
              </a:ln>
              <a:effectLst/>
            </c:spPr>
            <c:txPr>
              <a:bodyPr rot="-5400000" spcFirstLastPara="1" vertOverflow="ellipsis"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segums!$A$12:$A$15</c:f>
              <c:numCache>
                <c:formatCode>General</c:formatCode>
                <c:ptCount val="4"/>
                <c:pt idx="0">
                  <c:v>2019</c:v>
                </c:pt>
                <c:pt idx="1">
                  <c:v>2020</c:v>
                </c:pt>
                <c:pt idx="2">
                  <c:v>2021</c:v>
                </c:pt>
                <c:pt idx="3">
                  <c:v>2022</c:v>
                </c:pt>
              </c:numCache>
            </c:numRef>
          </c:cat>
          <c:val>
            <c:numRef>
              <c:f>segums!$C$12:$C$15</c:f>
              <c:numCache>
                <c:formatCode>General</c:formatCode>
                <c:ptCount val="4"/>
                <c:pt idx="0">
                  <c:v>19945212</c:v>
                </c:pt>
                <c:pt idx="1">
                  <c:v>14667823</c:v>
                </c:pt>
                <c:pt idx="2">
                  <c:v>13158529</c:v>
                </c:pt>
                <c:pt idx="3">
                  <c:v>18627053</c:v>
                </c:pt>
              </c:numCache>
            </c:numRef>
          </c:val>
          <c:extLst>
            <c:ext xmlns:c16="http://schemas.microsoft.com/office/drawing/2014/chart" uri="{C3380CC4-5D6E-409C-BE32-E72D297353CC}">
              <c16:uniqueId val="{00000001-CB49-414A-8C96-C383A9579D5D}"/>
            </c:ext>
          </c:extLst>
        </c:ser>
        <c:dLbls>
          <c:showLegendKey val="0"/>
          <c:showVal val="0"/>
          <c:showCatName val="0"/>
          <c:showSerName val="0"/>
          <c:showPercent val="0"/>
          <c:showBubbleSize val="0"/>
        </c:dLbls>
        <c:gapWidth val="219"/>
        <c:axId val="955048064"/>
        <c:axId val="955044456"/>
      </c:barChart>
      <c:lineChart>
        <c:grouping val="standard"/>
        <c:varyColors val="0"/>
        <c:ser>
          <c:idx val="2"/>
          <c:order val="2"/>
          <c:tx>
            <c:strRef>
              <c:f>segums!$D$11</c:f>
              <c:strCache>
                <c:ptCount val="1"/>
                <c:pt idx="0">
                  <c:v>Segums, %</c:v>
                </c:pt>
              </c:strCache>
            </c:strRef>
          </c:tx>
          <c:spPr>
            <a:ln w="28575" cap="rnd">
              <a:solidFill>
                <a:schemeClr val="accent3"/>
              </a:solidFill>
              <a:round/>
            </a:ln>
            <a:effectLst/>
          </c:spPr>
          <c:marker>
            <c:symbol val="none"/>
          </c:marke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segums!$A$12:$A$15</c:f>
              <c:numCache>
                <c:formatCode>General</c:formatCode>
                <c:ptCount val="4"/>
                <c:pt idx="0">
                  <c:v>2019</c:v>
                </c:pt>
                <c:pt idx="1">
                  <c:v>2020</c:v>
                </c:pt>
                <c:pt idx="2">
                  <c:v>2021</c:v>
                </c:pt>
                <c:pt idx="3">
                  <c:v>2022</c:v>
                </c:pt>
              </c:numCache>
            </c:numRef>
          </c:cat>
          <c:val>
            <c:numRef>
              <c:f>segums!$D$12:$D$15</c:f>
              <c:numCache>
                <c:formatCode>0%</c:formatCode>
                <c:ptCount val="4"/>
                <c:pt idx="0">
                  <c:v>0.58462813385341672</c:v>
                </c:pt>
                <c:pt idx="1">
                  <c:v>0.42558483367724648</c:v>
                </c:pt>
                <c:pt idx="2">
                  <c:v>0.36713664294352844</c:v>
                </c:pt>
                <c:pt idx="3">
                  <c:v>0.43530624865420481</c:v>
                </c:pt>
              </c:numCache>
            </c:numRef>
          </c:val>
          <c:smooth val="0"/>
          <c:extLst>
            <c:ext xmlns:c16="http://schemas.microsoft.com/office/drawing/2014/chart" uri="{C3380CC4-5D6E-409C-BE32-E72D297353CC}">
              <c16:uniqueId val="{00000002-CB49-414A-8C96-C383A9579D5D}"/>
            </c:ext>
          </c:extLst>
        </c:ser>
        <c:dLbls>
          <c:showLegendKey val="0"/>
          <c:showVal val="0"/>
          <c:showCatName val="0"/>
          <c:showSerName val="0"/>
          <c:showPercent val="0"/>
          <c:showBubbleSize val="0"/>
        </c:dLbls>
        <c:marker val="1"/>
        <c:smooth val="0"/>
        <c:axId val="929315568"/>
        <c:axId val="929321472"/>
      </c:lineChart>
      <c:catAx>
        <c:axId val="955048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55044456"/>
        <c:crosses val="autoZero"/>
        <c:auto val="1"/>
        <c:lblAlgn val="ctr"/>
        <c:lblOffset val="100"/>
        <c:noMultiLvlLbl val="0"/>
      </c:catAx>
      <c:valAx>
        <c:axId val="9550444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55048064"/>
        <c:crosses val="autoZero"/>
        <c:crossBetween val="between"/>
        <c:dispUnits>
          <c:builtInUnit val="millions"/>
          <c:dispUnitsLbl>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dispUnitsLbl>
        </c:dispUnits>
      </c:valAx>
      <c:valAx>
        <c:axId val="929321472"/>
        <c:scaling>
          <c:orientation val="minMax"/>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29315568"/>
        <c:crosses val="max"/>
        <c:crossBetween val="between"/>
      </c:valAx>
      <c:catAx>
        <c:axId val="929315568"/>
        <c:scaling>
          <c:orientation val="minMax"/>
        </c:scaling>
        <c:delete val="1"/>
        <c:axPos val="b"/>
        <c:numFmt formatCode="General" sourceLinked="1"/>
        <c:majorTickMark val="out"/>
        <c:minorTickMark val="none"/>
        <c:tickLblPos val="nextTo"/>
        <c:crossAx val="92932147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35314923362774381"/>
          <c:y val="5.0925925925925923E-2"/>
          <c:w val="0.64685076637225625"/>
          <c:h val="0.79691965587634883"/>
        </c:manualLayout>
      </c:layout>
      <c:barChart>
        <c:barDir val="bar"/>
        <c:grouping val="clustered"/>
        <c:varyColors val="0"/>
        <c:ser>
          <c:idx val="0"/>
          <c:order val="0"/>
          <c:tx>
            <c:strRef>
              <c:f>Pas_izmainas!$G$22</c:f>
              <c:strCache>
                <c:ptCount val="1"/>
                <c:pt idx="0">
                  <c:v>2019</c:v>
                </c:pt>
              </c:strCache>
            </c:strRef>
          </c:tx>
          <c:spPr>
            <a:solidFill>
              <a:schemeClr val="accent2">
                <a:shade val="58000"/>
              </a:schemeClr>
            </a:solidFill>
            <a:ln>
              <a:noFill/>
            </a:ln>
            <a:effectLst/>
          </c:spPr>
          <c:invertIfNegative val="0"/>
          <c:dPt>
            <c:idx val="1"/>
            <c:invertIfNegative val="0"/>
            <c:bubble3D val="0"/>
            <c:extLst>
              <c:ext xmlns:c16="http://schemas.microsoft.com/office/drawing/2014/chart" uri="{C3380CC4-5D6E-409C-BE32-E72D297353CC}">
                <c16:uniqueId val="{00000007-C31C-4532-B3B3-2DE158554FC7}"/>
              </c:ext>
            </c:extLst>
          </c:dPt>
          <c:dLbls>
            <c:numFmt formatCode="#,##0.00" sourceLinked="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(Pas_izmainas!$F$23,Pas_izmainas!$F$25)</c:f>
              <c:strCache>
                <c:ptCount val="2"/>
                <c:pt idx="0">
                  <c:v>Reģionālās nozīmes pārvadājumi ar autobusiem</c:v>
                </c:pt>
                <c:pt idx="1">
                  <c:v>Reģionālās nozīmes pārvadājumi ar vilcieniem</c:v>
                </c:pt>
              </c:strCache>
            </c:strRef>
          </c:cat>
          <c:val>
            <c:numRef>
              <c:f>(Pas_izmainas!$G$23,Pas_izmainas!$G$25)</c:f>
              <c:numCache>
                <c:formatCode>General</c:formatCode>
                <c:ptCount val="2"/>
                <c:pt idx="0">
                  <c:v>29461866</c:v>
                </c:pt>
                <c:pt idx="1">
                  <c:v>18458276</c:v>
                </c:pt>
              </c:numCache>
            </c:numRef>
          </c:val>
          <c:extLst>
            <c:ext xmlns:c16="http://schemas.microsoft.com/office/drawing/2014/chart" uri="{C3380CC4-5D6E-409C-BE32-E72D297353CC}">
              <c16:uniqueId val="{00000000-C31C-4532-B3B3-2DE158554FC7}"/>
            </c:ext>
          </c:extLst>
        </c:ser>
        <c:ser>
          <c:idx val="1"/>
          <c:order val="1"/>
          <c:tx>
            <c:strRef>
              <c:f>Pas_izmainas!$H$22</c:f>
              <c:strCache>
                <c:ptCount val="1"/>
                <c:pt idx="0">
                  <c:v>2020</c:v>
                </c:pt>
              </c:strCache>
            </c:strRef>
          </c:tx>
          <c:spPr>
            <a:solidFill>
              <a:schemeClr val="accent2">
                <a:shade val="86000"/>
              </a:schemeClr>
            </a:solidFill>
            <a:ln>
              <a:noFill/>
            </a:ln>
            <a:effectLst/>
          </c:spPr>
          <c:invertIfNegative val="0"/>
          <c:dPt>
            <c:idx val="1"/>
            <c:invertIfNegative val="0"/>
            <c:bubble3D val="0"/>
            <c:extLst>
              <c:ext xmlns:c16="http://schemas.microsoft.com/office/drawing/2014/chart" uri="{C3380CC4-5D6E-409C-BE32-E72D297353CC}">
                <c16:uniqueId val="{00000006-C31C-4532-B3B3-2DE158554FC7}"/>
              </c:ext>
            </c:extLst>
          </c:dPt>
          <c:dLbls>
            <c:numFmt formatCode="#,##0.00" sourceLinked="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(Pas_izmainas!$F$23,Pas_izmainas!$F$25)</c:f>
              <c:strCache>
                <c:ptCount val="2"/>
                <c:pt idx="0">
                  <c:v>Reģionālās nozīmes pārvadājumi ar autobusiem</c:v>
                </c:pt>
                <c:pt idx="1">
                  <c:v>Reģionālās nozīmes pārvadājumi ar vilcieniem</c:v>
                </c:pt>
              </c:strCache>
            </c:strRef>
          </c:cat>
          <c:val>
            <c:numRef>
              <c:f>(Pas_izmainas!$H$23,Pas_izmainas!$H$25)</c:f>
              <c:numCache>
                <c:formatCode>General</c:formatCode>
                <c:ptCount val="2"/>
                <c:pt idx="0">
                  <c:v>20106743</c:v>
                </c:pt>
                <c:pt idx="1">
                  <c:v>12852794</c:v>
                </c:pt>
              </c:numCache>
            </c:numRef>
          </c:val>
          <c:extLst>
            <c:ext xmlns:c16="http://schemas.microsoft.com/office/drawing/2014/chart" uri="{C3380CC4-5D6E-409C-BE32-E72D297353CC}">
              <c16:uniqueId val="{00000001-C31C-4532-B3B3-2DE158554FC7}"/>
            </c:ext>
          </c:extLst>
        </c:ser>
        <c:ser>
          <c:idx val="2"/>
          <c:order val="2"/>
          <c:tx>
            <c:strRef>
              <c:f>Pas_izmainas!$I$22</c:f>
              <c:strCache>
                <c:ptCount val="1"/>
                <c:pt idx="0">
                  <c:v>2021</c:v>
                </c:pt>
              </c:strCache>
            </c:strRef>
          </c:tx>
          <c:spPr>
            <a:solidFill>
              <a:schemeClr val="accent2">
                <a:tint val="86000"/>
              </a:schemeClr>
            </a:solidFill>
            <a:ln>
              <a:noFill/>
            </a:ln>
            <a:effectLst/>
          </c:spPr>
          <c:invertIfNegative val="0"/>
          <c:dPt>
            <c:idx val="1"/>
            <c:invertIfNegative val="0"/>
            <c:bubble3D val="0"/>
            <c:extLst>
              <c:ext xmlns:c16="http://schemas.microsoft.com/office/drawing/2014/chart" uri="{C3380CC4-5D6E-409C-BE32-E72D297353CC}">
                <c16:uniqueId val="{00000005-C31C-4532-B3B3-2DE158554FC7}"/>
              </c:ext>
            </c:extLst>
          </c:dPt>
          <c:dLbls>
            <c:numFmt formatCode="#,##0.00" sourceLinked="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(Pas_izmainas!$F$23,Pas_izmainas!$F$25)</c:f>
              <c:strCache>
                <c:ptCount val="2"/>
                <c:pt idx="0">
                  <c:v>Reģionālās nozīmes pārvadājumi ar autobusiem</c:v>
                </c:pt>
                <c:pt idx="1">
                  <c:v>Reģionālās nozīmes pārvadājumi ar vilcieniem</c:v>
                </c:pt>
              </c:strCache>
            </c:strRef>
          </c:cat>
          <c:val>
            <c:numRef>
              <c:f>(Pas_izmainas!$I$23,Pas_izmainas!$I$25)</c:f>
              <c:numCache>
                <c:formatCode>General</c:formatCode>
                <c:ptCount val="2"/>
                <c:pt idx="0">
                  <c:v>16854651</c:v>
                </c:pt>
                <c:pt idx="1">
                  <c:v>11040391</c:v>
                </c:pt>
              </c:numCache>
            </c:numRef>
          </c:val>
          <c:extLst>
            <c:ext xmlns:c16="http://schemas.microsoft.com/office/drawing/2014/chart" uri="{C3380CC4-5D6E-409C-BE32-E72D297353CC}">
              <c16:uniqueId val="{00000002-C31C-4532-B3B3-2DE158554FC7}"/>
            </c:ext>
          </c:extLst>
        </c:ser>
        <c:ser>
          <c:idx val="3"/>
          <c:order val="3"/>
          <c:tx>
            <c:strRef>
              <c:f>Pas_izmainas!$J$22</c:f>
              <c:strCache>
                <c:ptCount val="1"/>
                <c:pt idx="0">
                  <c:v>2022</c:v>
                </c:pt>
              </c:strCache>
            </c:strRef>
          </c:tx>
          <c:spPr>
            <a:solidFill>
              <a:schemeClr val="accent2">
                <a:tint val="58000"/>
              </a:schemeClr>
            </a:solidFill>
            <a:ln>
              <a:noFill/>
            </a:ln>
            <a:effectLst/>
          </c:spPr>
          <c:invertIfNegative val="0"/>
          <c:dPt>
            <c:idx val="1"/>
            <c:invertIfNegative val="0"/>
            <c:bubble3D val="0"/>
            <c:extLst>
              <c:ext xmlns:c16="http://schemas.microsoft.com/office/drawing/2014/chart" uri="{C3380CC4-5D6E-409C-BE32-E72D297353CC}">
                <c16:uniqueId val="{00000004-C31C-4532-B3B3-2DE158554FC7}"/>
              </c:ext>
            </c:extLst>
          </c:dPt>
          <c:dLbls>
            <c:numFmt formatCode="#,##0.00" sourceLinked="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(Pas_izmainas!$F$23,Pas_izmainas!$F$25)</c:f>
              <c:strCache>
                <c:ptCount val="2"/>
                <c:pt idx="0">
                  <c:v>Reģionālās nozīmes pārvadājumi ar autobusiem</c:v>
                </c:pt>
                <c:pt idx="1">
                  <c:v>Reģionālās nozīmes pārvadājumi ar vilcieniem</c:v>
                </c:pt>
              </c:strCache>
            </c:strRef>
          </c:cat>
          <c:val>
            <c:numRef>
              <c:f>(Pas_izmainas!$J$23,Pas_izmainas!$J$25)</c:f>
              <c:numCache>
                <c:formatCode>General</c:formatCode>
                <c:ptCount val="2"/>
                <c:pt idx="0">
                  <c:v>21680915</c:v>
                </c:pt>
                <c:pt idx="1">
                  <c:v>15696804</c:v>
                </c:pt>
              </c:numCache>
            </c:numRef>
          </c:val>
          <c:extLst>
            <c:ext xmlns:c16="http://schemas.microsoft.com/office/drawing/2014/chart" uri="{C3380CC4-5D6E-409C-BE32-E72D297353CC}">
              <c16:uniqueId val="{00000003-C31C-4532-B3B3-2DE158554FC7}"/>
            </c:ext>
          </c:extLst>
        </c:ser>
        <c:dLbls>
          <c:showLegendKey val="0"/>
          <c:showVal val="0"/>
          <c:showCatName val="0"/>
          <c:showSerName val="0"/>
          <c:showPercent val="0"/>
          <c:showBubbleSize val="0"/>
        </c:dLbls>
        <c:gapWidth val="182"/>
        <c:axId val="933188760"/>
        <c:axId val="933184496"/>
      </c:barChart>
      <c:catAx>
        <c:axId val="9331887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33184496"/>
        <c:crosses val="autoZero"/>
        <c:auto val="1"/>
        <c:lblAlgn val="ctr"/>
        <c:lblOffset val="100"/>
        <c:noMultiLvlLbl val="0"/>
      </c:catAx>
      <c:valAx>
        <c:axId val="933184496"/>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933188760"/>
        <c:crosses val="autoZero"/>
        <c:crossBetween val="between"/>
        <c:dispUnits>
          <c:builtInUnit val="millions"/>
          <c:dispUnitsLbl>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145405857416996"/>
          <c:y val="9.726454882794823E-2"/>
          <c:w val="0.49637265763172694"/>
          <c:h val="0.85243344581927261"/>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0CAE-467C-9FB9-EE8490AF12F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CAE-467C-9FB9-EE8490AF12F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0CAE-467C-9FB9-EE8490AF12F5}"/>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0CAE-467C-9FB9-EE8490AF12F5}"/>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0CAE-467C-9FB9-EE8490AF12F5}"/>
              </c:ext>
            </c:extLst>
          </c:dPt>
          <c:dLbls>
            <c:dLbl>
              <c:idx val="0"/>
              <c:layout>
                <c:manualLayout>
                  <c:x val="7.1430290229001506E-2"/>
                  <c:y val="-0.1616765318128337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0CAE-467C-9FB9-EE8490AF12F5}"/>
                </c:ext>
              </c:extLst>
            </c:dLbl>
            <c:dLbl>
              <c:idx val="1"/>
              <c:layout>
                <c:manualLayout>
                  <c:x val="3.5544207228765334E-2"/>
                  <c:y val="-5.8504118019730295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0CAE-467C-9FB9-EE8490AF12F5}"/>
                </c:ext>
              </c:extLst>
            </c:dLbl>
            <c:dLbl>
              <c:idx val="2"/>
              <c:layout>
                <c:manualLayout>
                  <c:x val="2.5858190378136345E-2"/>
                  <c:y val="7.931885238483119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39775428623908193"/>
                      <c:h val="0.17831912390261559"/>
                    </c:manualLayout>
                  </c15:layout>
                </c:ext>
                <c:ext xmlns:c16="http://schemas.microsoft.com/office/drawing/2014/chart" uri="{C3380CC4-5D6E-409C-BE32-E72D297353CC}">
                  <c16:uniqueId val="{00000005-0CAE-467C-9FB9-EE8490AF12F5}"/>
                </c:ext>
              </c:extLst>
            </c:dLbl>
            <c:dLbl>
              <c:idx val="3"/>
              <c:layout>
                <c:manualLayout>
                  <c:x val="6.8709367130213696E-3"/>
                  <c:y val="-5.4221739523938821E-2"/>
                </c:manualLayout>
              </c:layout>
              <c:tx>
                <c:rich>
                  <a:bodyPr/>
                  <a:lstStyle/>
                  <a:p>
                    <a:r>
                      <a:rPr lang="en-US"/>
                      <a:t>Personas ar I un II invaliditātes grupu, personas līdz 18 gadu vecumam ar invaliditāti</a:t>
                    </a:r>
                    <a:r>
                      <a:rPr lang="en-US" baseline="0"/>
                      <a:t> un pavadošās personas
</a:t>
                    </a:r>
                    <a:fld id="{803CD905-C16F-4EA9-84C8-34221E0579E5}" type="PERCENTAGE">
                      <a:rPr lang="en-US" baseline="0"/>
                      <a:pPr/>
                      <a:t>[PERCENTAGE]</a:t>
                    </a:fld>
                    <a:endParaRPr lang="en-US" baseline="0"/>
                  </a:p>
                </c:rich>
              </c:tx>
              <c:dLblPos val="bestFit"/>
              <c:showLegendKey val="0"/>
              <c:showVal val="0"/>
              <c:showCatName val="1"/>
              <c:showSerName val="0"/>
              <c:showPercent val="1"/>
              <c:showBubbleSize val="0"/>
              <c:extLst>
                <c:ext xmlns:c15="http://schemas.microsoft.com/office/drawing/2012/chart" uri="{CE6537A1-D6FC-4f65-9D91-7224C49458BB}">
                  <c15:layout>
                    <c:manualLayout>
                      <c:w val="0.37841620626151018"/>
                      <c:h val="0.33103448275862069"/>
                    </c:manualLayout>
                  </c15:layout>
                  <c15:dlblFieldTable/>
                  <c15:showDataLabelsRange val="0"/>
                </c:ext>
                <c:ext xmlns:c16="http://schemas.microsoft.com/office/drawing/2014/chart" uri="{C3380CC4-5D6E-409C-BE32-E72D297353CC}">
                  <c16:uniqueId val="{00000007-0CAE-467C-9FB9-EE8490AF12F5}"/>
                </c:ext>
              </c:extLst>
            </c:dLbl>
            <c:dLbl>
              <c:idx val="4"/>
              <c:layout>
                <c:manualLayout>
                  <c:x val="-9.4401376623502176E-2"/>
                  <c:y val="4.2873382206534548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4866789441375076"/>
                      <c:h val="0.22528735632183908"/>
                    </c:manualLayout>
                  </c15:layout>
                </c:ext>
                <c:ext xmlns:c16="http://schemas.microsoft.com/office/drawing/2014/chart" uri="{C3380CC4-5D6E-409C-BE32-E72D297353CC}">
                  <c16:uniqueId val="{00000009-0CAE-467C-9FB9-EE8490AF12F5}"/>
                </c:ext>
              </c:extLst>
            </c:dLbl>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struktūra!$A$36:$A$40</c:f>
              <c:strCache>
                <c:ptCount val="5"/>
                <c:pt idx="0">
                  <c:v>Pirmsskolas vecuma bērni</c:v>
                </c:pt>
                <c:pt idx="1">
                  <c:v>Bērni bāreņi</c:v>
                </c:pt>
                <c:pt idx="2">
                  <c:v>Politiski represētās personas/Nacionālās pretošanās kustības dalībnieki</c:v>
                </c:pt>
                <c:pt idx="3">
                  <c:v>I un II grupas invalīdi, bērni invalīdi un pavadošās personas</c:v>
                </c:pt>
                <c:pt idx="4">
                  <c:v>Ģimenes locekļi ar "Goda ģimenes" karti</c:v>
                </c:pt>
              </c:strCache>
            </c:strRef>
          </c:cat>
          <c:val>
            <c:numRef>
              <c:f>struktūra!$B$36:$B$40</c:f>
              <c:numCache>
                <c:formatCode>#,##0</c:formatCode>
                <c:ptCount val="5"/>
                <c:pt idx="0">
                  <c:v>618499</c:v>
                </c:pt>
                <c:pt idx="1">
                  <c:v>276398</c:v>
                </c:pt>
                <c:pt idx="2">
                  <c:v>214627</c:v>
                </c:pt>
                <c:pt idx="3">
                  <c:v>10241408</c:v>
                </c:pt>
                <c:pt idx="4">
                  <c:v>3227547</c:v>
                </c:pt>
              </c:numCache>
            </c:numRef>
          </c:val>
          <c:extLst>
            <c:ext xmlns:c16="http://schemas.microsoft.com/office/drawing/2014/chart" uri="{C3380CC4-5D6E-409C-BE32-E72D297353CC}">
              <c16:uniqueId val="{0000000A-0CAE-467C-9FB9-EE8490AF12F5}"/>
            </c:ext>
          </c:extLst>
        </c:ser>
        <c:dLbls>
          <c:showLegendKey val="0"/>
          <c:showVal val="0"/>
          <c:showCatName val="1"/>
          <c:showSerName val="0"/>
          <c:showPercent val="1"/>
          <c:showBubbleSize val="0"/>
          <c:showLeaderLines val="1"/>
        </c:dLbls>
        <c:firstSliceAng val="94"/>
      </c:pieChart>
      <c:spPr>
        <a:noFill/>
        <a:ln>
          <a:noFill/>
        </a:ln>
        <a:effectLst>
          <a:outerShdw algn="ctr" rotWithShape="0">
            <a:srgbClr val="000000">
              <a:alpha val="43137"/>
            </a:srgbClr>
          </a:outerShdw>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Reversed" id="22">
  <a:schemeClr val="accent2"/>
</cs:colorStyle>
</file>

<file path=word/charts/colors4.xml><?xml version="1.0" encoding="utf-8"?>
<cs:colorStyle xmlns:cs="http://schemas.microsoft.com/office/drawing/2012/chartStyle" xmlns:a="http://schemas.openxmlformats.org/drawingml/2006/main" meth="withinLinearReversed" id="22">
  <a:schemeClr val="accent2"/>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withinLinear" id="15">
  <a:schemeClr val="accent2"/>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4.xml><?xml version="1.0" encoding="utf-8"?>
<cs:chartStyle xmlns:cs="http://schemas.microsoft.com/office/drawing/2012/chartStyle" xmlns:a="http://schemas.openxmlformats.org/drawingml/2006/main" id="303">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0.01072</cdr:x>
      <cdr:y>0.96886</cdr:y>
    </cdr:from>
    <cdr:to>
      <cdr:x>0.06881</cdr:x>
      <cdr:y>0.98928</cdr:y>
    </cdr:to>
    <cdr:sp macro="" textlink="">
      <cdr:nvSpPr>
        <cdr:cNvPr id="2" name="TextBox 1">
          <a:extLst xmlns:a="http://schemas.openxmlformats.org/drawingml/2006/main">
            <a:ext uri="{FF2B5EF4-FFF2-40B4-BE49-F238E27FC236}">
              <a16:creationId xmlns:a16="http://schemas.microsoft.com/office/drawing/2014/main" id="{0A17588C-06AB-2BFE-0627-257C928D3430}"/>
            </a:ext>
          </a:extLst>
        </cdr:cNvPr>
        <cdr:cNvSpPr txBox="1"/>
      </cdr:nvSpPr>
      <cdr:spPr>
        <a:xfrm xmlns:a="http://schemas.openxmlformats.org/drawingml/2006/main">
          <a:off x="113242" y="6026150"/>
          <a:ext cx="613833" cy="1270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lv-LV" sz="1100"/>
        </a:p>
      </cdr:txBody>
    </cdr:sp>
  </cdr:relSizeAnchor>
  <cdr:relSizeAnchor xmlns:cdr="http://schemas.openxmlformats.org/drawingml/2006/chartDrawing">
    <cdr:from>
      <cdr:x>0.02775</cdr:x>
      <cdr:y>0.93496</cdr:y>
    </cdr:from>
    <cdr:to>
      <cdr:x>0.25712</cdr:x>
      <cdr:y>0.98731</cdr:y>
    </cdr:to>
    <cdr:sp macro="" textlink="">
      <cdr:nvSpPr>
        <cdr:cNvPr id="3" name="TextBox 2">
          <a:extLst xmlns:a="http://schemas.openxmlformats.org/drawingml/2006/main">
            <a:ext uri="{FF2B5EF4-FFF2-40B4-BE49-F238E27FC236}">
              <a16:creationId xmlns:a16="http://schemas.microsoft.com/office/drawing/2014/main" id="{09C7A77A-53CE-3152-5F35-4A523987D558}"/>
            </a:ext>
          </a:extLst>
        </cdr:cNvPr>
        <cdr:cNvSpPr txBox="1"/>
      </cdr:nvSpPr>
      <cdr:spPr>
        <a:xfrm xmlns:a="http://schemas.openxmlformats.org/drawingml/2006/main">
          <a:off x="293159" y="6237818"/>
          <a:ext cx="2423583" cy="3492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lv-LV" sz="1100"/>
        </a:p>
      </cdr:txBody>
    </cdr:sp>
  </cdr:relSizeAnchor>
</c:userShape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4A5CB5-AAED-4B3B-B151-BA6480D781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Pages>
  <Words>13128</Words>
  <Characters>74832</Characters>
  <Application>Microsoft Office Word</Application>
  <DocSecurity>0</DocSecurity>
  <Lines>623</Lines>
  <Paragraphs>175</Paragraphs>
  <ScaleCrop>false</ScaleCrop>
  <HeadingPairs>
    <vt:vector size="2" baseType="variant">
      <vt:variant>
        <vt:lpstr>Title</vt:lpstr>
      </vt:variant>
      <vt:variant>
        <vt:i4>1</vt:i4>
      </vt:variant>
    </vt:vector>
  </HeadingPairs>
  <TitlesOfParts>
    <vt:vector size="1" baseType="lpstr">
      <vt:lpstr>Informatīvais ziņojums Par papildu finansējumu sabiedriskā transporta pakalpojumu nodrošināšanai 2019.gadā</vt:lpstr>
    </vt:vector>
  </TitlesOfParts>
  <Company/>
  <LinksUpToDate>false</LinksUpToDate>
  <CharactersWithSpaces>87785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papildu finansējumu sabiedriskā transporta pakalpojumu nodrošināšanai 2019.gadā</dc:title>
  <dc:creator>Kristīne Grīviņa</dc:creator>
  <cp:lastModifiedBy>Sintija Ziedone</cp:lastModifiedBy>
  <cp:revision>2</cp:revision>
  <cp:lastPrinted>2019-08-08T08:24:00Z</cp:lastPrinted>
  <dcterms:created xsi:type="dcterms:W3CDTF">2023-05-12T10:12:00Z</dcterms:created>
  <dcterms:modified xsi:type="dcterms:W3CDTF">2023-05-12T10:12:00Z</dcterms:modified>
</cp:coreProperties>
</file>